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sz w:val="36"/>
          <w:szCs w:val="36"/>
          <w:lang w:val="en-GB"/>
        </w:rPr>
      </w:pPr>
      <w:r>
        <w:rPr>
          <w:sz w:val="36"/>
          <w:szCs w:val="36"/>
          <w:lang w:val="en-GB"/>
        </w:rPr>
        <w:t>Assessment of the applicant’s teaching competence: instructions for the recruitment committee</w:t>
      </w:r>
    </w:p>
    <w:p>
      <w:pPr>
        <w:pStyle w:val="Normal"/>
        <w:rPr>
          <w:sz w:val="20"/>
          <w:szCs w:val="20"/>
          <w:lang w:val="en-GB"/>
        </w:rPr>
      </w:pPr>
      <w:r>
        <w:rPr>
          <w:sz w:val="20"/>
          <w:szCs w:val="20"/>
          <w:lang w:val="en-GB"/>
        </w:rPr>
        <w:t>The applicant’s teaching competence is assessed based on a teaching portfolio and a teaching demonstration in tenure track and professor recruitments and advancement evaluations, as well as in recruitments and advancement evaluations within the teaching-oriented career model.</w:t>
      </w:r>
    </w:p>
    <w:p>
      <w:pPr>
        <w:pStyle w:val="Normal"/>
        <w:rPr>
          <w:sz w:val="20"/>
          <w:szCs w:val="20"/>
          <w:lang w:val="en-GB"/>
        </w:rPr>
      </w:pPr>
      <w:r>
        <w:rPr>
          <w:sz w:val="20"/>
          <w:szCs w:val="20"/>
          <w:lang w:val="en-GB"/>
        </w:rPr>
        <w:t>The assessment is conducted using the University of Oulu’s unified guidelines for the teaching portfolio and teaching demonstration, as well as the standardised assessment template and table for teaching competence. The unified guidelines, template, and table can be found below and in the intranet Patio. The applicant’s teaching competence is assessed on a scale of 1–5 (poor–excellent).</w:t>
      </w:r>
    </w:p>
    <w:p>
      <w:pPr>
        <w:pStyle w:val="Normal"/>
        <w:rPr>
          <w:sz w:val="20"/>
          <w:szCs w:val="20"/>
          <w:lang w:val="en-GB"/>
        </w:rPr>
      </w:pPr>
      <w:r>
        <w:rPr>
          <w:sz w:val="20"/>
          <w:szCs w:val="20"/>
          <w:lang w:val="en-GB"/>
        </w:rPr>
        <w:t>The applicant’s instructions for the assessment of teaching competence are available on the university’s external website.</w:t>
      </w:r>
    </w:p>
    <w:p>
      <w:pPr>
        <w:pStyle w:val="Heading2"/>
        <w:rPr>
          <w:sz w:val="28"/>
          <w:szCs w:val="28"/>
          <w:lang w:val="en-GB"/>
        </w:rPr>
      </w:pPr>
      <w:r>
        <w:rPr>
          <w:sz w:val="28"/>
          <w:szCs w:val="28"/>
          <w:lang w:val="en-GB"/>
        </w:rPr>
        <w:t>Teaching portfolio</w:t>
      </w:r>
    </w:p>
    <w:p>
      <w:pPr>
        <w:pStyle w:val="NoSpacing"/>
        <w:rPr>
          <w:sz w:val="20"/>
          <w:szCs w:val="20"/>
          <w:lang w:val="en-GB"/>
        </w:rPr>
      </w:pPr>
      <w:r>
        <w:rPr>
          <w:sz w:val="20"/>
          <w:szCs w:val="20"/>
          <w:lang w:val="en-GB"/>
        </w:rPr>
        <w:t>In recruitment and advancement evaluations, the applicant is asked to describe the different areas of their teaching competence in a teaching portfolio (maximum 5 pages). The applicant attaches the teaching portfolio to their application. The portfolio should follow the structure below:</w:t>
      </w:r>
    </w:p>
    <w:p>
      <w:pPr>
        <w:pStyle w:val="NoSpacing"/>
        <w:ind w:left="1440"/>
        <w:rPr>
          <w:sz w:val="20"/>
          <w:szCs w:val="20"/>
          <w:lang w:val="en-GB"/>
        </w:rPr>
      </w:pPr>
      <w:r>
        <w:rPr>
          <w:sz w:val="20"/>
          <w:szCs w:val="20"/>
          <w:lang w:val="en-GB"/>
        </w:rPr>
      </w:r>
    </w:p>
    <w:p>
      <w:pPr>
        <w:pStyle w:val="ListParagraph"/>
        <w:numPr>
          <w:ilvl w:val="0"/>
          <w:numId w:val="1"/>
        </w:numPr>
        <w:rPr>
          <w:sz w:val="20"/>
          <w:szCs w:val="20"/>
          <w:lang w:val="en-GB"/>
        </w:rPr>
      </w:pPr>
      <w:r>
        <w:rPr>
          <w:sz w:val="20"/>
          <w:szCs w:val="20"/>
          <w:lang w:val="en-GB"/>
        </w:rPr>
        <w:t xml:space="preserve">Teaching philosophy, teaching strategies and teaching methods </w:t>
      </w:r>
    </w:p>
    <w:p>
      <w:pPr>
        <w:pStyle w:val="ListParagraph"/>
        <w:numPr>
          <w:ilvl w:val="0"/>
          <w:numId w:val="1"/>
        </w:numPr>
        <w:rPr>
          <w:sz w:val="20"/>
          <w:szCs w:val="20"/>
          <w:lang w:val="en-GB"/>
        </w:rPr>
      </w:pPr>
      <w:r>
        <w:rPr>
          <w:sz w:val="20"/>
          <w:szCs w:val="20"/>
          <w:lang w:val="en-GB"/>
        </w:rPr>
        <w:t xml:space="preserve">Description of oneself as a teacher </w:t>
      </w:r>
    </w:p>
    <w:p>
      <w:pPr>
        <w:pStyle w:val="ListParagraph"/>
        <w:numPr>
          <w:ilvl w:val="0"/>
          <w:numId w:val="1"/>
        </w:numPr>
        <w:rPr>
          <w:sz w:val="20"/>
          <w:szCs w:val="20"/>
          <w:lang w:val="en-GB"/>
        </w:rPr>
      </w:pPr>
      <w:r>
        <w:rPr>
          <w:sz w:val="20"/>
          <w:szCs w:val="20"/>
          <w:lang w:val="en-GB"/>
        </w:rPr>
        <w:t xml:space="preserve">Practical experience in teaching, development of teaching, digital teaching competence and giving feedback (how one provides feedback to students), possible participation in continuous learning provision, and international educational collaboration </w:t>
      </w:r>
    </w:p>
    <w:p>
      <w:pPr>
        <w:pStyle w:val="ListParagraph"/>
        <w:numPr>
          <w:ilvl w:val="0"/>
          <w:numId w:val="1"/>
        </w:numPr>
        <w:rPr>
          <w:sz w:val="20"/>
          <w:szCs w:val="20"/>
          <w:lang w:val="en-GB"/>
        </w:rPr>
      </w:pPr>
      <w:r>
        <w:rPr>
          <w:sz w:val="20"/>
          <w:szCs w:val="20"/>
          <w:lang w:val="en-GB"/>
        </w:rPr>
        <w:t xml:space="preserve">Production and use of learning materials, including open educational resources </w:t>
      </w:r>
    </w:p>
    <w:p>
      <w:pPr>
        <w:pStyle w:val="ListParagraph"/>
        <w:numPr>
          <w:ilvl w:val="0"/>
          <w:numId w:val="1"/>
        </w:numPr>
        <w:rPr>
          <w:sz w:val="20"/>
          <w:szCs w:val="20"/>
          <w:lang w:val="en-GB"/>
        </w:rPr>
      </w:pPr>
      <w:r>
        <w:rPr>
          <w:sz w:val="20"/>
          <w:szCs w:val="20"/>
          <w:lang w:val="en-GB"/>
        </w:rPr>
        <w:t xml:space="preserve">Maintaining and developing one’s own teaching and supervision competence; description of one’s pedagogical training; the significance of research in maintaining and developing one's teaching and supervision competence </w:t>
      </w:r>
    </w:p>
    <w:p>
      <w:pPr>
        <w:pStyle w:val="ListParagraph"/>
        <w:numPr>
          <w:ilvl w:val="0"/>
          <w:numId w:val="1"/>
        </w:numPr>
        <w:rPr>
          <w:sz w:val="20"/>
          <w:szCs w:val="20"/>
          <w:lang w:val="en-GB"/>
        </w:rPr>
      </w:pPr>
      <w:r>
        <w:rPr>
          <w:sz w:val="20"/>
          <w:szCs w:val="20"/>
          <w:lang w:val="en-GB"/>
        </w:rPr>
        <w:t xml:space="preserve">Feedback received on teaching (student evaluations, peer evaluations, awards and approved teaching demonstrations) and counter-feedback </w:t>
      </w:r>
    </w:p>
    <w:p>
      <w:pPr>
        <w:pStyle w:val="ListParagraph"/>
        <w:numPr>
          <w:ilvl w:val="0"/>
          <w:numId w:val="1"/>
        </w:numPr>
        <w:rPr>
          <w:sz w:val="20"/>
          <w:szCs w:val="20"/>
          <w:lang w:val="en-GB"/>
        </w:rPr>
      </w:pPr>
      <w:r>
        <w:rPr>
          <w:sz w:val="20"/>
          <w:szCs w:val="20"/>
          <w:lang w:val="en-GB"/>
        </w:rPr>
        <w:t>Vision for the development of one’s teaching: the applicant briefly outlines their plans for developing their teaching and teaching work in the near future, for example in relation to the study programme’s curriculum</w:t>
      </w:r>
    </w:p>
    <w:p>
      <w:pPr>
        <w:pStyle w:val="Heading2"/>
        <w:rPr>
          <w:sz w:val="28"/>
          <w:szCs w:val="28"/>
          <w:lang w:val="en-GB"/>
        </w:rPr>
      </w:pPr>
      <w:r>
        <w:rPr>
          <w:sz w:val="28"/>
          <w:szCs w:val="28"/>
          <w:lang w:val="en-GB"/>
        </w:rPr>
        <w:t>Teaching demonstration</w:t>
      </w:r>
    </w:p>
    <w:p>
      <w:pPr>
        <w:pStyle w:val="NoSpacing"/>
        <w:rPr>
          <w:sz w:val="20"/>
          <w:szCs w:val="20"/>
          <w:lang w:val="en-GB"/>
        </w:rPr>
      </w:pPr>
      <w:r>
        <w:rPr>
          <w:sz w:val="20"/>
          <w:szCs w:val="20"/>
          <w:lang w:val="en-GB"/>
        </w:rPr>
        <w:t>The recruitment committee defines the content of the teaching demonstration and arranges it</w:t>
      </w:r>
      <w:r>
        <w:rPr>
          <w:lang w:val="en-GB"/>
        </w:rPr>
        <w:t xml:space="preserve"> </w:t>
      </w:r>
      <w:r>
        <w:rPr>
          <w:sz w:val="20"/>
          <w:szCs w:val="20"/>
          <w:lang w:val="en-GB"/>
        </w:rPr>
        <w:t>accordingly. The assessment of the teaching demonstration, as with other assessment of teaching competence, is conducted by the recruitment committee, which includes sufficient pedagogical expertise. Student representatives may also participate in the assessment. The faculty may additionally issue more detailed provisions regarding the composition of the group participating in the assessment of the teaching demonstration/competence, for example the inclusion of members of the degree programme committee.</w:t>
      </w:r>
    </w:p>
    <w:p>
      <w:pPr>
        <w:pStyle w:val="NoSpacing"/>
        <w:ind w:left="720"/>
        <w:rPr>
          <w:sz w:val="20"/>
          <w:szCs w:val="20"/>
          <w:lang w:val="en-GB"/>
        </w:rPr>
      </w:pPr>
      <w:r>
        <w:rPr>
          <w:sz w:val="20"/>
          <w:szCs w:val="20"/>
          <w:lang w:val="en-GB"/>
        </w:rPr>
      </w:r>
    </w:p>
    <w:p>
      <w:pPr>
        <w:pStyle w:val="NoSpacing"/>
        <w:rPr>
          <w:sz w:val="20"/>
          <w:szCs w:val="20"/>
          <w:lang w:val="en-GB"/>
        </w:rPr>
      </w:pPr>
      <w:r>
        <w:rPr>
          <w:sz w:val="20"/>
          <w:szCs w:val="20"/>
          <w:lang w:val="en-GB"/>
        </w:rPr>
        <w:t>The candidate invited to give a teaching demonstration will be informed of the topic of the teaching demonstration, the target group, the allocated time, the language to be used, the assessors of the demonstration, and the assessment criteria (below). There is no fixed time limit for the teaching demonstration, but its typical duration is 20–30 minutes.</w:t>
      </w:r>
    </w:p>
    <w:p>
      <w:pPr>
        <w:pStyle w:val="NoSpacing"/>
        <w:rPr>
          <w:sz w:val="20"/>
          <w:szCs w:val="20"/>
          <w:lang w:val="en-GB"/>
        </w:rPr>
      </w:pPr>
      <w:r>
        <w:rPr>
          <w:sz w:val="20"/>
          <w:szCs w:val="20"/>
          <w:lang w:val="en-GB"/>
        </w:rPr>
      </w:r>
    </w:p>
    <w:p>
      <w:pPr>
        <w:pStyle w:val="Normal"/>
        <w:rPr>
          <w:b/>
          <w:bCs/>
          <w:lang w:val="en-GB"/>
        </w:rPr>
      </w:pPr>
      <w:r>
        <w:rPr>
          <w:b/>
          <w:bCs/>
          <w:lang w:val="en-GB"/>
        </w:rPr>
        <w:t>TEACHING COMPETENCE ASSESSMENT TEMPLATE (TEACHING PORTFOLIO AND TEACHING DEMONSTRATION)</w:t>
      </w:r>
    </w:p>
    <w:tbl>
      <w:tblPr>
        <w:tblStyle w:val="TableGrid"/>
        <w:tblW w:w="15593" w:type="dxa"/>
        <w:jc w:val="left"/>
        <w:tblInd w:w="-572" w:type="dxa"/>
        <w:tblLayout w:type="fixed"/>
        <w:tblCellMar>
          <w:top w:w="0" w:type="dxa"/>
          <w:left w:w="108" w:type="dxa"/>
          <w:bottom w:w="0" w:type="dxa"/>
          <w:right w:w="108" w:type="dxa"/>
        </w:tblCellMar>
        <w:tblLook w:val="04a0" w:noHBand="0" w:noVBand="1" w:firstColumn="1" w:lastRow="0" w:lastColumn="0" w:firstRow="1"/>
      </w:tblPr>
      <w:tblGrid>
        <w:gridCol w:w="5878"/>
        <w:gridCol w:w="9714"/>
      </w:tblGrid>
      <w:tr>
        <w:trPr>
          <w:trHeight w:val="271" w:hRule="atLeast"/>
        </w:trPr>
        <w:tc>
          <w:tcPr>
            <w:tcW w:w="5878" w:type="dxa"/>
            <w:tcBorders/>
          </w:tcPr>
          <w:p>
            <w:pPr>
              <w:pStyle w:val="Normal"/>
              <w:widowControl/>
              <w:spacing w:lineRule="auto" w:line="240" w:before="0" w:after="0"/>
              <w:jc w:val="left"/>
              <w:rPr>
                <w:rFonts w:ascii="Calibri" w:hAnsi="Calibri" w:eastAsia="Calibri" w:cs=""/>
                <w:kern w:val="2"/>
                <w:sz w:val="22"/>
                <w:szCs w:val="22"/>
                <w:lang w:val="fi-FI" w:eastAsia="en-US" w:bidi="ar-SA"/>
              </w:rPr>
            </w:pPr>
            <w:r>
              <w:rPr>
                <w:rFonts w:eastAsia="Calibri" w:cs=""/>
                <w:kern w:val="2"/>
                <w:sz w:val="22"/>
                <w:szCs w:val="22"/>
                <w:lang w:val="fi-FI" w:eastAsia="en-US" w:bidi="ar-SA"/>
              </w:rPr>
              <w:t>OBSERVED ITEMS AND CRITERIA</w:t>
            </w:r>
          </w:p>
        </w:tc>
        <w:tc>
          <w:tcPr>
            <w:tcW w:w="9714" w:type="dxa"/>
            <w:tcBorders/>
          </w:tcPr>
          <w:p>
            <w:pPr>
              <w:pStyle w:val="Normal"/>
              <w:widowControl/>
              <w:spacing w:lineRule="auto" w:line="240" w:before="0" w:after="0"/>
              <w:jc w:val="left"/>
              <w:rPr>
                <w:rFonts w:ascii="Calibri" w:hAnsi="Calibri" w:eastAsia="Calibri" w:cs=""/>
                <w:kern w:val="2"/>
                <w:sz w:val="22"/>
                <w:szCs w:val="22"/>
                <w:lang w:val="fi-FI" w:eastAsia="en-US" w:bidi="ar-SA"/>
              </w:rPr>
            </w:pPr>
            <w:r>
              <w:rPr>
                <w:rFonts w:eastAsia="Calibri" w:cs=""/>
                <w:kern w:val="2"/>
                <w:sz w:val="22"/>
                <w:szCs w:val="22"/>
                <w:lang w:val="fi-FI" w:eastAsia="en-US" w:bidi="ar-SA"/>
              </w:rPr>
              <w:t>ASSESSMENT</w:t>
            </w:r>
          </w:p>
        </w:tc>
      </w:tr>
      <w:tr>
        <w:trPr>
          <w:trHeight w:val="4493" w:hRule="atLeast"/>
        </w:trPr>
        <w:tc>
          <w:tcPr>
            <w:tcW w:w="5878" w:type="dxa"/>
            <w:tcBorders/>
          </w:tcPr>
          <w:p>
            <w:pPr>
              <w:pStyle w:val="Normal"/>
              <w:widowControl/>
              <w:spacing w:lineRule="auto" w:line="240" w:before="0" w:after="0"/>
              <w:jc w:val="left"/>
              <w:rPr>
                <w:lang w:val="en-GB"/>
              </w:rPr>
            </w:pPr>
            <w:r>
              <w:rPr>
                <w:rFonts w:eastAsia="Calibri" w:cs=""/>
                <w:b/>
                <w:bCs/>
                <w:kern w:val="2"/>
                <w:sz w:val="22"/>
                <w:szCs w:val="22"/>
                <w:lang w:val="en-GB" w:eastAsia="en-US" w:bidi="ar-SA"/>
              </w:rPr>
              <w:t>TEACHING DEMONSTRATION AS A WHOLE AND FEEDBACK</w:t>
            </w:r>
            <w:r>
              <w:rPr>
                <w:rFonts w:eastAsia="Calibri" w:cs=""/>
                <w:kern w:val="2"/>
                <w:sz w:val="22"/>
                <w:szCs w:val="22"/>
                <w:lang w:val="en-GB" w:eastAsia="en-US" w:bidi="ar-SA"/>
              </w:rPr>
              <w:t xml:space="preserve"> </w:t>
            </w:r>
          </w:p>
          <w:p>
            <w:pPr>
              <w:pStyle w:val="Normal"/>
              <w:widowControl/>
              <w:spacing w:lineRule="auto" w:line="240" w:before="0" w:after="0"/>
              <w:jc w:val="left"/>
              <w:rPr>
                <w:lang w:val="en-GB"/>
              </w:rPr>
            </w:pPr>
            <w:r>
              <w:rPr>
                <w:rFonts w:eastAsia="Calibri" w:cs=""/>
                <w:kern w:val="2"/>
                <w:sz w:val="22"/>
                <w:szCs w:val="22"/>
                <w:lang w:val="en-GB" w:eastAsia="en-US" w:bidi="ar-SA"/>
              </w:rPr>
              <w:t>How are the teaching objectives defined and achieved?</w:t>
            </w:r>
          </w:p>
          <w:p>
            <w:pPr>
              <w:pStyle w:val="Normal"/>
              <w:widowControl/>
              <w:spacing w:lineRule="auto" w:line="240" w:before="0" w:after="0"/>
              <w:jc w:val="left"/>
              <w:rPr>
                <w:lang w:val="en-GB"/>
              </w:rPr>
            </w:pPr>
            <w:r>
              <w:rPr>
                <w:rFonts w:eastAsia="Calibri" w:cs=""/>
                <w:kern w:val="2"/>
                <w:sz w:val="22"/>
                <w:szCs w:val="22"/>
                <w:lang w:val="en-GB" w:eastAsia="en-US" w:bidi="ar-SA"/>
              </w:rPr>
              <w:t>How are the overall structure and time management handled?</w:t>
            </w:r>
          </w:p>
          <w:p>
            <w:pPr>
              <w:pStyle w:val="Normal"/>
              <w:widowControl/>
              <w:spacing w:lineRule="auto" w:line="240" w:before="0" w:after="0"/>
              <w:jc w:val="left"/>
              <w:rPr>
                <w:lang w:val="en-GB"/>
              </w:rPr>
            </w:pPr>
            <w:r>
              <w:rPr>
                <w:rFonts w:eastAsia="Calibri" w:cs=""/>
                <w:kern w:val="2"/>
                <w:sz w:val="22"/>
                <w:szCs w:val="22"/>
                <w:lang w:val="en-GB" w:eastAsia="en-US" w:bidi="ar-SA"/>
              </w:rPr>
              <w:t>How are the success of teaching and the participants’ understanding of the key topic monitored?</w:t>
            </w:r>
          </w:p>
          <w:p>
            <w:pPr>
              <w:pStyle w:val="Normal"/>
              <w:widowControl/>
              <w:spacing w:lineRule="auto" w:line="240" w:before="0" w:after="0"/>
              <w:jc w:val="left"/>
              <w:rPr>
                <w:lang w:val="en-GB"/>
              </w:rPr>
            </w:pPr>
            <w:r>
              <w:rPr>
                <w:rFonts w:eastAsia="Calibri" w:cs=""/>
                <w:kern w:val="2"/>
                <w:sz w:val="22"/>
                <w:szCs w:val="22"/>
                <w:lang w:val="en-GB" w:eastAsia="en-US" w:bidi="ar-SA"/>
              </w:rPr>
              <w:t>How is the pedagogical thinking described in the teaching portfolio connected to the teaching demonstration?</w:t>
            </w:r>
          </w:p>
          <w:p>
            <w:pPr>
              <w:pStyle w:val="ListParagraph"/>
              <w:widowControl/>
              <w:numPr>
                <w:ilvl w:val="0"/>
                <w:numId w:val="2"/>
              </w:numPr>
              <w:spacing w:lineRule="auto" w:line="240" w:before="0" w:after="0"/>
              <w:contextualSpacing/>
              <w:jc w:val="left"/>
              <w:rPr>
                <w:i/>
                <w:i/>
                <w:iCs/>
                <w:sz w:val="20"/>
                <w:szCs w:val="20"/>
                <w:lang w:val="en-GB"/>
              </w:rPr>
            </w:pPr>
            <w:r>
              <w:rPr>
                <w:rFonts w:eastAsia="Calibri" w:cs=""/>
                <w:i/>
                <w:iCs/>
                <w:kern w:val="2"/>
                <w:sz w:val="20"/>
                <w:szCs w:val="20"/>
                <w:lang w:val="en-GB" w:eastAsia="en-US" w:bidi="ar-SA"/>
              </w:rPr>
              <w:t xml:space="preserve">Definition of learning and teaching objectives and achievement of those objectives </w:t>
            </w:r>
          </w:p>
          <w:p>
            <w:pPr>
              <w:pStyle w:val="ListParagraph"/>
              <w:widowControl/>
              <w:numPr>
                <w:ilvl w:val="0"/>
                <w:numId w:val="2"/>
              </w:numPr>
              <w:spacing w:lineRule="auto" w:line="240" w:before="0" w:after="0"/>
              <w:contextualSpacing/>
              <w:jc w:val="left"/>
              <w:rPr>
                <w:i/>
                <w:i/>
                <w:iCs/>
                <w:color w:val="EE0000"/>
                <w:sz w:val="20"/>
                <w:szCs w:val="20"/>
                <w:lang w:val="en-GB"/>
              </w:rPr>
            </w:pPr>
            <w:r>
              <w:rPr>
                <w:rFonts w:eastAsia="Calibri" w:cs=""/>
                <w:i/>
                <w:iCs/>
                <w:color w:themeColor="text1" w:val="000000"/>
                <w:kern w:val="2"/>
                <w:sz w:val="20"/>
                <w:szCs w:val="20"/>
                <w:lang w:val="en-GB" w:eastAsia="en-US" w:bidi="ar-SA"/>
              </w:rPr>
              <w:t xml:space="preserve">Time management and </w:t>
            </w:r>
            <w:r>
              <w:rPr>
                <w:rFonts w:eastAsia="Calibri" w:cs=""/>
                <w:i/>
                <w:iCs/>
                <w:kern w:val="2"/>
                <w:sz w:val="20"/>
                <w:szCs w:val="20"/>
                <w:lang w:val="en-GB" w:eastAsia="en-US" w:bidi="ar-SA"/>
              </w:rPr>
              <w:t>handling of content in relation to the allotted time</w:t>
            </w:r>
            <w:r>
              <w:rPr>
                <w:rFonts w:eastAsia="Calibri" w:cs=""/>
                <w:i/>
                <w:iCs/>
                <w:color w:themeColor="text1" w:val="000000"/>
                <w:kern w:val="2"/>
                <w:sz w:val="20"/>
                <w:szCs w:val="20"/>
                <w:lang w:val="en-GB" w:eastAsia="en-US" w:bidi="ar-SA"/>
              </w:rPr>
              <w:t xml:space="preserve"> </w:t>
            </w:r>
          </w:p>
          <w:p>
            <w:pPr>
              <w:pStyle w:val="ListParagraph"/>
              <w:widowControl/>
              <w:numPr>
                <w:ilvl w:val="0"/>
                <w:numId w:val="2"/>
              </w:numPr>
              <w:spacing w:lineRule="auto" w:line="240" w:before="0" w:after="0"/>
              <w:contextualSpacing/>
              <w:jc w:val="left"/>
              <w:rPr>
                <w:i/>
                <w:i/>
                <w:iCs/>
                <w:color w:val="EE0000"/>
                <w:sz w:val="20"/>
                <w:szCs w:val="20"/>
                <w:lang w:val="en-GB"/>
              </w:rPr>
            </w:pPr>
            <w:r>
              <w:rPr>
                <w:rFonts w:eastAsia="Calibri" w:cs=""/>
                <w:i/>
                <w:iCs/>
                <w:color w:themeColor="text1" w:val="000000"/>
                <w:kern w:val="2"/>
                <w:sz w:val="20"/>
                <w:szCs w:val="20"/>
                <w:lang w:val="en-GB" w:eastAsia="en-US" w:bidi="ar-SA"/>
              </w:rPr>
              <w:t>Structuring</w:t>
            </w:r>
            <w:r>
              <w:rPr>
                <w:rFonts w:eastAsia="Calibri" w:cs=""/>
                <w:i/>
                <w:iCs/>
                <w:color w:val="EE0000"/>
                <w:kern w:val="2"/>
                <w:sz w:val="20"/>
                <w:szCs w:val="20"/>
                <w:lang w:val="en-GB" w:eastAsia="en-US" w:bidi="ar-SA"/>
              </w:rPr>
              <w:t xml:space="preserve"> </w:t>
            </w:r>
            <w:r>
              <w:rPr>
                <w:rFonts w:eastAsia="Calibri" w:cs=""/>
                <w:i/>
                <w:iCs/>
                <w:color w:themeColor="text1" w:val="000000"/>
                <w:kern w:val="2"/>
                <w:sz w:val="20"/>
                <w:szCs w:val="20"/>
                <w:lang w:val="en-GB" w:eastAsia="en-US" w:bidi="ar-SA"/>
              </w:rPr>
              <w:t xml:space="preserve">the whole and linking it to a broader context </w:t>
            </w:r>
          </w:p>
          <w:p>
            <w:pPr>
              <w:pStyle w:val="ListParagraph"/>
              <w:widowControl/>
              <w:numPr>
                <w:ilvl w:val="0"/>
                <w:numId w:val="2"/>
              </w:numPr>
              <w:spacing w:lineRule="auto" w:line="240" w:before="0" w:after="0"/>
              <w:contextualSpacing/>
              <w:jc w:val="left"/>
              <w:rPr>
                <w:i/>
                <w:i/>
                <w:iCs/>
                <w:sz w:val="20"/>
                <w:szCs w:val="20"/>
                <w:lang w:val="en-GB"/>
              </w:rPr>
            </w:pPr>
            <w:r>
              <w:rPr>
                <w:rFonts w:eastAsia="Calibri" w:cs=""/>
                <w:i/>
                <w:iCs/>
                <w:kern w:val="2"/>
                <w:sz w:val="20"/>
                <w:szCs w:val="20"/>
                <w:lang w:val="en-GB" w:eastAsia="en-US" w:bidi="ar-SA"/>
              </w:rPr>
              <w:t xml:space="preserve">Monitoring the success of the presentation/teaching/work (during the situation) based on signals from participants </w:t>
            </w:r>
          </w:p>
          <w:p>
            <w:pPr>
              <w:pStyle w:val="ListParagraph"/>
              <w:widowControl/>
              <w:numPr>
                <w:ilvl w:val="0"/>
                <w:numId w:val="2"/>
              </w:numPr>
              <w:spacing w:lineRule="auto" w:line="240" w:before="0" w:after="0"/>
              <w:contextualSpacing/>
              <w:jc w:val="left"/>
              <w:rPr>
                <w:i/>
                <w:i/>
                <w:iCs/>
                <w:sz w:val="20"/>
                <w:szCs w:val="20"/>
                <w:lang w:val="en-GB"/>
              </w:rPr>
            </w:pPr>
            <w:r>
              <w:rPr>
                <w:rFonts w:eastAsia="Calibri" w:cs=""/>
                <w:i/>
                <w:iCs/>
                <w:kern w:val="2"/>
                <w:sz w:val="20"/>
                <w:szCs w:val="20"/>
                <w:lang w:val="en-GB" w:eastAsia="en-US" w:bidi="ar-SA"/>
              </w:rPr>
              <w:t xml:space="preserve">Adjustments, corrections, or changes to the working methods, presentation, or situational factors </w:t>
            </w:r>
          </w:p>
          <w:p>
            <w:pPr>
              <w:pStyle w:val="ListParagraph"/>
              <w:widowControl/>
              <w:numPr>
                <w:ilvl w:val="0"/>
                <w:numId w:val="2"/>
              </w:numPr>
              <w:spacing w:lineRule="auto" w:line="240" w:before="0" w:after="0"/>
              <w:contextualSpacing/>
              <w:jc w:val="left"/>
              <w:rPr>
                <w:i/>
                <w:i/>
                <w:iCs/>
                <w:sz w:val="20"/>
                <w:szCs w:val="20"/>
                <w:lang w:val="en-GB"/>
              </w:rPr>
            </w:pPr>
            <w:r>
              <w:rPr>
                <w:rFonts w:eastAsia="Calibri" w:cs=""/>
                <w:i/>
                <w:iCs/>
                <w:kern w:val="2"/>
                <w:sz w:val="20"/>
                <w:szCs w:val="20"/>
                <w:lang w:val="en-GB" w:eastAsia="en-US" w:bidi="ar-SA"/>
              </w:rPr>
              <w:t>Connection between one´s</w:t>
            </w:r>
            <w:r>
              <w:rPr>
                <w:rFonts w:eastAsia="Calibri" w:cs=""/>
                <w:i/>
                <w:iCs/>
                <w:color w:val="EE0000"/>
                <w:kern w:val="2"/>
                <w:sz w:val="20"/>
                <w:szCs w:val="20"/>
                <w:lang w:val="en-GB" w:eastAsia="en-US" w:bidi="ar-SA"/>
              </w:rPr>
              <w:t xml:space="preserve"> </w:t>
            </w:r>
            <w:r>
              <w:rPr>
                <w:rFonts w:eastAsia="Calibri" w:cs=""/>
                <w:i/>
                <w:iCs/>
                <w:kern w:val="2"/>
                <w:sz w:val="20"/>
                <w:szCs w:val="20"/>
                <w:lang w:val="en-GB" w:eastAsia="en-US" w:bidi="ar-SA"/>
              </w:rPr>
              <w:t>pedagogical thinking described in the teaching portfolio and the teaching demonstration</w:t>
            </w:r>
          </w:p>
          <w:p>
            <w:pPr>
              <w:pStyle w:val="Normal"/>
              <w:widowControl/>
              <w:spacing w:lineRule="auto" w:line="240" w:before="0" w:after="0"/>
              <w:jc w:val="left"/>
              <w:rPr>
                <w:i/>
                <w:i/>
                <w:iCs/>
                <w:sz w:val="20"/>
                <w:szCs w:val="20"/>
                <w:lang w:val="en-GB"/>
              </w:rPr>
            </w:pPr>
            <w:r>
              <w:rPr>
                <w:rFonts w:eastAsia="Calibri" w:cs=""/>
                <w:i/>
                <w:iCs/>
                <w:kern w:val="2"/>
                <w:sz w:val="20"/>
                <w:szCs w:val="20"/>
                <w:lang w:val="en-GB" w:eastAsia="en-US" w:bidi="ar-SA"/>
              </w:rPr>
            </w:r>
          </w:p>
        </w:tc>
        <w:tc>
          <w:tcPr>
            <w:tcW w:w="9714" w:type="dxa"/>
            <w:tcBorders/>
          </w:tcPr>
          <w:p>
            <w:pPr>
              <w:pStyle w:val="Normal"/>
              <w:widowControl/>
              <w:spacing w:lineRule="auto" w:line="240" w:before="0" w:after="0"/>
              <w:jc w:val="left"/>
              <w:rPr>
                <w:lang w:val="en-GB"/>
              </w:rPr>
            </w:pPr>
            <w:r>
              <w:rPr>
                <w:rFonts w:eastAsia="Calibri" w:cs=""/>
                <w:kern w:val="2"/>
                <w:sz w:val="22"/>
                <w:szCs w:val="22"/>
                <w:lang w:val="en-GB" w:eastAsia="en-US" w:bidi="ar-SA"/>
              </w:rPr>
              <w:t>Objectives</w:t>
            </w:r>
          </w:p>
          <w:p>
            <w:pPr>
              <w:pStyle w:val="Normal"/>
              <w:widowControl/>
              <w:spacing w:lineRule="auto" w:line="240" w:before="0" w:after="0"/>
              <w:jc w:val="left"/>
              <w:rPr>
                <w:lang w:val="en-GB"/>
              </w:rPr>
            </w:pPr>
            <w:r>
              <w:rPr>
                <w:rFonts w:eastAsia="Calibri" w:cs=""/>
                <w:kern w:val="2"/>
                <w:sz w:val="22"/>
                <w:szCs w:val="22"/>
                <w:lang w:val="en-GB" w:eastAsia="en-US" w:bidi="ar-SA"/>
              </w:rPr>
              <w:t>Teaching: I’ll explain XXXXXXX</w:t>
            </w:r>
          </w:p>
          <w:p>
            <w:pPr>
              <w:pStyle w:val="Normal"/>
              <w:widowControl/>
              <w:spacing w:lineRule="auto" w:line="240" w:before="0" w:after="0"/>
              <w:jc w:val="left"/>
              <w:rPr>
                <w:lang w:val="en-GB"/>
              </w:rPr>
            </w:pPr>
            <w:r>
              <w:rPr>
                <w:rFonts w:eastAsia="Calibri" w:cs=""/>
                <w:kern w:val="2"/>
                <w:sz w:val="22"/>
                <w:szCs w:val="22"/>
                <w:lang w:val="en-GB" w:eastAsia="en-US" w:bidi="ar-SA"/>
              </w:rPr>
              <w:t>Learning: student will be able to XXXXXX</w:t>
            </w:r>
          </w:p>
          <w:p>
            <w:pPr>
              <w:pStyle w:val="Normal"/>
              <w:widowControl/>
              <w:spacing w:lineRule="auto" w:line="240" w:before="0" w:after="0"/>
              <w:jc w:val="left"/>
              <w:rPr>
                <w:lang w:val="en-GB"/>
              </w:rPr>
            </w:pPr>
            <w:r>
              <w:rPr>
                <w:rFonts w:eastAsia="Calibri" w:cs=""/>
                <w:kern w:val="2"/>
                <w:sz w:val="22"/>
                <w:szCs w:val="22"/>
                <w:lang w:val="en-GB" w:eastAsia="en-US" w:bidi="ar-SA"/>
              </w:rPr>
              <w:t>Time</w:t>
            </w:r>
          </w:p>
          <w:p>
            <w:pPr>
              <w:pStyle w:val="Normal"/>
              <w:widowControl/>
              <w:spacing w:lineRule="auto" w:line="240" w:before="0" w:after="0"/>
              <w:jc w:val="left"/>
              <w:rPr>
                <w:lang w:val="en-GB"/>
              </w:rPr>
            </w:pPr>
            <w:r>
              <w:rPr>
                <w:rFonts w:eastAsia="Calibri" w:cs=""/>
                <w:kern w:val="2"/>
                <w:sz w:val="22"/>
                <w:szCs w:val="22"/>
                <w:lang w:val="en-GB" w:eastAsia="en-US" w:bidi="ar-SA"/>
              </w:rPr>
              <w:t>Monitoring (Questions to the audience)</w:t>
            </w:r>
          </w:p>
          <w:p>
            <w:pPr>
              <w:pStyle w:val="Normal"/>
              <w:widowControl/>
              <w:spacing w:lineRule="auto" w:line="240" w:before="0" w:after="0"/>
              <w:jc w:val="left"/>
              <w:rPr>
                <w:lang w:val="en-GB"/>
              </w:rPr>
            </w:pPr>
            <w:r>
              <w:rPr>
                <w:rFonts w:eastAsia="Calibri" w:cs=""/>
                <w:kern w:val="2"/>
                <w:sz w:val="22"/>
                <w:szCs w:val="22"/>
                <w:lang w:val="en-GB" w:eastAsia="en-US" w:bidi="ar-SA"/>
              </w:rPr>
              <w:t>Link to pedagogical teaching portfolio</w:t>
            </w:r>
          </w:p>
          <w:p>
            <w:pPr>
              <w:pStyle w:val="Normal"/>
              <w:widowControl/>
              <w:spacing w:lineRule="auto" w:line="240" w:before="0" w:after="0"/>
              <w:jc w:val="left"/>
              <w:rPr>
                <w:lang w:val="en-GB"/>
              </w:rPr>
            </w:pPr>
            <w:r>
              <w:rPr>
                <w:rFonts w:eastAsia="Calibri" w:cs=""/>
                <w:kern w:val="2"/>
                <w:sz w:val="22"/>
                <w:szCs w:val="22"/>
                <w:lang w:val="en-GB" w:eastAsia="en-US" w:bidi="ar-SA"/>
              </w:rPr>
              <w:t xml:space="preserve"> </w:t>
            </w:r>
          </w:p>
          <w:p>
            <w:pPr>
              <w:pStyle w:val="Normal"/>
              <w:widowControl/>
              <w:spacing w:lineRule="auto" w:line="240" w:before="0" w:after="0"/>
              <w:jc w:val="left"/>
              <w:rPr>
                <w:lang w:val="en-GB"/>
              </w:rPr>
            </w:pPr>
            <w:r>
              <w:rPr>
                <w:rFonts w:eastAsia="Calibri" w:cs=""/>
                <w:kern w:val="2"/>
                <w:sz w:val="22"/>
                <w:szCs w:val="22"/>
                <w:lang w:val="en-GB" w:eastAsia="en-US" w:bidi="ar-SA"/>
              </w:rPr>
            </w:r>
          </w:p>
        </w:tc>
      </w:tr>
      <w:tr>
        <w:trPr>
          <w:trHeight w:val="557" w:hRule="atLeast"/>
        </w:trPr>
        <w:tc>
          <w:tcPr>
            <w:tcW w:w="5878" w:type="dxa"/>
            <w:tcBorders/>
          </w:tcPr>
          <w:p>
            <w:pPr>
              <w:pStyle w:val="Normal"/>
              <w:widowControl/>
              <w:spacing w:lineRule="auto" w:line="240" w:before="0" w:after="0"/>
              <w:jc w:val="left"/>
              <w:rPr>
                <w:b/>
                <w:bCs/>
                <w:lang w:val="en-GB"/>
              </w:rPr>
            </w:pPr>
            <w:r>
              <w:rPr>
                <w:rFonts w:eastAsia="Calibri" w:cs=""/>
                <w:b/>
                <w:bCs/>
                <w:kern w:val="2"/>
                <w:sz w:val="22"/>
                <w:szCs w:val="22"/>
                <w:lang w:val="en-GB" w:eastAsia="en-US" w:bidi="ar-SA"/>
              </w:rPr>
              <w:t>COMMUNICATION AND INTERACTION</w:t>
            </w:r>
            <w:r>
              <w:rPr>
                <w:rFonts w:eastAsia="Calibri" w:cs=""/>
                <w:kern w:val="2"/>
                <w:sz w:val="22"/>
                <w:szCs w:val="22"/>
                <w:lang w:val="en-GB" w:eastAsia="en-US" w:bidi="ar-SA"/>
              </w:rPr>
              <w:t xml:space="preserve"> </w:t>
            </w:r>
          </w:p>
          <w:p>
            <w:pPr>
              <w:pStyle w:val="Normal"/>
              <w:widowControl/>
              <w:spacing w:lineRule="auto" w:line="240" w:before="0" w:after="0"/>
              <w:jc w:val="left"/>
              <w:rPr>
                <w:lang w:val="en-GB"/>
              </w:rPr>
            </w:pPr>
            <w:r>
              <w:rPr>
                <w:rFonts w:eastAsia="Calibri" w:cs=""/>
                <w:kern w:val="2"/>
                <w:sz w:val="22"/>
                <w:szCs w:val="22"/>
                <w:lang w:val="en-GB" w:eastAsia="en-US" w:bidi="ar-SA"/>
              </w:rPr>
              <w:t>Is the communication supportive of learning?</w:t>
              <w:br/>
              <w:t>How are participants activated during the teaching demonstration?</w:t>
              <w:br/>
            </w:r>
            <w:r>
              <w:rPr>
                <w:rFonts w:eastAsia="Calibri" w:cs=""/>
                <w:color w:themeColor="text1" w:val="000000"/>
                <w:kern w:val="2"/>
                <w:sz w:val="22"/>
                <w:szCs w:val="22"/>
                <w:lang w:val="en-GB" w:eastAsia="en-US" w:bidi="ar-SA"/>
              </w:rPr>
              <w:t>How are the elements described in</w:t>
            </w:r>
            <w:r>
              <w:rPr>
                <w:rFonts w:eastAsia="Calibri" w:cs=""/>
                <w:kern w:val="2"/>
                <w:sz w:val="22"/>
                <w:szCs w:val="22"/>
                <w:lang w:val="en-GB" w:eastAsia="en-US" w:bidi="ar-SA"/>
              </w:rPr>
              <w:t xml:space="preserve"> the teaching portfolio connected to communication and interaction in the teaching demonstration? </w:t>
            </w:r>
          </w:p>
          <w:p>
            <w:pPr>
              <w:pStyle w:val="ListParagraph"/>
              <w:widowControl/>
              <w:numPr>
                <w:ilvl w:val="0"/>
                <w:numId w:val="3"/>
              </w:numPr>
              <w:spacing w:lineRule="auto" w:line="240" w:before="0" w:after="0"/>
              <w:contextualSpacing/>
              <w:jc w:val="left"/>
              <w:rPr>
                <w:i/>
                <w:i/>
                <w:iCs/>
                <w:sz w:val="20"/>
                <w:szCs w:val="20"/>
                <w:lang w:val="en-GB"/>
              </w:rPr>
            </w:pPr>
            <w:r>
              <w:rPr>
                <w:rFonts w:eastAsia="Calibri" w:cs=""/>
                <w:i/>
                <w:iCs/>
                <w:kern w:val="2"/>
                <w:sz w:val="20"/>
                <w:szCs w:val="20"/>
                <w:lang w:val="en-GB" w:eastAsia="en-US" w:bidi="ar-SA"/>
              </w:rPr>
              <w:t xml:space="preserve">Clarity and comprehensibility of communication </w:t>
            </w:r>
          </w:p>
          <w:p>
            <w:pPr>
              <w:pStyle w:val="ListParagraph"/>
              <w:widowControl/>
              <w:numPr>
                <w:ilvl w:val="0"/>
                <w:numId w:val="3"/>
              </w:numPr>
              <w:spacing w:lineRule="auto" w:line="240" w:before="0" w:after="0"/>
              <w:contextualSpacing/>
              <w:jc w:val="left"/>
              <w:rPr>
                <w:i/>
                <w:i/>
                <w:iCs/>
                <w:sz w:val="20"/>
                <w:szCs w:val="20"/>
                <w:lang w:val="en-GB"/>
              </w:rPr>
            </w:pPr>
            <w:r>
              <w:rPr>
                <w:rFonts w:eastAsia="Calibri" w:cs=""/>
                <w:i/>
                <w:iCs/>
                <w:kern w:val="2"/>
                <w:sz w:val="20"/>
                <w:szCs w:val="20"/>
                <w:lang w:val="en-GB" w:eastAsia="en-US" w:bidi="ar-SA"/>
              </w:rPr>
              <w:t xml:space="preserve">Presence, use of voice, and use of space </w:t>
            </w:r>
          </w:p>
          <w:p>
            <w:pPr>
              <w:pStyle w:val="ListParagraph"/>
              <w:widowControl/>
              <w:numPr>
                <w:ilvl w:val="0"/>
                <w:numId w:val="3"/>
              </w:numPr>
              <w:spacing w:lineRule="auto" w:line="240" w:before="0" w:after="0"/>
              <w:contextualSpacing/>
              <w:jc w:val="left"/>
              <w:rPr>
                <w:i/>
                <w:i/>
                <w:iCs/>
                <w:sz w:val="20"/>
                <w:szCs w:val="20"/>
                <w:lang w:val="en-GB"/>
              </w:rPr>
            </w:pPr>
            <w:r>
              <w:rPr>
                <w:rFonts w:eastAsia="Calibri" w:cs=""/>
                <w:i/>
                <w:iCs/>
                <w:kern w:val="2"/>
                <w:sz w:val="20"/>
                <w:szCs w:val="20"/>
                <w:lang w:val="en-GB" w:eastAsia="en-US" w:bidi="ar-SA"/>
              </w:rPr>
              <w:t xml:space="preserve">Use of questions and eliciting questions </w:t>
            </w:r>
          </w:p>
          <w:p>
            <w:pPr>
              <w:pStyle w:val="ListParagraph"/>
              <w:widowControl/>
              <w:numPr>
                <w:ilvl w:val="0"/>
                <w:numId w:val="3"/>
              </w:numPr>
              <w:spacing w:lineRule="auto" w:line="240" w:before="0" w:after="0"/>
              <w:contextualSpacing/>
              <w:jc w:val="left"/>
              <w:rPr>
                <w:i/>
                <w:i/>
                <w:iCs/>
                <w:sz w:val="20"/>
                <w:szCs w:val="20"/>
                <w:lang w:val="en-GB"/>
              </w:rPr>
            </w:pPr>
            <w:r>
              <w:rPr>
                <w:rFonts w:eastAsia="Calibri" w:cs=""/>
                <w:i/>
                <w:iCs/>
                <w:kern w:val="2"/>
                <w:sz w:val="20"/>
                <w:szCs w:val="20"/>
                <w:lang w:val="en-GB" w:eastAsia="en-US" w:bidi="ar-SA"/>
              </w:rPr>
              <w:t xml:space="preserve">Responding to questions </w:t>
            </w:r>
          </w:p>
          <w:p>
            <w:pPr>
              <w:pStyle w:val="ListParagraph"/>
              <w:widowControl/>
              <w:numPr>
                <w:ilvl w:val="0"/>
                <w:numId w:val="3"/>
              </w:numPr>
              <w:spacing w:lineRule="auto" w:line="240" w:before="0" w:after="0"/>
              <w:contextualSpacing/>
              <w:jc w:val="left"/>
              <w:rPr>
                <w:i/>
                <w:i/>
                <w:iCs/>
                <w:sz w:val="20"/>
                <w:szCs w:val="20"/>
                <w:lang w:val="en-GB"/>
              </w:rPr>
            </w:pPr>
            <w:r>
              <w:rPr>
                <w:rFonts w:eastAsia="Calibri" w:cs=""/>
                <w:i/>
                <w:iCs/>
                <w:kern w:val="2"/>
                <w:sz w:val="20"/>
                <w:szCs w:val="20"/>
                <w:lang w:val="en-GB" w:eastAsia="en-US" w:bidi="ar-SA"/>
              </w:rPr>
              <w:t xml:space="preserve">Use of reflective tasks </w:t>
            </w:r>
          </w:p>
          <w:p>
            <w:pPr>
              <w:pStyle w:val="ListParagraph"/>
              <w:widowControl/>
              <w:numPr>
                <w:ilvl w:val="0"/>
                <w:numId w:val="3"/>
              </w:numPr>
              <w:spacing w:lineRule="auto" w:line="240" w:before="0" w:after="0"/>
              <w:contextualSpacing/>
              <w:jc w:val="left"/>
              <w:rPr>
                <w:i/>
                <w:i/>
                <w:iCs/>
                <w:sz w:val="20"/>
                <w:szCs w:val="20"/>
                <w:lang w:val="en-GB"/>
              </w:rPr>
            </w:pPr>
            <w:r>
              <w:rPr>
                <w:rFonts w:eastAsia="Calibri" w:cs=""/>
                <w:i/>
                <w:iCs/>
                <w:kern w:val="2"/>
                <w:sz w:val="20"/>
                <w:szCs w:val="20"/>
                <w:lang w:val="en-GB" w:eastAsia="en-US" w:bidi="ar-SA"/>
              </w:rPr>
              <w:t xml:space="preserve">Organization of the situation (e.g., natural use of groups, workshop-like activities) </w:t>
            </w:r>
          </w:p>
          <w:p>
            <w:pPr>
              <w:pStyle w:val="ListParagraph"/>
              <w:widowControl/>
              <w:numPr>
                <w:ilvl w:val="0"/>
                <w:numId w:val="3"/>
              </w:numPr>
              <w:spacing w:lineRule="auto" w:line="240" w:before="0" w:after="0"/>
              <w:contextualSpacing/>
              <w:jc w:val="left"/>
              <w:rPr>
                <w:i/>
                <w:i/>
                <w:iCs/>
                <w:sz w:val="20"/>
                <w:szCs w:val="20"/>
                <w:lang w:val="en-GB"/>
              </w:rPr>
            </w:pPr>
            <w:r>
              <w:rPr>
                <w:rFonts w:eastAsia="Calibri" w:cs=""/>
                <w:i/>
                <w:iCs/>
                <w:kern w:val="2"/>
                <w:sz w:val="20"/>
                <w:szCs w:val="20"/>
                <w:lang w:val="en-GB" w:eastAsia="en-US" w:bidi="ar-SA"/>
              </w:rPr>
              <w:t xml:space="preserve">Consideration of participants’ prior knowledge and skill level </w:t>
            </w:r>
          </w:p>
          <w:p>
            <w:pPr>
              <w:pStyle w:val="ListParagraph"/>
              <w:widowControl/>
              <w:numPr>
                <w:ilvl w:val="0"/>
                <w:numId w:val="3"/>
              </w:numPr>
              <w:spacing w:lineRule="auto" w:line="240" w:before="0" w:after="0"/>
              <w:contextualSpacing/>
              <w:jc w:val="left"/>
              <w:rPr>
                <w:i/>
                <w:i/>
                <w:iCs/>
                <w:sz w:val="20"/>
                <w:szCs w:val="20"/>
                <w:lang w:val="en-GB"/>
              </w:rPr>
            </w:pPr>
            <w:r>
              <w:rPr>
                <w:rFonts w:eastAsia="Calibri" w:cs=""/>
                <w:i/>
                <w:iCs/>
                <w:kern w:val="2"/>
                <w:sz w:val="20"/>
                <w:szCs w:val="20"/>
                <w:lang w:val="en-GB" w:eastAsia="en-US" w:bidi="ar-SA"/>
              </w:rPr>
              <w:t xml:space="preserve">Motivation and encouragement of participants to follow and engage </w:t>
            </w:r>
          </w:p>
          <w:p>
            <w:pPr>
              <w:pStyle w:val="ListParagraph"/>
              <w:widowControl/>
              <w:numPr>
                <w:ilvl w:val="0"/>
                <w:numId w:val="3"/>
              </w:numPr>
              <w:spacing w:lineRule="auto" w:line="240" w:before="0" w:after="0"/>
              <w:contextualSpacing/>
              <w:jc w:val="left"/>
              <w:rPr>
                <w:i/>
                <w:i/>
                <w:iCs/>
                <w:sz w:val="20"/>
                <w:szCs w:val="20"/>
                <w:lang w:val="en-GB"/>
              </w:rPr>
            </w:pPr>
            <w:r>
              <w:rPr>
                <w:rFonts w:eastAsia="Calibri" w:cs=""/>
                <w:i/>
                <w:iCs/>
                <w:kern w:val="2"/>
                <w:sz w:val="20"/>
                <w:szCs w:val="20"/>
                <w:lang w:val="en-GB" w:eastAsia="en-US" w:bidi="ar-SA"/>
              </w:rPr>
              <w:t>Connection between the teaching portfolio and communication/interaction in the teaching demonstration</w:t>
            </w:r>
          </w:p>
          <w:p>
            <w:pPr>
              <w:pStyle w:val="Normal"/>
              <w:widowControl/>
              <w:spacing w:lineRule="auto" w:line="240" w:before="0" w:after="0"/>
              <w:jc w:val="left"/>
              <w:rPr>
                <w:lang w:val="en-GB"/>
              </w:rPr>
            </w:pPr>
            <w:r>
              <w:rPr>
                <w:rFonts w:eastAsia="Calibri" w:cs=""/>
                <w:kern w:val="2"/>
                <w:sz w:val="22"/>
                <w:szCs w:val="22"/>
                <w:lang w:val="en-GB" w:eastAsia="en-US" w:bidi="ar-SA"/>
              </w:rPr>
            </w:r>
          </w:p>
        </w:tc>
        <w:tc>
          <w:tcPr>
            <w:tcW w:w="9714" w:type="dxa"/>
            <w:tcBorders/>
          </w:tcPr>
          <w:p>
            <w:pPr>
              <w:pStyle w:val="Normal"/>
              <w:widowControl/>
              <w:spacing w:lineRule="auto" w:line="240" w:before="0" w:after="0"/>
              <w:jc w:val="left"/>
              <w:rPr>
                <w:lang w:val="en-GB"/>
              </w:rPr>
            </w:pPr>
            <w:r>
              <w:rPr>
                <w:rFonts w:eastAsia="Calibri" w:cs=""/>
                <w:kern w:val="2"/>
                <w:sz w:val="22"/>
                <w:szCs w:val="22"/>
                <w:lang w:val="en-GB" w:eastAsia="en-US" w:bidi="ar-SA"/>
              </w:rPr>
            </w:r>
          </w:p>
        </w:tc>
      </w:tr>
      <w:tr>
        <w:trPr>
          <w:trHeight w:val="2967" w:hRule="atLeast"/>
        </w:trPr>
        <w:tc>
          <w:tcPr>
            <w:tcW w:w="5878" w:type="dxa"/>
            <w:tcBorders/>
          </w:tcPr>
          <w:p>
            <w:pPr>
              <w:pStyle w:val="Normal"/>
              <w:widowControl/>
              <w:spacing w:lineRule="auto" w:line="240" w:before="0" w:after="0"/>
              <w:jc w:val="left"/>
              <w:rPr>
                <w:b/>
                <w:bCs/>
                <w:lang w:val="en-GB"/>
              </w:rPr>
            </w:pPr>
            <w:r>
              <w:rPr>
                <w:rFonts w:eastAsia="Calibri" w:cs=""/>
                <w:b/>
                <w:bCs/>
                <w:kern w:val="2"/>
                <w:sz w:val="22"/>
                <w:szCs w:val="22"/>
                <w:lang w:val="en-GB" w:eastAsia="en-US" w:bidi="ar-SA"/>
              </w:rPr>
              <w:t>SUBJECT CONTENT</w:t>
            </w:r>
            <w:r>
              <w:rPr>
                <w:rFonts w:eastAsia="Calibri" w:cs=""/>
                <w:kern w:val="2"/>
                <w:sz w:val="22"/>
                <w:szCs w:val="22"/>
                <w:lang w:val="en-GB" w:eastAsia="en-US" w:bidi="ar-SA"/>
              </w:rPr>
              <w:t xml:space="preserve"> </w:t>
            </w:r>
          </w:p>
          <w:p>
            <w:pPr>
              <w:pStyle w:val="Normal"/>
              <w:widowControl/>
              <w:spacing w:lineRule="auto" w:line="240" w:before="0" w:after="0"/>
              <w:jc w:val="left"/>
              <w:rPr>
                <w:lang w:val="en-GB"/>
              </w:rPr>
            </w:pPr>
            <w:r>
              <w:rPr>
                <w:rFonts w:eastAsia="Calibri" w:cs=""/>
                <w:kern w:val="2"/>
                <w:sz w:val="22"/>
                <w:szCs w:val="22"/>
                <w:lang w:val="en-GB" w:eastAsia="en-US" w:bidi="ar-SA"/>
              </w:rPr>
              <w:t>Is the content meaningful, and is it addressed in a way that supports genuine understanding?</w:t>
              <w:br/>
              <w:t>How is research-based teaching reflected in the teaching demonstration?</w:t>
            </w:r>
          </w:p>
          <w:p>
            <w:pPr>
              <w:pStyle w:val="ListParagraph"/>
              <w:widowControl/>
              <w:numPr>
                <w:ilvl w:val="0"/>
                <w:numId w:val="4"/>
              </w:numPr>
              <w:spacing w:lineRule="auto" w:line="240" w:before="0" w:after="0"/>
              <w:contextualSpacing/>
              <w:jc w:val="left"/>
              <w:rPr>
                <w:i/>
                <w:i/>
                <w:iCs/>
                <w:sz w:val="20"/>
                <w:szCs w:val="20"/>
                <w:lang w:val="en-GB"/>
              </w:rPr>
            </w:pPr>
            <w:r>
              <w:rPr>
                <w:rFonts w:eastAsia="Calibri" w:cs=""/>
                <w:i/>
                <w:iCs/>
                <w:kern w:val="2"/>
                <w:sz w:val="20"/>
                <w:szCs w:val="20"/>
                <w:lang w:val="en-GB" w:eastAsia="en-US" w:bidi="ar-SA"/>
              </w:rPr>
              <w:t xml:space="preserve">Relevance of topic and content </w:t>
            </w:r>
          </w:p>
          <w:p>
            <w:pPr>
              <w:pStyle w:val="ListParagraph"/>
              <w:widowControl/>
              <w:numPr>
                <w:ilvl w:val="0"/>
                <w:numId w:val="4"/>
              </w:numPr>
              <w:spacing w:lineRule="auto" w:line="240" w:before="0" w:after="0"/>
              <w:contextualSpacing/>
              <w:jc w:val="left"/>
              <w:rPr>
                <w:i/>
                <w:i/>
                <w:iCs/>
                <w:sz w:val="20"/>
                <w:szCs w:val="20"/>
                <w:lang w:val="en-GB"/>
              </w:rPr>
            </w:pPr>
            <w:r>
              <w:rPr>
                <w:rFonts w:eastAsia="Calibri" w:cs=""/>
                <w:i/>
                <w:iCs/>
                <w:kern w:val="2"/>
                <w:sz w:val="20"/>
                <w:szCs w:val="20"/>
                <w:lang w:val="en-GB" w:eastAsia="en-US" w:bidi="ar-SA"/>
              </w:rPr>
              <w:t xml:space="preserve">Expertise, ability to apply knowledge creatively </w:t>
            </w:r>
          </w:p>
          <w:p>
            <w:pPr>
              <w:pStyle w:val="ListParagraph"/>
              <w:widowControl/>
              <w:numPr>
                <w:ilvl w:val="0"/>
                <w:numId w:val="4"/>
              </w:numPr>
              <w:spacing w:lineRule="auto" w:line="240" w:before="0" w:after="0"/>
              <w:contextualSpacing/>
              <w:jc w:val="left"/>
              <w:rPr>
                <w:i/>
                <w:i/>
                <w:iCs/>
                <w:sz w:val="20"/>
                <w:szCs w:val="20"/>
                <w:lang w:val="en-GB"/>
              </w:rPr>
            </w:pPr>
            <w:r>
              <w:rPr>
                <w:rFonts w:eastAsia="Calibri" w:cs=""/>
                <w:i/>
                <w:iCs/>
                <w:kern w:val="2"/>
                <w:sz w:val="20"/>
                <w:szCs w:val="20"/>
                <w:lang w:val="en-GB" w:eastAsia="en-US" w:bidi="ar-SA"/>
              </w:rPr>
              <w:t>Use of up-to-date research knowledge, including one´s own</w:t>
            </w:r>
            <w:r>
              <w:rPr>
                <w:rFonts w:eastAsia="Calibri" w:cs=""/>
                <w:i/>
                <w:iCs/>
                <w:color w:val="EE0000"/>
                <w:kern w:val="2"/>
                <w:sz w:val="20"/>
                <w:szCs w:val="20"/>
                <w:lang w:val="en-GB" w:eastAsia="en-US" w:bidi="ar-SA"/>
              </w:rPr>
              <w:t xml:space="preserve"> </w:t>
            </w:r>
            <w:r>
              <w:rPr>
                <w:rFonts w:eastAsia="Calibri" w:cs=""/>
                <w:i/>
                <w:iCs/>
                <w:kern w:val="2"/>
                <w:sz w:val="20"/>
                <w:szCs w:val="20"/>
                <w:lang w:val="en-GB" w:eastAsia="en-US" w:bidi="ar-SA"/>
              </w:rPr>
              <w:t xml:space="preserve">research results, relevance of information </w:t>
            </w:r>
          </w:p>
          <w:p>
            <w:pPr>
              <w:pStyle w:val="ListParagraph"/>
              <w:widowControl/>
              <w:numPr>
                <w:ilvl w:val="0"/>
                <w:numId w:val="4"/>
              </w:numPr>
              <w:spacing w:lineRule="auto" w:line="240" w:before="0" w:after="0"/>
              <w:contextualSpacing/>
              <w:jc w:val="left"/>
              <w:rPr>
                <w:i/>
                <w:i/>
                <w:iCs/>
                <w:sz w:val="20"/>
                <w:szCs w:val="20"/>
                <w:lang w:val="en-GB"/>
              </w:rPr>
            </w:pPr>
            <w:r>
              <w:rPr>
                <w:rFonts w:eastAsia="Calibri" w:cs=""/>
                <w:i/>
                <w:iCs/>
                <w:kern w:val="2"/>
                <w:sz w:val="20"/>
                <w:szCs w:val="20"/>
                <w:lang w:val="en-GB" w:eastAsia="en-US" w:bidi="ar-SA"/>
              </w:rPr>
              <w:t xml:space="preserve">Argumentation, persuasiveness, and criticality </w:t>
            </w:r>
          </w:p>
          <w:p>
            <w:pPr>
              <w:pStyle w:val="ListParagraph"/>
              <w:widowControl/>
              <w:numPr>
                <w:ilvl w:val="0"/>
                <w:numId w:val="4"/>
              </w:numPr>
              <w:spacing w:lineRule="auto" w:line="240" w:before="0" w:after="0"/>
              <w:contextualSpacing/>
              <w:jc w:val="left"/>
              <w:rPr>
                <w:i/>
                <w:i/>
                <w:iCs/>
                <w:sz w:val="20"/>
                <w:szCs w:val="20"/>
                <w:lang w:val="en-GB"/>
              </w:rPr>
            </w:pPr>
            <w:r>
              <w:rPr>
                <w:rFonts w:eastAsia="Calibri" w:cs=""/>
                <w:i/>
                <w:iCs/>
                <w:kern w:val="2"/>
                <w:sz w:val="20"/>
                <w:szCs w:val="20"/>
                <w:lang w:val="en-GB" w:eastAsia="en-US" w:bidi="ar-SA"/>
              </w:rPr>
              <w:t>Connection between theory and practice</w:t>
            </w:r>
          </w:p>
          <w:p>
            <w:pPr>
              <w:pStyle w:val="Normal"/>
              <w:widowControl/>
              <w:spacing w:lineRule="auto" w:line="240" w:before="0" w:after="0"/>
              <w:jc w:val="left"/>
              <w:rPr>
                <w:lang w:val="en-GB"/>
              </w:rPr>
            </w:pPr>
            <w:r>
              <w:rPr>
                <w:rFonts w:eastAsia="Calibri" w:cs=""/>
                <w:kern w:val="2"/>
                <w:sz w:val="22"/>
                <w:szCs w:val="22"/>
                <w:lang w:val="en-GB" w:eastAsia="en-US" w:bidi="ar-SA"/>
              </w:rPr>
            </w:r>
          </w:p>
        </w:tc>
        <w:tc>
          <w:tcPr>
            <w:tcW w:w="9714" w:type="dxa"/>
            <w:tcBorders/>
          </w:tcPr>
          <w:p>
            <w:pPr>
              <w:pStyle w:val="Normal"/>
              <w:widowControl/>
              <w:spacing w:lineRule="auto" w:line="240" w:before="0" w:after="0"/>
              <w:jc w:val="left"/>
              <w:rPr>
                <w:lang w:val="en-GB"/>
              </w:rPr>
            </w:pPr>
            <w:r>
              <w:rPr>
                <w:rFonts w:eastAsia="Calibri" w:cs=""/>
                <w:kern w:val="2"/>
                <w:sz w:val="22"/>
                <w:szCs w:val="22"/>
                <w:lang w:val="en-GB" w:eastAsia="en-US" w:bidi="ar-SA"/>
              </w:rPr>
            </w:r>
          </w:p>
        </w:tc>
      </w:tr>
      <w:tr>
        <w:trPr>
          <w:trHeight w:val="2398" w:hRule="atLeast"/>
        </w:trPr>
        <w:tc>
          <w:tcPr>
            <w:tcW w:w="5878" w:type="dxa"/>
            <w:tcBorders/>
          </w:tcPr>
          <w:p>
            <w:pPr>
              <w:pStyle w:val="Normal"/>
              <w:widowControl/>
              <w:spacing w:lineRule="auto" w:line="240" w:before="0" w:after="0"/>
              <w:jc w:val="left"/>
              <w:rPr>
                <w:b/>
                <w:bCs/>
              </w:rPr>
            </w:pPr>
            <w:r>
              <w:rPr>
                <w:rFonts w:eastAsia="Calibri" w:cs=""/>
                <w:b/>
                <w:bCs/>
                <w:kern w:val="2"/>
                <w:sz w:val="22"/>
                <w:szCs w:val="22"/>
                <w:lang w:val="fi-FI" w:eastAsia="en-US" w:bidi="ar-SA"/>
              </w:rPr>
              <w:t>METHODS</w:t>
            </w:r>
            <w:r>
              <w:rPr>
                <w:rFonts w:eastAsia="Calibri" w:cs=""/>
                <w:kern w:val="2"/>
                <w:sz w:val="22"/>
                <w:szCs w:val="22"/>
                <w:lang w:val="fi-FI" w:eastAsia="en-US" w:bidi="ar-SA"/>
              </w:rPr>
              <w:t xml:space="preserve"> </w:t>
            </w:r>
          </w:p>
          <w:p>
            <w:pPr>
              <w:pStyle w:val="Normal"/>
              <w:widowControl/>
              <w:spacing w:lineRule="auto" w:line="240" w:before="0" w:after="0"/>
              <w:jc w:val="left"/>
              <w:rPr>
                <w:lang w:val="en-GB"/>
              </w:rPr>
            </w:pPr>
            <w:r>
              <w:rPr>
                <w:rFonts w:eastAsia="Calibri" w:cs=""/>
                <w:kern w:val="2"/>
                <w:sz w:val="22"/>
                <w:szCs w:val="22"/>
                <w:lang w:val="en-GB" w:eastAsia="en-US" w:bidi="ar-SA"/>
              </w:rPr>
              <w:t>Are the methods used pedagogically appropriate?</w:t>
              <w:br/>
              <w:t xml:space="preserve">How are the elements described in the teaching portfolio connected to the methods used in the teaching demonstration? </w:t>
            </w:r>
          </w:p>
          <w:p>
            <w:pPr>
              <w:pStyle w:val="ListParagraph"/>
              <w:widowControl/>
              <w:numPr>
                <w:ilvl w:val="0"/>
                <w:numId w:val="5"/>
              </w:numPr>
              <w:spacing w:lineRule="auto" w:line="240" w:before="0" w:after="0"/>
              <w:contextualSpacing/>
              <w:jc w:val="left"/>
              <w:rPr>
                <w:i/>
                <w:i/>
                <w:iCs/>
                <w:sz w:val="20"/>
                <w:szCs w:val="20"/>
                <w:lang w:val="en-GB"/>
              </w:rPr>
            </w:pPr>
            <w:r>
              <w:rPr>
                <w:rFonts w:eastAsia="Calibri" w:cs=""/>
                <w:i/>
                <w:iCs/>
                <w:kern w:val="2"/>
                <w:sz w:val="20"/>
                <w:szCs w:val="20"/>
                <w:lang w:val="en-GB" w:eastAsia="en-US" w:bidi="ar-SA"/>
              </w:rPr>
              <w:t xml:space="preserve">Flexible and appropriate use of teaching tools </w:t>
            </w:r>
          </w:p>
          <w:p>
            <w:pPr>
              <w:pStyle w:val="ListParagraph"/>
              <w:widowControl/>
              <w:numPr>
                <w:ilvl w:val="0"/>
                <w:numId w:val="5"/>
              </w:numPr>
              <w:spacing w:lineRule="auto" w:line="240" w:before="0" w:after="0"/>
              <w:contextualSpacing/>
              <w:jc w:val="left"/>
              <w:rPr>
                <w:i/>
                <w:i/>
                <w:iCs/>
                <w:sz w:val="20"/>
                <w:szCs w:val="20"/>
                <w:lang w:val="en-GB"/>
              </w:rPr>
            </w:pPr>
            <w:r>
              <w:rPr>
                <w:rFonts w:eastAsia="Calibri" w:cs=""/>
                <w:i/>
                <w:iCs/>
                <w:kern w:val="2"/>
                <w:sz w:val="20"/>
                <w:szCs w:val="20"/>
                <w:lang w:val="en-GB" w:eastAsia="en-US" w:bidi="ar-SA"/>
              </w:rPr>
              <w:t xml:space="preserve">Quality and clarity of teaching materials and appropriateness of their use </w:t>
            </w:r>
          </w:p>
          <w:p>
            <w:pPr>
              <w:pStyle w:val="ListParagraph"/>
              <w:widowControl/>
              <w:numPr>
                <w:ilvl w:val="0"/>
                <w:numId w:val="5"/>
              </w:numPr>
              <w:spacing w:lineRule="auto" w:line="240" w:before="0" w:after="0"/>
              <w:contextualSpacing/>
              <w:jc w:val="left"/>
              <w:rPr>
                <w:i/>
                <w:i/>
                <w:iCs/>
                <w:sz w:val="20"/>
                <w:szCs w:val="20"/>
                <w:lang w:val="en-GB"/>
              </w:rPr>
            </w:pPr>
            <w:r>
              <w:rPr>
                <w:rFonts w:eastAsia="Calibri" w:cs=""/>
                <w:i/>
                <w:iCs/>
                <w:kern w:val="2"/>
                <w:sz w:val="20"/>
                <w:szCs w:val="20"/>
                <w:lang w:val="en-GB" w:eastAsia="en-US" w:bidi="ar-SA"/>
              </w:rPr>
              <w:t xml:space="preserve">Clarity and illustrative quality of slides: amount of text, structure, and use of images/figures </w:t>
            </w:r>
          </w:p>
          <w:p>
            <w:pPr>
              <w:pStyle w:val="ListParagraph"/>
              <w:widowControl/>
              <w:numPr>
                <w:ilvl w:val="0"/>
                <w:numId w:val="5"/>
              </w:numPr>
              <w:spacing w:lineRule="auto" w:line="240" w:before="0" w:after="0"/>
              <w:contextualSpacing/>
              <w:jc w:val="left"/>
              <w:rPr>
                <w:i/>
                <w:i/>
                <w:iCs/>
                <w:sz w:val="20"/>
                <w:szCs w:val="20"/>
                <w:lang w:val="en-GB"/>
              </w:rPr>
            </w:pPr>
            <w:r>
              <w:rPr>
                <w:rFonts w:eastAsia="Calibri" w:cs=""/>
                <w:i/>
                <w:iCs/>
                <w:kern w:val="2"/>
                <w:sz w:val="20"/>
                <w:szCs w:val="20"/>
                <w:lang w:val="en-GB" w:eastAsia="en-US" w:bidi="ar-SA"/>
              </w:rPr>
              <w:t xml:space="preserve">Overall organization of the teaching demonstration (incl. consideration of different learners) </w:t>
            </w:r>
          </w:p>
          <w:p>
            <w:pPr>
              <w:pStyle w:val="ListParagraph"/>
              <w:widowControl/>
              <w:numPr>
                <w:ilvl w:val="0"/>
                <w:numId w:val="5"/>
              </w:numPr>
              <w:spacing w:lineRule="auto" w:line="240" w:before="0" w:after="0"/>
              <w:contextualSpacing/>
              <w:jc w:val="left"/>
              <w:rPr>
                <w:i/>
                <w:i/>
                <w:iCs/>
                <w:sz w:val="20"/>
                <w:szCs w:val="20"/>
                <w:lang w:val="en-GB"/>
              </w:rPr>
            </w:pPr>
            <w:r>
              <w:rPr>
                <w:rFonts w:eastAsia="Calibri" w:cs=""/>
                <w:i/>
                <w:iCs/>
                <w:kern w:val="2"/>
                <w:sz w:val="20"/>
                <w:szCs w:val="20"/>
                <w:lang w:val="en-GB" w:eastAsia="en-US" w:bidi="ar-SA"/>
              </w:rPr>
              <w:t xml:space="preserve">Explanation of source material and use of references, accessibility of learning materials </w:t>
            </w:r>
          </w:p>
          <w:p>
            <w:pPr>
              <w:pStyle w:val="ListParagraph"/>
              <w:widowControl/>
              <w:numPr>
                <w:ilvl w:val="0"/>
                <w:numId w:val="5"/>
              </w:numPr>
              <w:spacing w:lineRule="auto" w:line="240" w:before="0" w:after="0"/>
              <w:contextualSpacing/>
              <w:jc w:val="left"/>
              <w:rPr>
                <w:i/>
                <w:i/>
                <w:iCs/>
                <w:sz w:val="20"/>
                <w:szCs w:val="20"/>
                <w:lang w:val="en-GB"/>
              </w:rPr>
            </w:pPr>
            <w:r>
              <w:rPr>
                <w:rFonts w:eastAsia="Calibri" w:cs=""/>
                <w:i/>
                <w:iCs/>
                <w:kern w:val="2"/>
                <w:sz w:val="20"/>
                <w:szCs w:val="20"/>
                <w:lang w:val="en-GB" w:eastAsia="en-US" w:bidi="ar-SA"/>
              </w:rPr>
              <w:t>Connection between the teaching portfolio and the methods used</w:t>
            </w:r>
          </w:p>
          <w:p>
            <w:pPr>
              <w:pStyle w:val="Normal"/>
              <w:widowControl/>
              <w:spacing w:lineRule="auto" w:line="240" w:before="0" w:after="0"/>
              <w:jc w:val="left"/>
              <w:rPr>
                <w:i/>
                <w:i/>
                <w:iCs/>
                <w:sz w:val="20"/>
                <w:szCs w:val="20"/>
                <w:lang w:val="en-GB"/>
              </w:rPr>
            </w:pPr>
            <w:r>
              <w:rPr>
                <w:rFonts w:eastAsia="Calibri" w:cs=""/>
                <w:i/>
                <w:iCs/>
                <w:kern w:val="2"/>
                <w:sz w:val="20"/>
                <w:szCs w:val="20"/>
                <w:lang w:val="en-GB" w:eastAsia="en-US" w:bidi="ar-SA"/>
              </w:rPr>
            </w:r>
          </w:p>
        </w:tc>
        <w:tc>
          <w:tcPr>
            <w:tcW w:w="9714" w:type="dxa"/>
            <w:tcBorders/>
          </w:tcPr>
          <w:p>
            <w:pPr>
              <w:pStyle w:val="Normal"/>
              <w:widowControl/>
              <w:spacing w:lineRule="auto" w:line="240" w:before="0" w:after="0"/>
              <w:jc w:val="left"/>
              <w:rPr>
                <w:lang w:val="en-GB"/>
              </w:rPr>
            </w:pPr>
            <w:r>
              <w:rPr>
                <w:rFonts w:eastAsia="Calibri" w:cs=""/>
                <w:kern w:val="2"/>
                <w:sz w:val="22"/>
                <w:szCs w:val="22"/>
                <w:lang w:val="en-GB" w:eastAsia="en-US" w:bidi="ar-SA"/>
              </w:rPr>
            </w:r>
          </w:p>
        </w:tc>
      </w:tr>
    </w:tbl>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b/>
          <w:bCs/>
          <w:caps/>
          <w:lang w:val="en-GB"/>
        </w:rPr>
      </w:pPr>
      <w:r>
        <w:rPr>
          <w:b/>
          <w:bCs/>
          <w:caps/>
          <w:lang w:val="en-GB"/>
        </w:rPr>
        <w:t>Assessment Table for Teaching COMPETENCE (Teaching Portfolio and Teaching Demonstration)</w:t>
      </w:r>
    </w:p>
    <w:tbl>
      <w:tblPr>
        <w:tblStyle w:val="TableGrid"/>
        <w:tblW w:w="16019" w:type="dxa"/>
        <w:jc w:val="left"/>
        <w:tblInd w:w="-998" w:type="dxa"/>
        <w:tblLayout w:type="fixed"/>
        <w:tblCellMar>
          <w:top w:w="0" w:type="dxa"/>
          <w:left w:w="108" w:type="dxa"/>
          <w:bottom w:w="0" w:type="dxa"/>
          <w:right w:w="108" w:type="dxa"/>
        </w:tblCellMar>
        <w:tblLook w:val="04a0" w:noHBand="0" w:noVBand="1" w:firstColumn="1" w:lastRow="0" w:lastColumn="0" w:firstRow="1"/>
      </w:tblPr>
      <w:tblGrid>
        <w:gridCol w:w="1997"/>
        <w:gridCol w:w="2539"/>
        <w:gridCol w:w="2835"/>
        <w:gridCol w:w="2552"/>
        <w:gridCol w:w="2836"/>
        <w:gridCol w:w="3259"/>
      </w:tblGrid>
      <w:tr>
        <w:trPr/>
        <w:tc>
          <w:tcPr>
            <w:tcW w:w="1997" w:type="dxa"/>
            <w:tcBorders/>
          </w:tcPr>
          <w:p>
            <w:pPr>
              <w:pStyle w:val="Normal"/>
              <w:widowControl/>
              <w:spacing w:lineRule="auto" w:line="240" w:before="0" w:after="0"/>
              <w:jc w:val="left"/>
              <w:rPr>
                <w:b/>
                <w:bCs/>
                <w:sz w:val="21"/>
                <w:szCs w:val="21"/>
              </w:rPr>
            </w:pPr>
            <w:r>
              <w:rPr>
                <w:rFonts w:eastAsia="Calibri" w:cs=""/>
                <w:b/>
                <w:bCs/>
                <w:kern w:val="2"/>
                <w:sz w:val="21"/>
                <w:szCs w:val="21"/>
                <w:lang w:val="fi-FI" w:eastAsia="en-US" w:bidi="ar-SA"/>
              </w:rPr>
              <w:t>Area of teaching competence</w:t>
            </w:r>
          </w:p>
        </w:tc>
        <w:tc>
          <w:tcPr>
            <w:tcW w:w="2539" w:type="dxa"/>
            <w:tcBorders/>
          </w:tcPr>
          <w:p>
            <w:pPr>
              <w:pStyle w:val="Normal"/>
              <w:widowControl/>
              <w:spacing w:lineRule="auto" w:line="240" w:before="0" w:after="0"/>
              <w:jc w:val="left"/>
              <w:rPr>
                <w:b/>
                <w:bCs/>
                <w:sz w:val="21"/>
                <w:szCs w:val="21"/>
              </w:rPr>
            </w:pPr>
            <w:r>
              <w:rPr>
                <w:rFonts w:eastAsia="Calibri" w:cs=""/>
                <w:b/>
                <w:bCs/>
                <w:kern w:val="2"/>
                <w:sz w:val="21"/>
                <w:szCs w:val="21"/>
                <w:lang w:val="fi-FI" w:eastAsia="en-US" w:bidi="ar-SA"/>
              </w:rPr>
              <w:t>Poor/Weak, 1</w:t>
            </w:r>
          </w:p>
        </w:tc>
        <w:tc>
          <w:tcPr>
            <w:tcW w:w="2835" w:type="dxa"/>
            <w:tcBorders/>
          </w:tcPr>
          <w:p>
            <w:pPr>
              <w:pStyle w:val="Normal"/>
              <w:widowControl/>
              <w:spacing w:lineRule="auto" w:line="240" w:before="0" w:after="0"/>
              <w:jc w:val="left"/>
              <w:rPr>
                <w:b/>
                <w:bCs/>
                <w:sz w:val="21"/>
                <w:szCs w:val="21"/>
              </w:rPr>
            </w:pPr>
            <w:r>
              <w:rPr>
                <w:rFonts w:eastAsia="Calibri" w:cs=""/>
                <w:b/>
                <w:bCs/>
                <w:kern w:val="2"/>
                <w:sz w:val="21"/>
                <w:szCs w:val="21"/>
                <w:lang w:val="fi-FI" w:eastAsia="en-US" w:bidi="ar-SA"/>
              </w:rPr>
              <w:t>Satisfactory, 2</w:t>
            </w:r>
          </w:p>
        </w:tc>
        <w:tc>
          <w:tcPr>
            <w:tcW w:w="2552" w:type="dxa"/>
            <w:tcBorders/>
          </w:tcPr>
          <w:p>
            <w:pPr>
              <w:pStyle w:val="Normal"/>
              <w:widowControl/>
              <w:spacing w:lineRule="auto" w:line="240" w:before="0" w:after="0"/>
              <w:jc w:val="left"/>
              <w:rPr>
                <w:b/>
                <w:bCs/>
                <w:sz w:val="21"/>
                <w:szCs w:val="21"/>
              </w:rPr>
            </w:pPr>
            <w:r>
              <w:rPr>
                <w:rFonts w:eastAsia="Calibri" w:cs=""/>
                <w:b/>
                <w:bCs/>
                <w:kern w:val="2"/>
                <w:sz w:val="21"/>
                <w:szCs w:val="21"/>
                <w:lang w:val="fi-FI" w:eastAsia="en-US" w:bidi="ar-SA"/>
              </w:rPr>
              <w:t>Good, 3</w:t>
            </w:r>
          </w:p>
        </w:tc>
        <w:tc>
          <w:tcPr>
            <w:tcW w:w="2836" w:type="dxa"/>
            <w:tcBorders/>
          </w:tcPr>
          <w:p>
            <w:pPr>
              <w:pStyle w:val="Normal"/>
              <w:widowControl/>
              <w:spacing w:lineRule="auto" w:line="240" w:before="0" w:after="0"/>
              <w:jc w:val="left"/>
              <w:rPr>
                <w:b/>
                <w:bCs/>
                <w:sz w:val="21"/>
                <w:szCs w:val="21"/>
              </w:rPr>
            </w:pPr>
            <w:r>
              <w:rPr>
                <w:rFonts w:eastAsia="Calibri" w:cs=""/>
                <w:b/>
                <w:bCs/>
                <w:kern w:val="2"/>
                <w:sz w:val="21"/>
                <w:szCs w:val="21"/>
                <w:lang w:val="fi-FI" w:eastAsia="en-US" w:bidi="ar-SA"/>
              </w:rPr>
              <w:t>Very good, 4</w:t>
            </w:r>
          </w:p>
        </w:tc>
        <w:tc>
          <w:tcPr>
            <w:tcW w:w="3259" w:type="dxa"/>
            <w:tcBorders/>
          </w:tcPr>
          <w:p>
            <w:pPr>
              <w:pStyle w:val="Normal"/>
              <w:widowControl/>
              <w:spacing w:lineRule="auto" w:line="240" w:before="0" w:after="0"/>
              <w:jc w:val="left"/>
              <w:rPr>
                <w:b/>
                <w:bCs/>
                <w:sz w:val="21"/>
                <w:szCs w:val="21"/>
              </w:rPr>
            </w:pPr>
            <w:r>
              <w:rPr>
                <w:rFonts w:eastAsia="Calibri" w:cs=""/>
                <w:b/>
                <w:bCs/>
                <w:kern w:val="2"/>
                <w:sz w:val="21"/>
                <w:szCs w:val="21"/>
                <w:lang w:val="fi-FI" w:eastAsia="en-US" w:bidi="ar-SA"/>
              </w:rPr>
              <w:t>Excellent, 5</w:t>
            </w:r>
          </w:p>
        </w:tc>
      </w:tr>
      <w:tr>
        <w:trPr/>
        <w:tc>
          <w:tcPr>
            <w:tcW w:w="1997" w:type="dxa"/>
            <w:tcBorders/>
          </w:tcPr>
          <w:p>
            <w:pPr>
              <w:pStyle w:val="Normal"/>
              <w:widowControl/>
              <w:spacing w:lineRule="auto" w:line="240" w:before="0" w:after="0"/>
              <w:jc w:val="left"/>
              <w:rPr>
                <w:b/>
                <w:bCs/>
                <w:sz w:val="21"/>
                <w:szCs w:val="21"/>
                <w:lang w:val="en-GB"/>
              </w:rPr>
            </w:pPr>
            <w:r>
              <w:rPr>
                <w:rFonts w:eastAsia="Calibri" w:cs=""/>
                <w:b/>
                <w:bCs/>
                <w:kern w:val="2"/>
                <w:sz w:val="21"/>
                <w:szCs w:val="21"/>
                <w:lang w:val="en-GB" w:eastAsia="en-US" w:bidi="ar-SA"/>
              </w:rPr>
              <w:t>Teaching demonstration as a whole and feedback</w:t>
            </w:r>
          </w:p>
          <w:p>
            <w:pPr>
              <w:pStyle w:val="Normal"/>
              <w:widowControl/>
              <w:spacing w:lineRule="auto" w:line="240" w:before="0" w:after="0"/>
              <w:jc w:val="left"/>
              <w:rPr>
                <w:b/>
                <w:bCs/>
                <w:sz w:val="21"/>
                <w:szCs w:val="21"/>
                <w:lang w:val="en-GB"/>
              </w:rPr>
            </w:pPr>
            <w:r>
              <w:rPr>
                <w:rFonts w:eastAsia="Calibri" w:cs=""/>
                <w:b/>
                <w:bCs/>
                <w:kern w:val="2"/>
                <w:sz w:val="21"/>
                <w:szCs w:val="21"/>
                <w:lang w:val="en-GB" w:eastAsia="en-US" w:bidi="ar-SA"/>
              </w:rPr>
            </w:r>
          </w:p>
        </w:tc>
        <w:tc>
          <w:tcPr>
            <w:tcW w:w="2539" w:type="dxa"/>
            <w:tcBorders/>
          </w:tcPr>
          <w:p>
            <w:pPr>
              <w:pStyle w:val="Normal"/>
              <w:widowControl/>
              <w:spacing w:lineRule="auto" w:line="240" w:before="0" w:after="0"/>
              <w:jc w:val="left"/>
              <w:rPr>
                <w:i/>
                <w:i/>
                <w:iCs/>
                <w:sz w:val="21"/>
                <w:szCs w:val="21"/>
                <w:lang w:val="en-GB"/>
              </w:rPr>
            </w:pPr>
            <w:r>
              <w:rPr>
                <w:rFonts w:eastAsia="Calibri" w:cs=""/>
                <w:i/>
                <w:iCs/>
                <w:kern w:val="2"/>
                <w:sz w:val="21"/>
                <w:szCs w:val="21"/>
                <w:lang w:val="en-GB" w:eastAsia="en-US" w:bidi="ar-SA"/>
              </w:rPr>
              <w:t>Learning and teaching objectives are not defined at all or are defined unclearly. The overall structure of the teaching demonstration is fragmented and there are challenges in time management. The link between the teaching demonstration and the applicant’s own pedagogical thinking remains unclear. The applicant does not actively seek feedback on the success of the teaching.</w:t>
            </w:r>
          </w:p>
          <w:p>
            <w:pPr>
              <w:pStyle w:val="Normal"/>
              <w:widowControl/>
              <w:spacing w:lineRule="auto" w:line="240" w:before="0" w:after="0"/>
              <w:jc w:val="left"/>
              <w:rPr>
                <w:i/>
                <w:i/>
                <w:iCs/>
                <w:sz w:val="21"/>
                <w:szCs w:val="21"/>
                <w:lang w:val="en-GB"/>
              </w:rPr>
            </w:pPr>
            <w:r>
              <w:rPr>
                <w:rFonts w:eastAsia="Calibri" w:cs=""/>
                <w:i/>
                <w:iCs/>
                <w:kern w:val="2"/>
                <w:sz w:val="21"/>
                <w:szCs w:val="21"/>
                <w:lang w:val="en-GB" w:eastAsia="en-US" w:bidi="ar-SA"/>
              </w:rPr>
            </w:r>
          </w:p>
        </w:tc>
        <w:tc>
          <w:tcPr>
            <w:tcW w:w="2835" w:type="dxa"/>
            <w:tcBorders/>
          </w:tcPr>
          <w:p>
            <w:pPr>
              <w:pStyle w:val="Normal"/>
              <w:widowControl/>
              <w:spacing w:lineRule="auto" w:line="240" w:before="0" w:after="0"/>
              <w:jc w:val="left"/>
              <w:rPr>
                <w:i/>
                <w:i/>
                <w:iCs/>
                <w:sz w:val="21"/>
                <w:szCs w:val="21"/>
                <w:lang w:val="en-GB"/>
              </w:rPr>
            </w:pPr>
            <w:r>
              <w:rPr>
                <w:rFonts w:eastAsia="Calibri" w:cs=""/>
                <w:i/>
                <w:iCs/>
                <w:kern w:val="2"/>
                <w:sz w:val="21"/>
                <w:szCs w:val="21"/>
                <w:lang w:val="en-GB" w:eastAsia="en-US" w:bidi="ar-SA"/>
              </w:rPr>
              <w:t>There may be some shortcomings in defining the learning and teaching objectives. The overall structure or coherence of the demonstration contains deficiencies, or some challenges appear in time management. The connection between the teaching demonstration and the applicant’s own pedagogical thinking is insufficient or minimal. The applicant pays only limited attention to monitoring the success of the teaching demonstration.</w:t>
            </w:r>
          </w:p>
          <w:p>
            <w:pPr>
              <w:pStyle w:val="Normal"/>
              <w:widowControl/>
              <w:spacing w:lineRule="auto" w:line="240" w:before="0" w:after="0"/>
              <w:jc w:val="left"/>
              <w:rPr>
                <w:i/>
                <w:i/>
                <w:iCs/>
                <w:sz w:val="21"/>
                <w:szCs w:val="21"/>
                <w:lang w:val="en-GB"/>
              </w:rPr>
            </w:pPr>
            <w:r>
              <w:rPr>
                <w:rFonts w:eastAsia="Calibri" w:cs=""/>
                <w:i/>
                <w:iCs/>
                <w:kern w:val="2"/>
                <w:sz w:val="21"/>
                <w:szCs w:val="21"/>
                <w:lang w:val="en-GB" w:eastAsia="en-US" w:bidi="ar-SA"/>
              </w:rPr>
            </w:r>
          </w:p>
        </w:tc>
        <w:tc>
          <w:tcPr>
            <w:tcW w:w="2552" w:type="dxa"/>
            <w:tcBorders/>
          </w:tcPr>
          <w:p>
            <w:pPr>
              <w:pStyle w:val="Normal"/>
              <w:widowControl/>
              <w:spacing w:lineRule="auto" w:line="240" w:before="0" w:after="0"/>
              <w:jc w:val="left"/>
              <w:rPr>
                <w:i/>
                <w:i/>
                <w:iCs/>
                <w:sz w:val="21"/>
                <w:szCs w:val="21"/>
                <w:lang w:val="en-GB"/>
              </w:rPr>
            </w:pPr>
            <w:r>
              <w:rPr>
                <w:rFonts w:eastAsia="Calibri" w:cs=""/>
                <w:i/>
                <w:iCs/>
                <w:kern w:val="2"/>
                <w:sz w:val="21"/>
                <w:szCs w:val="21"/>
                <w:lang w:val="en-GB" w:eastAsia="en-US" w:bidi="ar-SA"/>
              </w:rPr>
              <w:t>Learning and teaching objectives are defined. The teaching demonstration forms a clear whole and time management is successful. There is a connection between the demonstration and the applicant’s pedagogical thinking. The applicant monitors the success of the demonstration and shows readiness to make adjustments or corrections during the demonstration.</w:t>
            </w:r>
          </w:p>
          <w:p>
            <w:pPr>
              <w:pStyle w:val="Normal"/>
              <w:widowControl/>
              <w:spacing w:lineRule="auto" w:line="240" w:before="0" w:after="0"/>
              <w:jc w:val="left"/>
              <w:rPr>
                <w:i/>
                <w:i/>
                <w:iCs/>
                <w:sz w:val="21"/>
                <w:szCs w:val="21"/>
                <w:lang w:val="en-GB"/>
              </w:rPr>
            </w:pPr>
            <w:r>
              <w:rPr>
                <w:rFonts w:eastAsia="Calibri" w:cs=""/>
                <w:i/>
                <w:iCs/>
                <w:kern w:val="2"/>
                <w:sz w:val="21"/>
                <w:szCs w:val="21"/>
                <w:lang w:val="en-GB" w:eastAsia="en-US" w:bidi="ar-SA"/>
              </w:rPr>
            </w:r>
          </w:p>
        </w:tc>
        <w:tc>
          <w:tcPr>
            <w:tcW w:w="2836" w:type="dxa"/>
            <w:tcBorders/>
          </w:tcPr>
          <w:p>
            <w:pPr>
              <w:pStyle w:val="Normal"/>
              <w:widowControl/>
              <w:spacing w:lineRule="auto" w:line="240" w:before="0" w:after="0"/>
              <w:jc w:val="left"/>
              <w:rPr>
                <w:i/>
                <w:i/>
                <w:iCs/>
                <w:sz w:val="21"/>
                <w:szCs w:val="21"/>
                <w:lang w:val="en-GB"/>
              </w:rPr>
            </w:pPr>
            <w:r>
              <w:rPr>
                <w:rFonts w:eastAsia="Calibri" w:cs=""/>
                <w:i/>
                <w:iCs/>
                <w:kern w:val="2"/>
                <w:sz w:val="21"/>
                <w:szCs w:val="21"/>
                <w:lang w:val="en-GB" w:eastAsia="en-US" w:bidi="ar-SA"/>
              </w:rPr>
              <w:t>Learning and teaching objectives are defined very clearly. The teaching demonstration forms a clear and coherent whole and time management is successful. There is a clear connection between the demonstration and the applicant’s pedagogical thinking. The applicant actively monitors the success of the teaching and makes necessary adjustments or corrections during the demonstration and reflects on their pedagogical choices.</w:t>
            </w:r>
          </w:p>
          <w:p>
            <w:pPr>
              <w:pStyle w:val="Normal"/>
              <w:widowControl/>
              <w:spacing w:lineRule="auto" w:line="240" w:before="0" w:after="0"/>
              <w:jc w:val="left"/>
              <w:rPr>
                <w:i/>
                <w:i/>
                <w:iCs/>
                <w:sz w:val="21"/>
                <w:szCs w:val="21"/>
                <w:lang w:val="en-GB"/>
              </w:rPr>
            </w:pPr>
            <w:r>
              <w:rPr>
                <w:rFonts w:eastAsia="Calibri" w:cs=""/>
                <w:i/>
                <w:iCs/>
                <w:kern w:val="2"/>
                <w:sz w:val="21"/>
                <w:szCs w:val="21"/>
                <w:lang w:val="en-GB" w:eastAsia="en-US" w:bidi="ar-SA"/>
              </w:rPr>
            </w:r>
          </w:p>
        </w:tc>
        <w:tc>
          <w:tcPr>
            <w:tcW w:w="3259" w:type="dxa"/>
            <w:tcBorders/>
          </w:tcPr>
          <w:p>
            <w:pPr>
              <w:pStyle w:val="Normal"/>
              <w:widowControl/>
              <w:spacing w:lineRule="auto" w:line="240" w:before="0" w:after="0"/>
              <w:jc w:val="left"/>
              <w:rPr>
                <w:i/>
                <w:i/>
                <w:iCs/>
                <w:sz w:val="21"/>
                <w:szCs w:val="21"/>
                <w:lang w:val="en-GB"/>
              </w:rPr>
            </w:pPr>
            <w:r>
              <w:rPr>
                <w:rFonts w:eastAsia="Calibri" w:cs=""/>
                <w:i/>
                <w:iCs/>
                <w:kern w:val="2"/>
                <w:sz w:val="21"/>
                <w:szCs w:val="21"/>
                <w:lang w:val="en-GB" w:eastAsia="en-US" w:bidi="ar-SA"/>
              </w:rPr>
              <w:t>Learning and teaching objectives are defined very clearly, and their achievement is reflected upon in the demonstration. The demonstration forms a highly clear, consistent, and coherent whole, and time management is excellent. There is a strong connection between the demonstration and the applicant’s pedagogical thinking. The applicant monitors the success of the teaching very actively throughout the demonstration and has prepared comprehensively for various potential pedagogical developments during the demonstration.</w:t>
            </w:r>
          </w:p>
          <w:p>
            <w:pPr>
              <w:pStyle w:val="Normal"/>
              <w:widowControl/>
              <w:spacing w:lineRule="auto" w:line="240" w:before="0" w:after="0"/>
              <w:jc w:val="left"/>
              <w:rPr>
                <w:i/>
                <w:i/>
                <w:iCs/>
                <w:sz w:val="21"/>
                <w:szCs w:val="21"/>
                <w:lang w:val="en-GB"/>
              </w:rPr>
            </w:pPr>
            <w:r>
              <w:rPr>
                <w:rFonts w:eastAsia="Calibri" w:cs=""/>
                <w:i/>
                <w:iCs/>
                <w:kern w:val="2"/>
                <w:sz w:val="21"/>
                <w:szCs w:val="21"/>
                <w:lang w:val="en-GB" w:eastAsia="en-US" w:bidi="ar-SA"/>
              </w:rPr>
            </w:r>
          </w:p>
        </w:tc>
      </w:tr>
      <w:tr>
        <w:trPr/>
        <w:tc>
          <w:tcPr>
            <w:tcW w:w="1997" w:type="dxa"/>
            <w:tcBorders/>
          </w:tcPr>
          <w:p>
            <w:pPr>
              <w:pStyle w:val="Normal"/>
              <w:widowControl/>
              <w:spacing w:lineRule="auto" w:line="240" w:before="0" w:after="0"/>
              <w:jc w:val="left"/>
              <w:rPr>
                <w:b/>
                <w:bCs/>
                <w:sz w:val="21"/>
                <w:szCs w:val="21"/>
              </w:rPr>
            </w:pPr>
            <w:r>
              <w:rPr>
                <w:rFonts w:eastAsia="Calibri" w:cs=""/>
                <w:b/>
                <w:bCs/>
                <w:kern w:val="2"/>
                <w:sz w:val="21"/>
                <w:szCs w:val="21"/>
                <w:lang w:val="fi-FI" w:eastAsia="en-US" w:bidi="ar-SA"/>
              </w:rPr>
              <w:t>Communication and interaction</w:t>
            </w:r>
          </w:p>
        </w:tc>
        <w:tc>
          <w:tcPr>
            <w:tcW w:w="2539" w:type="dxa"/>
            <w:tcBorders/>
          </w:tcPr>
          <w:p>
            <w:pPr>
              <w:pStyle w:val="Normal"/>
              <w:widowControl/>
              <w:spacing w:lineRule="auto" w:line="240" w:before="0" w:after="0"/>
              <w:jc w:val="left"/>
              <w:rPr>
                <w:i/>
                <w:i/>
                <w:iCs/>
                <w:sz w:val="21"/>
                <w:szCs w:val="21"/>
                <w:lang w:val="en-GB"/>
              </w:rPr>
            </w:pPr>
            <w:r>
              <w:rPr>
                <w:rFonts w:eastAsia="Calibri" w:cs=""/>
                <w:i/>
                <w:iCs/>
                <w:kern w:val="2"/>
                <w:sz w:val="21"/>
                <w:szCs w:val="21"/>
                <w:lang w:val="en-GB" w:eastAsia="en-US" w:bidi="ar-SA"/>
              </w:rPr>
              <w:t>Communication is unclear or difficult to understand. There are shortcomings in presentation, use of voice, and use of space. The demonstration does not include interaction-supporting tasks such as questions or reflection tasks. Consideration of participants’ prior knowledge and their motivation to follow and participate is very limited or absent. The link between the communication and interaction in the teaching demonstration and the teaching portfolio remains unclear.</w:t>
            </w:r>
          </w:p>
          <w:p>
            <w:pPr>
              <w:pStyle w:val="Normal"/>
              <w:widowControl/>
              <w:spacing w:lineRule="auto" w:line="240" w:before="0" w:after="0"/>
              <w:jc w:val="left"/>
              <w:rPr>
                <w:i/>
                <w:i/>
                <w:iCs/>
                <w:sz w:val="21"/>
                <w:szCs w:val="21"/>
                <w:lang w:val="en-GB"/>
              </w:rPr>
            </w:pPr>
            <w:r>
              <w:rPr>
                <w:rFonts w:eastAsia="Calibri" w:cs=""/>
                <w:i/>
                <w:iCs/>
                <w:kern w:val="2"/>
                <w:sz w:val="21"/>
                <w:szCs w:val="21"/>
                <w:lang w:val="en-GB" w:eastAsia="en-US" w:bidi="ar-SA"/>
              </w:rPr>
            </w:r>
          </w:p>
        </w:tc>
        <w:tc>
          <w:tcPr>
            <w:tcW w:w="2835" w:type="dxa"/>
            <w:tcBorders/>
          </w:tcPr>
          <w:p>
            <w:pPr>
              <w:pStyle w:val="Normal"/>
              <w:widowControl/>
              <w:spacing w:lineRule="auto" w:line="240" w:before="0" w:after="0"/>
              <w:jc w:val="left"/>
              <w:rPr>
                <w:i/>
                <w:i/>
                <w:iCs/>
                <w:sz w:val="21"/>
                <w:szCs w:val="21"/>
                <w:lang w:val="en-GB"/>
              </w:rPr>
            </w:pPr>
            <w:r>
              <w:rPr>
                <w:rFonts w:eastAsia="Calibri" w:cs=""/>
                <w:i/>
                <w:iCs/>
                <w:kern w:val="2"/>
                <w:sz w:val="21"/>
                <w:szCs w:val="21"/>
                <w:lang w:val="en-GB" w:eastAsia="en-US" w:bidi="ar-SA"/>
              </w:rPr>
              <w:t>Communication may have shortcomings or may at times be difficult to understand. Presentation, use of space, and voice may present challenges. The use of questions, reflection tasks or other interaction-supporting methods is rather limited. Consideration of participants’ prior knowledge and motivation to follow and participate is minimal. The link between communication and interaction in the teaching demonstration and the teaching portfolio is insufficient or minimal.</w:t>
            </w:r>
          </w:p>
        </w:tc>
        <w:tc>
          <w:tcPr>
            <w:tcW w:w="2552" w:type="dxa"/>
            <w:tcBorders/>
          </w:tcPr>
          <w:p>
            <w:pPr>
              <w:pStyle w:val="Normal"/>
              <w:widowControl/>
              <w:spacing w:lineRule="auto" w:line="240" w:before="0" w:after="0"/>
              <w:jc w:val="left"/>
              <w:rPr>
                <w:i/>
                <w:i/>
                <w:iCs/>
                <w:sz w:val="21"/>
                <w:szCs w:val="21"/>
                <w:lang w:val="en-GB"/>
              </w:rPr>
            </w:pPr>
            <w:r>
              <w:rPr>
                <w:rFonts w:eastAsia="Calibri" w:cs=""/>
                <w:i/>
                <w:iCs/>
                <w:kern w:val="2"/>
                <w:sz w:val="21"/>
                <w:szCs w:val="21"/>
                <w:lang w:val="en-GB" w:eastAsia="en-US" w:bidi="ar-SA"/>
              </w:rPr>
              <w:t>Communication is mostly clear and understandable. Presentation and use of space and voice are appropriate. Questions, reflection tasks or other interaction-supporting methods are well utilised. Participants’ prior knowledge is considered, and they are motivated to follow and participate. There is a connection between communication and interaction in the teaching demonstration and the teaching portfolio.</w:t>
            </w:r>
          </w:p>
        </w:tc>
        <w:tc>
          <w:tcPr>
            <w:tcW w:w="2836" w:type="dxa"/>
            <w:tcBorders/>
          </w:tcPr>
          <w:p>
            <w:pPr>
              <w:pStyle w:val="Normal"/>
              <w:widowControl/>
              <w:spacing w:lineRule="auto" w:line="240" w:before="0" w:after="0"/>
              <w:jc w:val="left"/>
              <w:rPr>
                <w:i/>
                <w:i/>
                <w:iCs/>
                <w:sz w:val="21"/>
                <w:szCs w:val="21"/>
                <w:lang w:val="en-GB"/>
              </w:rPr>
            </w:pPr>
            <w:r>
              <w:rPr>
                <w:rFonts w:eastAsia="Calibri" w:cs=""/>
                <w:i/>
                <w:iCs/>
                <w:kern w:val="2"/>
                <w:sz w:val="21"/>
                <w:szCs w:val="21"/>
                <w:lang w:val="en-GB" w:eastAsia="en-US" w:bidi="ar-SA"/>
              </w:rPr>
              <w:t>Communication is clear and understandable. Presentation and use of space and voice are successful. Questions, reflection tasks and other interactive methods are used diversely. Participants’ prior knowledge is considered successfully. Participants are actively motivated to follow and participate in various ways. There is a clear link between the demonstration and the teaching portfolio regarding communication and interaction.</w:t>
            </w:r>
          </w:p>
        </w:tc>
        <w:tc>
          <w:tcPr>
            <w:tcW w:w="3259" w:type="dxa"/>
            <w:tcBorders/>
          </w:tcPr>
          <w:p>
            <w:pPr>
              <w:pStyle w:val="Normal"/>
              <w:widowControl/>
              <w:spacing w:lineRule="auto" w:line="240" w:before="0" w:after="0"/>
              <w:jc w:val="left"/>
              <w:rPr>
                <w:i/>
                <w:i/>
                <w:iCs/>
                <w:sz w:val="21"/>
                <w:szCs w:val="21"/>
                <w:lang w:val="en-GB"/>
              </w:rPr>
            </w:pPr>
            <w:r>
              <w:rPr>
                <w:rFonts w:eastAsia="Calibri" w:cs=""/>
                <w:i/>
                <w:iCs/>
                <w:kern w:val="2"/>
                <w:sz w:val="21"/>
                <w:szCs w:val="21"/>
                <w:lang w:val="en-GB" w:eastAsia="en-US" w:bidi="ar-SA"/>
              </w:rPr>
              <w:t>Communication is very clear and understandable. Presentation and use of space and voice are highly successful. Questions, reflection tasks and other interactive methods are used very diversely and innovatively. Participants’ prior knowledge is considered very effectively. Participants are motivated actively and in multiple ways to follow and participate. There is a strong link between the demonstration and the teaching portfolio regarding communication and interaction.</w:t>
            </w:r>
          </w:p>
          <w:p>
            <w:pPr>
              <w:pStyle w:val="Normal"/>
              <w:widowControl/>
              <w:spacing w:lineRule="auto" w:line="240" w:before="0" w:after="0"/>
              <w:jc w:val="left"/>
              <w:rPr>
                <w:i/>
                <w:i/>
                <w:iCs/>
                <w:sz w:val="21"/>
                <w:szCs w:val="21"/>
                <w:lang w:val="en-GB"/>
              </w:rPr>
            </w:pPr>
            <w:r>
              <w:rPr>
                <w:rFonts w:eastAsia="Calibri" w:cs=""/>
                <w:i/>
                <w:iCs/>
                <w:kern w:val="2"/>
                <w:sz w:val="21"/>
                <w:szCs w:val="21"/>
                <w:lang w:val="en-GB" w:eastAsia="en-US" w:bidi="ar-SA"/>
              </w:rPr>
            </w:r>
          </w:p>
        </w:tc>
      </w:tr>
      <w:tr>
        <w:trPr/>
        <w:tc>
          <w:tcPr>
            <w:tcW w:w="1997" w:type="dxa"/>
            <w:tcBorders/>
          </w:tcPr>
          <w:p>
            <w:pPr>
              <w:pStyle w:val="Normal"/>
              <w:widowControl/>
              <w:spacing w:lineRule="auto" w:line="240" w:before="0" w:after="0"/>
              <w:jc w:val="left"/>
              <w:rPr>
                <w:b/>
                <w:bCs/>
                <w:sz w:val="21"/>
                <w:szCs w:val="21"/>
              </w:rPr>
            </w:pPr>
            <w:r>
              <w:rPr>
                <w:rFonts w:eastAsia="Calibri" w:cs=""/>
                <w:b/>
                <w:bCs/>
                <w:kern w:val="2"/>
                <w:sz w:val="21"/>
                <w:szCs w:val="21"/>
                <w:lang w:val="fi-FI" w:eastAsia="en-US" w:bidi="ar-SA"/>
              </w:rPr>
              <w:t>Content</w:t>
            </w:r>
          </w:p>
          <w:p>
            <w:pPr>
              <w:pStyle w:val="Normal"/>
              <w:widowControl/>
              <w:spacing w:lineRule="auto" w:line="240" w:before="0" w:after="0"/>
              <w:jc w:val="left"/>
              <w:rPr>
                <w:b/>
                <w:bCs/>
                <w:sz w:val="21"/>
                <w:szCs w:val="21"/>
              </w:rPr>
            </w:pPr>
            <w:r>
              <w:rPr>
                <w:rFonts w:eastAsia="Calibri" w:cs=""/>
                <w:b/>
                <w:bCs/>
                <w:kern w:val="2"/>
                <w:sz w:val="21"/>
                <w:szCs w:val="21"/>
                <w:lang w:val="fi-FI" w:eastAsia="en-US" w:bidi="ar-SA"/>
              </w:rPr>
            </w:r>
          </w:p>
        </w:tc>
        <w:tc>
          <w:tcPr>
            <w:tcW w:w="2539" w:type="dxa"/>
            <w:tcBorders/>
          </w:tcPr>
          <w:p>
            <w:pPr>
              <w:pStyle w:val="Normal"/>
              <w:widowControl/>
              <w:spacing w:lineRule="auto" w:line="240" w:before="0" w:after="0"/>
              <w:jc w:val="left"/>
              <w:rPr>
                <w:i/>
                <w:i/>
                <w:iCs/>
                <w:sz w:val="21"/>
                <w:szCs w:val="21"/>
              </w:rPr>
            </w:pPr>
            <w:r>
              <w:rPr>
                <w:rFonts w:eastAsia="Calibri" w:cs=""/>
                <w:i/>
                <w:iCs/>
                <w:kern w:val="2"/>
                <w:sz w:val="21"/>
                <w:szCs w:val="21"/>
                <w:lang w:val="en-GB" w:eastAsia="en-US" w:bidi="ar-SA"/>
              </w:rPr>
              <w:t xml:space="preserve">There are clear shortcomings in the alignment between topic and content and in the use and application of one’s own expertise. The research knowledge used is insufficient, outdated, or irrelevant. Argumentation and persuasiveness are weak, and critical viewpoints are not sufficiently considered. </w:t>
            </w:r>
            <w:r>
              <w:rPr>
                <w:rFonts w:eastAsia="Calibri" w:cs=""/>
                <w:i/>
                <w:iCs/>
                <w:kern w:val="2"/>
                <w:sz w:val="21"/>
                <w:szCs w:val="21"/>
                <w:lang w:val="fi-FI" w:eastAsia="en-US" w:bidi="ar-SA"/>
              </w:rPr>
              <w:t>The connection between theory and practice is unclear.</w:t>
            </w:r>
          </w:p>
          <w:p>
            <w:pPr>
              <w:pStyle w:val="Normal"/>
              <w:widowControl/>
              <w:spacing w:lineRule="auto" w:line="240" w:before="0" w:after="0"/>
              <w:jc w:val="left"/>
              <w:rPr>
                <w:i/>
                <w:i/>
                <w:iCs/>
                <w:sz w:val="21"/>
                <w:szCs w:val="21"/>
              </w:rPr>
            </w:pPr>
            <w:r>
              <w:rPr>
                <w:rFonts w:eastAsia="Calibri" w:cs=""/>
                <w:i/>
                <w:iCs/>
                <w:kern w:val="2"/>
                <w:sz w:val="21"/>
                <w:szCs w:val="21"/>
                <w:lang w:val="fi-FI" w:eastAsia="en-US" w:bidi="ar-SA"/>
              </w:rPr>
            </w:r>
          </w:p>
        </w:tc>
        <w:tc>
          <w:tcPr>
            <w:tcW w:w="2835" w:type="dxa"/>
            <w:tcBorders/>
          </w:tcPr>
          <w:p>
            <w:pPr>
              <w:pStyle w:val="Normal"/>
              <w:widowControl/>
              <w:spacing w:lineRule="auto" w:line="240" w:before="0" w:after="0"/>
              <w:jc w:val="left"/>
              <w:rPr>
                <w:i/>
                <w:i/>
                <w:iCs/>
                <w:sz w:val="21"/>
                <w:szCs w:val="21"/>
              </w:rPr>
            </w:pPr>
            <w:r>
              <w:rPr>
                <w:rFonts w:eastAsia="Calibri" w:cs=""/>
                <w:i/>
                <w:iCs/>
                <w:kern w:val="2"/>
                <w:sz w:val="21"/>
                <w:szCs w:val="21"/>
                <w:lang w:val="en-GB" w:eastAsia="en-US" w:bidi="ar-SA"/>
              </w:rPr>
              <w:t xml:space="preserve">There may be some shortcomings in the alignment between topic and content or in applying one’s expertise. The research knowledge used is generally up to date and appropriate but may contain deficiencies or errors. The presentation and argumentation may be partially weak, and critical perspectives are brought up only to a limited extent. </w:t>
            </w:r>
            <w:r>
              <w:rPr>
                <w:rFonts w:eastAsia="Calibri" w:cs=""/>
                <w:i/>
                <w:iCs/>
                <w:kern w:val="2"/>
                <w:sz w:val="21"/>
                <w:szCs w:val="21"/>
                <w:lang w:val="fi-FI" w:eastAsia="en-US" w:bidi="ar-SA"/>
              </w:rPr>
              <w:t>The connection between theory and practice is limited.</w:t>
            </w:r>
          </w:p>
          <w:p>
            <w:pPr>
              <w:pStyle w:val="Normal"/>
              <w:widowControl/>
              <w:spacing w:lineRule="auto" w:line="240" w:before="0" w:after="0"/>
              <w:jc w:val="left"/>
              <w:rPr>
                <w:i/>
                <w:i/>
                <w:iCs/>
                <w:sz w:val="21"/>
                <w:szCs w:val="21"/>
              </w:rPr>
            </w:pPr>
            <w:r>
              <w:rPr>
                <w:rFonts w:eastAsia="Calibri" w:cs=""/>
                <w:i/>
                <w:iCs/>
                <w:kern w:val="2"/>
                <w:sz w:val="21"/>
                <w:szCs w:val="21"/>
                <w:lang w:val="fi-FI" w:eastAsia="en-US" w:bidi="ar-SA"/>
              </w:rPr>
            </w:r>
          </w:p>
        </w:tc>
        <w:tc>
          <w:tcPr>
            <w:tcW w:w="2552" w:type="dxa"/>
            <w:tcBorders/>
          </w:tcPr>
          <w:p>
            <w:pPr>
              <w:pStyle w:val="Normal"/>
              <w:widowControl/>
              <w:spacing w:lineRule="auto" w:line="240" w:before="0" w:after="0"/>
              <w:jc w:val="left"/>
              <w:rPr>
                <w:i/>
                <w:i/>
                <w:iCs/>
                <w:sz w:val="21"/>
                <w:szCs w:val="21"/>
              </w:rPr>
            </w:pPr>
            <w:r>
              <w:rPr>
                <w:rFonts w:eastAsia="Calibri" w:cs=""/>
                <w:i/>
                <w:iCs/>
                <w:kern w:val="2"/>
                <w:sz w:val="21"/>
                <w:szCs w:val="21"/>
                <w:lang w:val="en-GB" w:eastAsia="en-US" w:bidi="ar-SA"/>
              </w:rPr>
              <w:t xml:space="preserve">Topic and content correspond to each other. The applicant uses and can apply their expertise. The research knowledge used is mostly up to date and appropriate. Presentation and argumentation are mostly convincing, and critical viewpoints are raised. </w:t>
            </w:r>
            <w:r>
              <w:rPr>
                <w:rFonts w:eastAsia="Calibri" w:cs=""/>
                <w:i/>
                <w:iCs/>
                <w:kern w:val="2"/>
                <w:sz w:val="21"/>
                <w:szCs w:val="21"/>
                <w:lang w:val="fi-FI" w:eastAsia="en-US" w:bidi="ar-SA"/>
              </w:rPr>
              <w:t>The connection between theory and practice is addressed.</w:t>
            </w:r>
          </w:p>
          <w:p>
            <w:pPr>
              <w:pStyle w:val="Normal"/>
              <w:widowControl/>
              <w:spacing w:lineRule="auto" w:line="240" w:before="0" w:after="0"/>
              <w:jc w:val="left"/>
              <w:rPr>
                <w:i/>
                <w:i/>
                <w:iCs/>
                <w:sz w:val="21"/>
                <w:szCs w:val="21"/>
              </w:rPr>
            </w:pPr>
            <w:r>
              <w:rPr>
                <w:rFonts w:eastAsia="Calibri" w:cs=""/>
                <w:i/>
                <w:iCs/>
                <w:kern w:val="2"/>
                <w:sz w:val="21"/>
                <w:szCs w:val="21"/>
                <w:lang w:val="fi-FI" w:eastAsia="en-US" w:bidi="ar-SA"/>
              </w:rPr>
            </w:r>
          </w:p>
        </w:tc>
        <w:tc>
          <w:tcPr>
            <w:tcW w:w="2836" w:type="dxa"/>
            <w:tcBorders/>
          </w:tcPr>
          <w:p>
            <w:pPr>
              <w:pStyle w:val="Normal"/>
              <w:widowControl/>
              <w:spacing w:lineRule="auto" w:line="240" w:before="0" w:after="0"/>
              <w:jc w:val="left"/>
              <w:rPr>
                <w:i/>
                <w:i/>
                <w:iCs/>
                <w:sz w:val="21"/>
                <w:szCs w:val="21"/>
                <w:lang w:val="en-GB"/>
              </w:rPr>
            </w:pPr>
            <w:r>
              <w:rPr>
                <w:rFonts w:eastAsia="Calibri" w:cs=""/>
                <w:i/>
                <w:iCs/>
                <w:kern w:val="2"/>
                <w:sz w:val="21"/>
                <w:szCs w:val="21"/>
                <w:lang w:val="en-GB" w:eastAsia="en-US" w:bidi="ar-SA"/>
              </w:rPr>
              <w:t>Topic and content correspond well. The applicant’s expertise is used and applied well and diversely. Research knowledge is up to date and relevant. Presentation and argumentation are convincing, and critical viewpoints are raised in a diverse manner. The connection between theory and practice is successfully addressed, for example through examples.</w:t>
            </w:r>
          </w:p>
        </w:tc>
        <w:tc>
          <w:tcPr>
            <w:tcW w:w="3259" w:type="dxa"/>
            <w:tcBorders/>
          </w:tcPr>
          <w:p>
            <w:pPr>
              <w:pStyle w:val="Normal"/>
              <w:widowControl/>
              <w:spacing w:lineRule="auto" w:line="240" w:before="0" w:after="0"/>
              <w:jc w:val="left"/>
              <w:rPr>
                <w:i/>
                <w:i/>
                <w:iCs/>
                <w:sz w:val="21"/>
                <w:szCs w:val="21"/>
                <w:lang w:val="en-GB"/>
              </w:rPr>
            </w:pPr>
            <w:r>
              <w:rPr>
                <w:rFonts w:eastAsia="Calibri" w:cs=""/>
                <w:i/>
                <w:iCs/>
                <w:kern w:val="2"/>
                <w:sz w:val="21"/>
                <w:szCs w:val="21"/>
                <w:lang w:val="en-GB" w:eastAsia="en-US" w:bidi="ar-SA"/>
              </w:rPr>
              <w:t>Topic and content correspond excellently. Expertise is used and applied very well and in a diverse manner. Research knowledge is up to date, diverse, and relevant. Presentation and argumentation are highly convincing, and critical viewpoints are raised and reflected upon in relation to one’s own position. The connection between theory and practice is addressed very successfully, for example by analysing several concrete examples.</w:t>
            </w:r>
          </w:p>
        </w:tc>
      </w:tr>
      <w:tr>
        <w:trPr/>
        <w:tc>
          <w:tcPr>
            <w:tcW w:w="1997" w:type="dxa"/>
            <w:tcBorders/>
          </w:tcPr>
          <w:p>
            <w:pPr>
              <w:pStyle w:val="Normal"/>
              <w:widowControl/>
              <w:spacing w:lineRule="auto" w:line="240" w:before="0" w:after="0"/>
              <w:jc w:val="left"/>
              <w:rPr>
                <w:b/>
                <w:bCs/>
                <w:sz w:val="21"/>
                <w:szCs w:val="21"/>
              </w:rPr>
            </w:pPr>
            <w:r>
              <w:rPr>
                <w:rFonts w:eastAsia="Calibri" w:cs=""/>
                <w:b/>
                <w:bCs/>
                <w:kern w:val="2"/>
                <w:sz w:val="21"/>
                <w:szCs w:val="21"/>
                <w:lang w:val="fi-FI" w:eastAsia="en-US" w:bidi="ar-SA"/>
              </w:rPr>
              <w:t>Methods</w:t>
            </w:r>
          </w:p>
          <w:p>
            <w:pPr>
              <w:pStyle w:val="Normal"/>
              <w:widowControl/>
              <w:spacing w:lineRule="auto" w:line="240" w:before="0" w:after="0"/>
              <w:jc w:val="left"/>
              <w:rPr>
                <w:b/>
                <w:bCs/>
                <w:sz w:val="21"/>
                <w:szCs w:val="21"/>
              </w:rPr>
            </w:pPr>
            <w:r>
              <w:rPr>
                <w:rFonts w:eastAsia="Calibri" w:cs=""/>
                <w:b/>
                <w:bCs/>
                <w:kern w:val="2"/>
                <w:sz w:val="21"/>
                <w:szCs w:val="21"/>
                <w:lang w:val="fi-FI" w:eastAsia="en-US" w:bidi="ar-SA"/>
              </w:rPr>
            </w:r>
          </w:p>
        </w:tc>
        <w:tc>
          <w:tcPr>
            <w:tcW w:w="2539" w:type="dxa"/>
            <w:tcBorders/>
          </w:tcPr>
          <w:p>
            <w:pPr>
              <w:pStyle w:val="Normal"/>
              <w:widowControl/>
              <w:spacing w:lineRule="auto" w:line="240" w:before="0" w:after="0"/>
              <w:jc w:val="left"/>
              <w:rPr>
                <w:i/>
                <w:i/>
                <w:iCs/>
                <w:sz w:val="21"/>
                <w:szCs w:val="21"/>
                <w:lang w:val="en-GB"/>
              </w:rPr>
            </w:pPr>
            <w:r>
              <w:rPr>
                <w:rFonts w:eastAsia="Calibri" w:cs=""/>
                <w:i/>
                <w:iCs/>
                <w:kern w:val="2"/>
                <w:sz w:val="21"/>
                <w:szCs w:val="21"/>
                <w:lang w:val="en-GB" w:eastAsia="en-US" w:bidi="ar-SA"/>
              </w:rPr>
              <w:t>The use of teaching tools and methods is inappropriate and learning materials are of low quality. Slides, if used, are unclear or difficult to interpret; there is too much text or it is poorly structured. The teaching demonstration is poorly organised. The connection between the methods used and the teaching portfolio remains unclear.</w:t>
            </w:r>
          </w:p>
          <w:p>
            <w:pPr>
              <w:pStyle w:val="Normal"/>
              <w:widowControl/>
              <w:spacing w:lineRule="auto" w:line="240" w:before="0" w:after="0"/>
              <w:jc w:val="left"/>
              <w:rPr>
                <w:i/>
                <w:i/>
                <w:iCs/>
                <w:sz w:val="21"/>
                <w:szCs w:val="21"/>
                <w:lang w:val="en-GB"/>
              </w:rPr>
            </w:pPr>
            <w:r>
              <w:rPr>
                <w:rFonts w:eastAsia="Calibri" w:cs=""/>
                <w:i/>
                <w:iCs/>
                <w:kern w:val="2"/>
                <w:sz w:val="21"/>
                <w:szCs w:val="21"/>
                <w:lang w:val="en-GB" w:eastAsia="en-US" w:bidi="ar-SA"/>
              </w:rPr>
            </w:r>
          </w:p>
        </w:tc>
        <w:tc>
          <w:tcPr>
            <w:tcW w:w="2835" w:type="dxa"/>
            <w:tcBorders/>
          </w:tcPr>
          <w:p>
            <w:pPr>
              <w:pStyle w:val="Normal"/>
              <w:widowControl/>
              <w:spacing w:lineRule="auto" w:line="240" w:before="0" w:after="0"/>
              <w:jc w:val="left"/>
              <w:rPr>
                <w:i/>
                <w:i/>
                <w:iCs/>
                <w:sz w:val="21"/>
                <w:szCs w:val="21"/>
                <w:lang w:val="en-GB"/>
              </w:rPr>
            </w:pPr>
            <w:r>
              <w:rPr>
                <w:rFonts w:eastAsia="Calibri" w:cs=""/>
                <w:i/>
                <w:iCs/>
                <w:kern w:val="2"/>
                <w:sz w:val="21"/>
                <w:szCs w:val="21"/>
                <w:lang w:val="en-GB" w:eastAsia="en-US" w:bidi="ar-SA"/>
              </w:rPr>
              <w:t>The use of teaching tools and methods is partially inappropriate, and the quality of learning materials is insufficient. Slides are generally clear but may lack illustrative quality or have issues with text volume or structure. The organisation of the demonstration may present challenges. The link between the methods used and the teaching portfolio is insufficient or minimal.</w:t>
            </w:r>
          </w:p>
          <w:p>
            <w:pPr>
              <w:pStyle w:val="Normal"/>
              <w:widowControl/>
              <w:spacing w:lineRule="auto" w:line="240" w:before="0" w:after="0"/>
              <w:jc w:val="left"/>
              <w:rPr>
                <w:i/>
                <w:i/>
                <w:iCs/>
                <w:sz w:val="21"/>
                <w:szCs w:val="21"/>
                <w:lang w:val="en-GB"/>
              </w:rPr>
            </w:pPr>
            <w:r>
              <w:rPr>
                <w:rFonts w:eastAsia="Calibri" w:cs=""/>
                <w:i/>
                <w:iCs/>
                <w:kern w:val="2"/>
                <w:sz w:val="21"/>
                <w:szCs w:val="21"/>
                <w:lang w:val="en-GB" w:eastAsia="en-US" w:bidi="ar-SA"/>
              </w:rPr>
            </w:r>
          </w:p>
        </w:tc>
        <w:tc>
          <w:tcPr>
            <w:tcW w:w="2552" w:type="dxa"/>
            <w:tcBorders/>
          </w:tcPr>
          <w:p>
            <w:pPr>
              <w:pStyle w:val="Normal"/>
              <w:widowControl/>
              <w:spacing w:lineRule="auto" w:line="240" w:before="0" w:after="0"/>
              <w:jc w:val="left"/>
              <w:rPr>
                <w:i/>
                <w:i/>
                <w:iCs/>
                <w:sz w:val="21"/>
                <w:szCs w:val="21"/>
                <w:lang w:val="en-GB"/>
              </w:rPr>
            </w:pPr>
            <w:r>
              <w:rPr>
                <w:rFonts w:eastAsia="Calibri" w:cs=""/>
                <w:i/>
                <w:iCs/>
                <w:kern w:val="2"/>
                <w:sz w:val="21"/>
                <w:szCs w:val="21"/>
                <w:lang w:val="en-GB" w:eastAsia="en-US" w:bidi="ar-SA"/>
              </w:rPr>
              <w:t>The use of teaching tools and methods is mostly consistent and appropriate. Learning materials are of good quality. Slides are clear, illustrative and mostly well-structured with text and images. Slides include references and source material is explained. The teaching demonstration is well organised. There is a connection between the methods used and the teaching portfolio.</w:t>
            </w:r>
          </w:p>
          <w:p>
            <w:pPr>
              <w:pStyle w:val="Normal"/>
              <w:widowControl/>
              <w:spacing w:lineRule="auto" w:line="240" w:before="0" w:after="0"/>
              <w:jc w:val="left"/>
              <w:rPr>
                <w:i/>
                <w:i/>
                <w:iCs/>
                <w:sz w:val="21"/>
                <w:szCs w:val="21"/>
                <w:lang w:val="en-GB"/>
              </w:rPr>
            </w:pPr>
            <w:r>
              <w:rPr>
                <w:rFonts w:eastAsia="Calibri" w:cs=""/>
                <w:i/>
                <w:iCs/>
                <w:kern w:val="2"/>
                <w:sz w:val="21"/>
                <w:szCs w:val="21"/>
                <w:lang w:val="en-GB" w:eastAsia="en-US" w:bidi="ar-SA"/>
              </w:rPr>
            </w:r>
          </w:p>
        </w:tc>
        <w:tc>
          <w:tcPr>
            <w:tcW w:w="2836" w:type="dxa"/>
            <w:tcBorders/>
          </w:tcPr>
          <w:p>
            <w:pPr>
              <w:pStyle w:val="Normal"/>
              <w:widowControl/>
              <w:spacing w:lineRule="auto" w:line="240" w:before="0" w:after="0"/>
              <w:jc w:val="left"/>
              <w:rPr>
                <w:i/>
                <w:i/>
                <w:iCs/>
                <w:sz w:val="21"/>
                <w:szCs w:val="21"/>
                <w:lang w:val="en-GB"/>
              </w:rPr>
            </w:pPr>
            <w:r>
              <w:rPr>
                <w:rFonts w:eastAsia="Calibri" w:cs=""/>
                <w:i/>
                <w:iCs/>
                <w:kern w:val="2"/>
                <w:sz w:val="21"/>
                <w:szCs w:val="21"/>
                <w:lang w:val="en-GB" w:eastAsia="en-US" w:bidi="ar-SA"/>
              </w:rPr>
              <w:t>The use of teaching tools and methods is consistent and appropriate. Learning materials are of very good quality. Slides are very clear, illustrative and well structured. Slides include references and source material is explained, and slide accessibility is ensured during the teaching situation. The demonstration is very well organised, including consideration of different learners. There is a clear connection between the methods used and the teaching portfolio.</w:t>
            </w:r>
          </w:p>
          <w:p>
            <w:pPr>
              <w:pStyle w:val="Normal"/>
              <w:widowControl/>
              <w:spacing w:lineRule="auto" w:line="240" w:before="0" w:after="0"/>
              <w:jc w:val="left"/>
              <w:rPr>
                <w:i/>
                <w:i/>
                <w:iCs/>
                <w:sz w:val="21"/>
                <w:szCs w:val="21"/>
                <w:lang w:val="en-GB"/>
              </w:rPr>
            </w:pPr>
            <w:r>
              <w:rPr>
                <w:rFonts w:eastAsia="Calibri" w:cs=""/>
                <w:i/>
                <w:iCs/>
                <w:kern w:val="2"/>
                <w:sz w:val="21"/>
                <w:szCs w:val="21"/>
                <w:lang w:val="en-GB" w:eastAsia="en-US" w:bidi="ar-SA"/>
              </w:rPr>
            </w:r>
          </w:p>
        </w:tc>
        <w:tc>
          <w:tcPr>
            <w:tcW w:w="3259" w:type="dxa"/>
            <w:tcBorders/>
          </w:tcPr>
          <w:p>
            <w:pPr>
              <w:pStyle w:val="Normal"/>
              <w:widowControl/>
              <w:spacing w:lineRule="auto" w:line="240" w:before="0" w:after="0"/>
              <w:jc w:val="left"/>
              <w:rPr>
                <w:i/>
                <w:i/>
                <w:iCs/>
                <w:sz w:val="21"/>
                <w:szCs w:val="21"/>
                <w:lang w:val="en-GB"/>
              </w:rPr>
            </w:pPr>
            <w:r>
              <w:rPr>
                <w:rFonts w:eastAsia="Calibri" w:cs=""/>
                <w:i/>
                <w:iCs/>
                <w:kern w:val="2"/>
                <w:sz w:val="21"/>
                <w:szCs w:val="21"/>
                <w:lang w:val="en-GB" w:eastAsia="en-US" w:bidi="ar-SA"/>
              </w:rPr>
              <w:t>The use of teaching tools and methods is highly consistent and appropriate in relation to the topic, situation and content. Learning materials are extremely high quality. Slides are exceptionally clear, illustrative and well structured, using images and figures to support text. Slides include references and source material is explained, and the accessibility of slides and other learning materials is ensured in advance. The demonstration is very well organised, taking into account the needs of different learners. There is a strong connection between the methods used and the teaching portfolio.</w:t>
            </w:r>
          </w:p>
          <w:p>
            <w:pPr>
              <w:pStyle w:val="Normal"/>
              <w:widowControl/>
              <w:spacing w:lineRule="auto" w:line="240" w:before="0" w:after="0"/>
              <w:jc w:val="left"/>
              <w:rPr>
                <w:i/>
                <w:i/>
                <w:iCs/>
                <w:sz w:val="21"/>
                <w:szCs w:val="21"/>
                <w:lang w:val="en-GB"/>
              </w:rPr>
            </w:pPr>
            <w:r>
              <w:rPr>
                <w:rFonts w:eastAsia="Calibri" w:cs=""/>
                <w:i/>
                <w:iCs/>
                <w:kern w:val="2"/>
                <w:sz w:val="21"/>
                <w:szCs w:val="21"/>
                <w:lang w:val="en-GB" w:eastAsia="en-US" w:bidi="ar-SA"/>
              </w:rPr>
            </w:r>
          </w:p>
        </w:tc>
      </w:tr>
    </w:tbl>
    <w:p>
      <w:pPr>
        <w:pStyle w:val="Normal"/>
        <w:spacing w:before="0" w:after="160"/>
        <w:rPr>
          <w:lang w:val="en-GB"/>
        </w:rPr>
      </w:pPr>
      <w:r>
        <w:rPr>
          <w:lang w:val="en-GB"/>
        </w:rPr>
      </w:r>
    </w:p>
    <w:sectPr>
      <w:type w:val="nextPage"/>
      <w:pgSz w:orient="landscape" w:w="16838" w:h="11906"/>
      <w:pgMar w:left="1417" w:right="1417" w:gutter="0" w:header="0" w:top="1134"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Aptos">
    <w:charset w:val="01"/>
    <w:family w:val="auto"/>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center"/>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3"/>
      <w:numFmt w:val="bullet"/>
      <w:lvlText w:val="-"/>
      <w:lvlJc w:val="left"/>
      <w:pPr>
        <w:tabs>
          <w:tab w:val="num" w:pos="0"/>
        </w:tabs>
        <w:ind w:left="720" w:hanging="360"/>
      </w:pPr>
      <w:rPr>
        <w:rFonts w:ascii="Aptos" w:hAnsi="Aptos" w:cs="Aptos" w:hint="default"/>
        <w:rFonts w:cstheme="minorBidi"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3"/>
      <w:numFmt w:val="bullet"/>
      <w:lvlText w:val="-"/>
      <w:lvlJc w:val="left"/>
      <w:pPr>
        <w:tabs>
          <w:tab w:val="num" w:pos="0"/>
        </w:tabs>
        <w:ind w:left="720" w:hanging="360"/>
      </w:pPr>
      <w:rPr>
        <w:rFonts w:ascii="Aptos" w:hAnsi="Aptos" w:cs="Aptos" w:hint="default"/>
        <w:rFonts w:cstheme="minorBidi"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3"/>
      <w:numFmt w:val="bullet"/>
      <w:lvlText w:val="-"/>
      <w:lvlJc w:val="left"/>
      <w:pPr>
        <w:tabs>
          <w:tab w:val="num" w:pos="0"/>
        </w:tabs>
        <w:ind w:left="720" w:hanging="360"/>
      </w:pPr>
      <w:rPr>
        <w:rFonts w:ascii="Aptos" w:hAnsi="Aptos" w:cs="Aptos" w:hint="default"/>
        <w:rFonts w:cstheme="minorBidi"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3"/>
      <w:numFmt w:val="bullet"/>
      <w:lvlText w:val="-"/>
      <w:lvlJc w:val="left"/>
      <w:pPr>
        <w:tabs>
          <w:tab w:val="num" w:pos="0"/>
        </w:tabs>
        <w:ind w:left="720" w:hanging="360"/>
      </w:pPr>
      <w:rPr>
        <w:rFonts w:ascii="Aptos" w:hAnsi="Aptos" w:cs="Aptos" w:hint="default"/>
        <w:rFonts w:cstheme="minorBidi"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0"/>
  <w:defaultTabStop w:val="1304"/>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i-FI"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fi-FI"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fi-FI" w:eastAsia="en-US" w:bidi="ar-SA"/>
      <w14:ligatures w14:val="standardContextual"/>
    </w:rPr>
  </w:style>
  <w:style w:type="paragraph" w:styleId="Heading1">
    <w:name w:val="Heading 1"/>
    <w:basedOn w:val="Normal"/>
    <w:next w:val="Normal"/>
    <w:link w:val="Heading1Char"/>
    <w:uiPriority w:val="9"/>
    <w:qFormat/>
    <w:rsid w:val="00393e99"/>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unhideWhenUsed/>
    <w:qFormat/>
    <w:rsid w:val="00393e99"/>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393e99"/>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393e99"/>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393e99"/>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393e9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93e9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93e9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93e9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93e99"/>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qFormat/>
    <w:rsid w:val="00393e99"/>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393e99"/>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393e99"/>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393e99"/>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393e9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93e9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93e9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93e99"/>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93e99"/>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93e99"/>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93e99"/>
    <w:rPr>
      <w:i/>
      <w:iCs/>
      <w:color w:themeColor="text1" w:themeTint="bf" w:val="404040"/>
    </w:rPr>
  </w:style>
  <w:style w:type="character" w:styleId="IntenseEmphasis">
    <w:name w:val="Intense Emphasis"/>
    <w:basedOn w:val="DefaultParagraphFont"/>
    <w:uiPriority w:val="21"/>
    <w:qFormat/>
    <w:rsid w:val="00393e99"/>
    <w:rPr>
      <w:i/>
      <w:iCs/>
      <w:color w:themeColor="accent1" w:themeShade="bf" w:val="2F5496"/>
    </w:rPr>
  </w:style>
  <w:style w:type="character" w:styleId="IntenseQuoteChar" w:customStyle="1">
    <w:name w:val="Intense Quote Char"/>
    <w:basedOn w:val="DefaultParagraphFont"/>
    <w:link w:val="IntenseQuote"/>
    <w:uiPriority w:val="30"/>
    <w:qFormat/>
    <w:rsid w:val="00393e99"/>
    <w:rPr>
      <w:i/>
      <w:iCs/>
      <w:color w:themeColor="accent1" w:themeShade="bf" w:val="2F5496"/>
    </w:rPr>
  </w:style>
  <w:style w:type="character" w:styleId="IntenseReference">
    <w:name w:val="Intense Reference"/>
    <w:basedOn w:val="DefaultParagraphFont"/>
    <w:uiPriority w:val="32"/>
    <w:qFormat/>
    <w:rsid w:val="00393e99"/>
    <w:rPr>
      <w:b/>
      <w:bCs/>
      <w:smallCaps/>
      <w:color w:themeColor="accent1" w:themeShade="bf" w:val="2F5496"/>
      <w:spacing w:val="5"/>
    </w:rPr>
  </w:style>
  <w:style w:type="character" w:styleId="annotationreference">
    <w:name w:val="annotation reference"/>
    <w:basedOn w:val="DefaultParagraphFont"/>
    <w:uiPriority w:val="99"/>
    <w:semiHidden/>
    <w:unhideWhenUsed/>
    <w:qFormat/>
    <w:rsid w:val="00094a7e"/>
    <w:rPr>
      <w:sz w:val="16"/>
      <w:szCs w:val="16"/>
    </w:rPr>
  </w:style>
  <w:style w:type="character" w:styleId="CommentTextChar" w:customStyle="1">
    <w:name w:val="Comment Text Char"/>
    <w:basedOn w:val="DefaultParagraphFont"/>
    <w:link w:val="AnnotationText"/>
    <w:uiPriority w:val="99"/>
    <w:qFormat/>
    <w:rsid w:val="00094a7e"/>
    <w:rPr>
      <w:sz w:val="20"/>
      <w:szCs w:val="20"/>
    </w:rPr>
  </w:style>
  <w:style w:type="character" w:styleId="CommentSubjectChar" w:customStyle="1">
    <w:name w:val="Comment Subject Char"/>
    <w:basedOn w:val="CommentTextChar"/>
    <w:link w:val="annotationsubject"/>
    <w:uiPriority w:val="99"/>
    <w:semiHidden/>
    <w:qFormat/>
    <w:rsid w:val="00094a7e"/>
    <w:rPr>
      <w:b/>
      <w:bCs/>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393e99"/>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93e99"/>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93e99"/>
    <w:pPr>
      <w:spacing w:before="160" w:after="160"/>
      <w:jc w:val="center"/>
    </w:pPr>
    <w:rPr>
      <w:i/>
      <w:iCs/>
      <w:color w:themeColor="text1" w:themeTint="bf" w:val="404040"/>
    </w:rPr>
  </w:style>
  <w:style w:type="paragraph" w:styleId="ListParagraph">
    <w:name w:val="List Paragraph"/>
    <w:basedOn w:val="Normal"/>
    <w:uiPriority w:val="34"/>
    <w:qFormat/>
    <w:rsid w:val="00393e99"/>
    <w:pPr>
      <w:spacing w:before="0" w:after="160"/>
      <w:ind w:left="720"/>
      <w:contextualSpacing/>
    </w:pPr>
    <w:rPr/>
  </w:style>
  <w:style w:type="paragraph" w:styleId="IntenseQuote">
    <w:name w:val="Intense Quote"/>
    <w:basedOn w:val="Normal"/>
    <w:next w:val="Normal"/>
    <w:link w:val="IntenseQuoteChar"/>
    <w:uiPriority w:val="30"/>
    <w:qFormat/>
    <w:rsid w:val="00393e99"/>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NoSpacing">
    <w:name w:val="No Spacing"/>
    <w:uiPriority w:val="1"/>
    <w:qFormat/>
    <w:rsid w:val="00393e99"/>
    <w:pPr>
      <w:widowControl/>
      <w:bidi w:val="0"/>
      <w:spacing w:lineRule="auto" w:line="240" w:before="0" w:after="0"/>
      <w:jc w:val="left"/>
    </w:pPr>
    <w:rPr>
      <w:rFonts w:ascii="Calibri" w:hAnsi="Calibri" w:eastAsia="Calibri" w:cs="" w:asciiTheme="minorHAnsi" w:cstheme="minorBidi" w:eastAsiaTheme="minorHAnsi" w:hAnsiTheme="minorHAnsi"/>
      <w:color w:val="auto"/>
      <w:kern w:val="2"/>
      <w:sz w:val="22"/>
      <w:szCs w:val="22"/>
      <w:lang w:val="fi-FI" w:eastAsia="en-US" w:bidi="ar-SA"/>
      <w14:ligatures w14:val="standardContextual"/>
    </w:rPr>
  </w:style>
  <w:style w:type="paragraph" w:styleId="AnnotationText">
    <w:name w:val="Annotation Text"/>
    <w:basedOn w:val="Normal"/>
    <w:link w:val="CommentTextChar"/>
    <w:uiPriority w:val="99"/>
    <w:unhideWhenUsed/>
    <w:rsid w:val="00094a7e"/>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094a7e"/>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9a557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6737AD-2B63-46E4-941A-618912883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Application>LibreOffice/24.2.7.2$Linux_X86_64 LibreOffice_project/420$Build-2</Application>
  <AppVersion>15.0000</AppVersion>
  <Pages>6</Pages>
  <Words>2102</Words>
  <Characters>12832</Characters>
  <CharactersWithSpaces>14840</CharactersWithSpaces>
  <Paragraphs>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2026-04-08T13:58:00Z</dcterms:created>
  <dc:creator>Tiina Tanhua</dc:creator>
  <dc:description/>
  <dc:language>en-US</dc:language>
  <cp:lastModifiedBy>Victior Maus</cp:lastModifiedBy>
  <dcterms:modified xsi:type="dcterms:W3CDTF">2026-06-24T22:37:56Z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