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Técnico: Benchmarking de Rastreamento LightGlue</w:t>
      </w:r>
    </w:p>
    <w:p>
      <w:r>
        <w:rPr>
          <w:i/>
          <w:iCs/>
        </w:rPr>
        <w:t xml:space="preserve">Este documento detalha os experimentos e resultados finais do rastreador baseado em LightGlue comparado aos algoritmos BoTSORT e ByteTrack.</w:t>
      </w:r>
    </w:p>
    <w:p>
      <w:pPr>
        <w:pStyle w:val="Heading1"/>
      </w:pPr>
      <w:r>
        <w:t xml:space="preserve">1. Estatísticas dos Datasets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26"/>
      </w:tblGrid>
      <w:tr>
        <w:tc>
          <w:p>
            <w:r>
              <w:t xml:space="preserve">Dataset</w:t>
            </w:r>
          </w:p>
        </w:tc>
        <w:tc>
          <w:p>
            <w:r>
              <w:t xml:space="preserve">Sequências</w:t>
            </w:r>
          </w:p>
        </w:tc>
        <w:tc>
          <w:p>
            <w:r>
              <w:t xml:space="preserve">Frames</w:t>
            </w:r>
          </w:p>
        </w:tc>
        <w:tc>
          <w:p>
            <w:r>
              <w:t xml:space="preserve">Descrição</w:t>
            </w:r>
          </w:p>
        </w:tc>
      </w:tr>
      <w:tr>
        <w:tc>
          <w:p>
            <w:r>
              <w:t xml:space="preserve">GoPro Benchmark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15.939</w:t>
            </w:r>
          </w:p>
        </w:tc>
        <w:tc>
          <w:p>
            <w:r>
              <w:t xml:space="preserve">Cenário roadside, alta velocidade.</w:t>
            </w:r>
          </w:p>
        </w:tc>
      </w:tr>
      <w:tr>
        <w:tc>
          <w:p>
            <w:r>
              <w:t xml:space="preserve">GOT-10k (Val)</w:t>
            </w:r>
          </w:p>
        </w:tc>
        <w:tc>
          <w:p>
            <w:r>
              <w:t xml:space="preserve">180</w:t>
            </w:r>
          </w:p>
        </w:tc>
        <w:tc>
          <w:p>
            <w:r>
              <w:t xml:space="preserve">21.007</w:t>
            </w:r>
          </w:p>
        </w:tc>
        <w:tc>
          <w:p>
            <w:r>
              <w:t xml:space="preserve">Cenário geral, câmeras em movimento.</w:t>
            </w:r>
          </w:p>
        </w:tc>
      </w:tr>
    </w:tbl>
    <w:p>
      <w:pPr>
        <w:pStyle w:val="Heading1"/>
      </w:pPr>
      <w:r>
        <w:t xml:space="preserve">2. Resultados Consolidados (Cenário Crítico 2 FPS)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p>
            <w:r>
              <w:t xml:space="preserve">Método</w:t>
            </w:r>
          </w:p>
        </w:tc>
        <w:tc>
          <w:p>
            <w:r>
              <w:t xml:space="preserve">MOTA (↑)</w:t>
            </w:r>
          </w:p>
        </w:tc>
        <w:tc>
          <w:p>
            <w:r>
              <w:t xml:space="preserve">IDF1 (↑)</w:t>
            </w:r>
          </w:p>
        </w:tc>
        <w:tc>
          <w:p>
            <w:r>
              <w:t xml:space="preserve">IDSW (↓)</w:t>
            </w:r>
          </w:p>
        </w:tc>
      </w:tr>
      <w:tr>
        <w:tc>
          <w:p>
            <w:r>
              <w:t xml:space="preserve">BoTSORT (Baseline)</w:t>
            </w:r>
          </w:p>
        </w:tc>
        <w:tc>
          <w:p>
            <w:r>
              <w:t xml:space="preserve">0.82%</w:t>
            </w:r>
          </w:p>
        </w:tc>
        <w:tc>
          <w:p>
            <w:r>
              <w:t xml:space="preserve">1.58%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LightGlue (Otimizado)</w:t>
            </w:r>
          </w:p>
        </w:tc>
        <w:tc>
          <w:p>
            <w:r>
              <w:t xml:space="preserve">4.53%</w:t>
            </w:r>
          </w:p>
        </w:tc>
        <w:tc>
          <w:p>
            <w:r>
              <w:t xml:space="preserve">8.40%</w:t>
            </w:r>
          </w:p>
        </w:tc>
        <w:tc>
          <w:p>
            <w:r>
              <w:t xml:space="preserve">302</w:t>
            </w:r>
          </w:p>
        </w:tc>
      </w:tr>
    </w:tbl>
    <w:p>
      <w:pPr>
        <w:pStyle w:val="Heading1"/>
      </w:pPr>
      <w:r>
        <w:t xml:space="preserve">3. Análise de Comportamento e Otimizações</w:t>
      </w:r>
    </w:p>
    <w:p>
      <w:r>
        <w:t xml:space="preserve">• Resiliência Visual: O LightGlue utiliza correspondência de pontos-chave via SuperPoint, permitindo reencontrar objetos mesmo após deslocamentos de centenas de pixels.</w:t>
      </w:r>
    </w:p>
    <w:p>
      <w:r>
        <w:t xml:space="preserve">• Gate Espacial Adaptativo: Expandimos o limite de busca para 1500px para lidar com o movimento de alta velocidade do veículo em baixas taxas de quadros.</w:t>
      </w:r>
    </w:p>
    <w:p>
      <w:r>
        <w:t xml:space="preserve">• Conclusão sobre CMC: Em cenários de rodovia linear, o matching puro do LightGlue com gate expandido é superior ao uso de CMC baseado em translação, reduzindo ruído na estimativa de movimento.</w:t>
      </w:r>
    </w:p>
    <w:p>
      <w:r>
        <w:t xml:space="preserve">• Superioridade Técnica: O método proposto entrega uma performance 5.5x superior ao BoTSORT no cenário de 2 FPS.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2026-05-04T20:03:06.512Z</dcterms:created>
  <dcterms:modified xsi:type="dcterms:W3CDTF">2026-05-04T20:03:06.512Z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