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5A2FE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Business Insights Report — Segra Network Data Quality &amp; SLA Analysis</w:t>
      </w:r>
    </w:p>
    <w:p w14:paraId="2A0ABF9E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Project Overview</w:t>
      </w:r>
    </w:p>
    <w:p w14:paraId="7965E5F7" w14:textId="77777777" w:rsidR="0019607A" w:rsidRPr="0019607A" w:rsidRDefault="0019607A" w:rsidP="0019607A">
      <w:r w:rsidRPr="0019607A">
        <w:t>This project demonstrates advanced Excel-based data analytics for a telecom network environment.</w:t>
      </w:r>
      <w:r w:rsidRPr="0019607A">
        <w:br/>
        <w:t>Using Power Query and PivotTables, five operational datasets were integrated—</w:t>
      </w:r>
      <w:r w:rsidRPr="0019607A">
        <w:rPr>
          <w:b/>
          <w:bCs/>
        </w:rPr>
        <w:t>Buildings</w:t>
      </w:r>
      <w:r w:rsidRPr="0019607A">
        <w:t xml:space="preserve">, </w:t>
      </w:r>
      <w:r w:rsidRPr="0019607A">
        <w:rPr>
          <w:b/>
          <w:bCs/>
        </w:rPr>
        <w:t>Circuits</w:t>
      </w:r>
      <w:r w:rsidRPr="0019607A">
        <w:t xml:space="preserve">, </w:t>
      </w:r>
      <w:r w:rsidRPr="0019607A">
        <w:rPr>
          <w:b/>
          <w:bCs/>
        </w:rPr>
        <w:t>Carriers</w:t>
      </w:r>
      <w:r w:rsidRPr="0019607A">
        <w:t xml:space="preserve">, </w:t>
      </w:r>
      <w:r w:rsidRPr="0019607A">
        <w:rPr>
          <w:b/>
          <w:bCs/>
        </w:rPr>
        <w:t>OcularIP KPIs</w:t>
      </w:r>
      <w:r w:rsidRPr="0019607A">
        <w:t xml:space="preserve">, and </w:t>
      </w:r>
      <w:r w:rsidRPr="0019607A">
        <w:rPr>
          <w:b/>
          <w:bCs/>
        </w:rPr>
        <w:t>Ticketing (TTS)</w:t>
      </w:r>
      <w:r w:rsidRPr="0019607A">
        <w:t>—to evaluate network coverage, data quality, SLA compliance, and credit exposure.</w:t>
      </w:r>
      <w:r w:rsidRPr="0019607A">
        <w:br/>
        <w:t>The analysis replicates workflows common in network-operations and service-assurance teams, focusing on performance KPIs and risk mitigation.</w:t>
      </w:r>
    </w:p>
    <w:p w14:paraId="55341F34" w14:textId="77777777" w:rsidR="0019607A" w:rsidRPr="0019607A" w:rsidRDefault="0019607A" w:rsidP="0019607A">
      <w:r w:rsidRPr="0019607A">
        <w:pict w14:anchorId="0248C6ED">
          <v:rect id="_x0000_i1073" style="width:0;height:1.5pt" o:hralign="center" o:hrstd="t" o:hr="t" fillcolor="#a0a0a0" stroked="f"/>
        </w:pict>
      </w:r>
    </w:p>
    <w:p w14:paraId="4B9DEC13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Key Findings (Phases 0 – 5)</w:t>
      </w:r>
    </w:p>
    <w:p w14:paraId="04767B1C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1. Data Integration &amp; Quality</w:t>
      </w:r>
    </w:p>
    <w:p w14:paraId="505D8B5B" w14:textId="77777777" w:rsidR="0019607A" w:rsidRPr="0019607A" w:rsidRDefault="0019607A" w:rsidP="0019607A">
      <w:pPr>
        <w:numPr>
          <w:ilvl w:val="0"/>
          <w:numId w:val="1"/>
        </w:numPr>
      </w:pPr>
      <w:r w:rsidRPr="0019607A">
        <w:t>Established a refreshable Excel data model using Power Query with relational joins across five tables.</w:t>
      </w:r>
    </w:p>
    <w:p w14:paraId="2FB80604" w14:textId="77777777" w:rsidR="0019607A" w:rsidRPr="0019607A" w:rsidRDefault="0019607A" w:rsidP="0019607A">
      <w:pPr>
        <w:numPr>
          <w:ilvl w:val="0"/>
          <w:numId w:val="1"/>
        </w:numPr>
      </w:pPr>
      <w:r w:rsidRPr="0019607A">
        <w:t xml:space="preserve">12 validation checks identified </w:t>
      </w:r>
      <w:r w:rsidRPr="0019607A">
        <w:rPr>
          <w:b/>
          <w:bCs/>
        </w:rPr>
        <w:t>532 buildings</w:t>
      </w:r>
      <w:r w:rsidRPr="0019607A">
        <w:t xml:space="preserve"> (&gt; 365 days since last verification).</w:t>
      </w:r>
    </w:p>
    <w:p w14:paraId="41CB86C5" w14:textId="77777777" w:rsidR="0019607A" w:rsidRPr="0019607A" w:rsidRDefault="0019607A" w:rsidP="0019607A">
      <w:pPr>
        <w:numPr>
          <w:ilvl w:val="0"/>
          <w:numId w:val="1"/>
        </w:numPr>
      </w:pPr>
      <w:r w:rsidRPr="0019607A">
        <w:t xml:space="preserve">Data quality risk estimated at </w:t>
      </w:r>
      <w:r w:rsidRPr="0019607A">
        <w:rPr>
          <w:b/>
          <w:bCs/>
        </w:rPr>
        <w:t>≈ 6 % of total inventory</w:t>
      </w:r>
      <w:r w:rsidRPr="0019607A">
        <w:t>.</w:t>
      </w:r>
      <w:r w:rsidRPr="0019607A">
        <w:br/>
      </w:r>
      <w:r w:rsidRPr="0019607A">
        <w:rPr>
          <w:rFonts w:ascii="Segoe UI Emoji" w:hAnsi="Segoe UI Emoji" w:cs="Segoe UI Emoji"/>
        </w:rPr>
        <w:t>🟢</w:t>
      </w:r>
      <w:r w:rsidRPr="0019607A">
        <w:t xml:space="preserve"> </w:t>
      </w:r>
      <w:r w:rsidRPr="0019607A">
        <w:rPr>
          <w:i/>
          <w:iCs/>
        </w:rPr>
        <w:t>Recommendation:</w:t>
      </w:r>
      <w:r w:rsidRPr="0019607A">
        <w:t xml:space="preserve"> Schedule quarterly verification audits; flag overdue sites via conditional formatting or alerts.</w:t>
      </w:r>
    </w:p>
    <w:p w14:paraId="37FDF9B3" w14:textId="77777777" w:rsidR="0019607A" w:rsidRPr="0019607A" w:rsidRDefault="0019607A" w:rsidP="0019607A">
      <w:r w:rsidRPr="0019607A">
        <w:pict w14:anchorId="3D041697">
          <v:rect id="_x0000_i1074" style="width:0;height:1.5pt" o:hralign="center" o:hrstd="t" o:hr="t" fillcolor="#a0a0a0" stroked="f"/>
        </w:pict>
      </w:r>
    </w:p>
    <w:p w14:paraId="25612278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2. Coverage &amp; Inventory</w:t>
      </w:r>
    </w:p>
    <w:p w14:paraId="1A74124A" w14:textId="77777777" w:rsidR="0019607A" w:rsidRPr="0019607A" w:rsidRDefault="0019607A" w:rsidP="0019607A">
      <w:pPr>
        <w:numPr>
          <w:ilvl w:val="0"/>
          <w:numId w:val="2"/>
        </w:numPr>
      </w:pPr>
      <w:r w:rsidRPr="0019607A">
        <w:t xml:space="preserve">Coverage analysis by market revealed </w:t>
      </w:r>
      <w:r w:rsidRPr="0019607A">
        <w:rPr>
          <w:b/>
          <w:bCs/>
        </w:rPr>
        <w:t>Denver = 67 % ON_NET</w:t>
      </w:r>
      <w:r w:rsidRPr="0019607A">
        <w:t xml:space="preserve">, </w:t>
      </w:r>
      <w:r w:rsidRPr="0019607A">
        <w:rPr>
          <w:b/>
          <w:bCs/>
        </w:rPr>
        <w:t>Charlotte = 48 % ON_NET</w:t>
      </w:r>
      <w:r w:rsidRPr="0019607A">
        <w:t>.</w:t>
      </w:r>
    </w:p>
    <w:p w14:paraId="71EE594D" w14:textId="77777777" w:rsidR="0019607A" w:rsidRPr="0019607A" w:rsidRDefault="0019607A" w:rsidP="0019607A">
      <w:pPr>
        <w:numPr>
          <w:ilvl w:val="0"/>
          <w:numId w:val="2"/>
        </w:numPr>
      </w:pPr>
      <w:r w:rsidRPr="0019607A">
        <w:t xml:space="preserve">Active-circuit pivot showed </w:t>
      </w:r>
      <w:r w:rsidRPr="0019607A">
        <w:rPr>
          <w:b/>
          <w:bCs/>
        </w:rPr>
        <w:t>Carrier A accounts for ≈ 42 % of circuits and $85 K MRC/month</w:t>
      </w:r>
      <w:r w:rsidRPr="0019607A">
        <w:t>.</w:t>
      </w:r>
      <w:r w:rsidRPr="0019607A">
        <w:br/>
      </w:r>
      <w:r w:rsidRPr="0019607A">
        <w:rPr>
          <w:rFonts w:ascii="Segoe UI Emoji" w:hAnsi="Segoe UI Emoji" w:cs="Segoe UI Emoji"/>
        </w:rPr>
        <w:t>🟢</w:t>
      </w:r>
      <w:r w:rsidRPr="0019607A">
        <w:t xml:space="preserve"> </w:t>
      </w:r>
      <w:r w:rsidRPr="0019607A">
        <w:rPr>
          <w:i/>
          <w:iCs/>
        </w:rPr>
        <w:t>Recommendation:</w:t>
      </w:r>
      <w:r w:rsidRPr="0019607A">
        <w:t xml:space="preserve"> Diversify carrier dependency in Denver; increase ON_NET build-outs in under-served markets.</w:t>
      </w:r>
    </w:p>
    <w:p w14:paraId="5FE4D68E" w14:textId="77777777" w:rsidR="0019607A" w:rsidRPr="0019607A" w:rsidRDefault="0019607A" w:rsidP="0019607A">
      <w:r w:rsidRPr="0019607A">
        <w:pict w14:anchorId="60E363F1">
          <v:rect id="_x0000_i1075" style="width:0;height:1.5pt" o:hralign="center" o:hrstd="t" o:hr="t" fillcolor="#a0a0a0" stroked="f"/>
        </w:pict>
      </w:r>
    </w:p>
    <w:p w14:paraId="690801E4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3. SLA Compliance Performance</w:t>
      </w:r>
    </w:p>
    <w:p w14:paraId="733D6EC7" w14:textId="77777777" w:rsidR="0019607A" w:rsidRPr="0019607A" w:rsidRDefault="0019607A" w:rsidP="0019607A">
      <w:pPr>
        <w:numPr>
          <w:ilvl w:val="0"/>
          <w:numId w:val="3"/>
        </w:numPr>
      </w:pPr>
      <w:r w:rsidRPr="0019607A">
        <w:t>Derived daily SLA flags (uptime, latency, jitter, packet loss) for each circuit.</w:t>
      </w:r>
    </w:p>
    <w:p w14:paraId="16CFB82A" w14:textId="77777777" w:rsidR="0019607A" w:rsidRPr="0019607A" w:rsidRDefault="0019607A" w:rsidP="0019607A">
      <w:pPr>
        <w:numPr>
          <w:ilvl w:val="0"/>
          <w:numId w:val="3"/>
        </w:numPr>
      </w:pPr>
      <w:r w:rsidRPr="0019607A">
        <w:t xml:space="preserve">Network achieved </w:t>
      </w:r>
      <w:r w:rsidRPr="0019607A">
        <w:rPr>
          <w:b/>
          <w:bCs/>
        </w:rPr>
        <w:t>99.9 % average uptime</w:t>
      </w:r>
      <w:r w:rsidRPr="0019607A">
        <w:t>; ~ 6 % of days flagged any fail.</w:t>
      </w:r>
    </w:p>
    <w:p w14:paraId="39D8DE14" w14:textId="77777777" w:rsidR="0019607A" w:rsidRPr="0019607A" w:rsidRDefault="0019607A" w:rsidP="0019607A">
      <w:pPr>
        <w:numPr>
          <w:ilvl w:val="0"/>
          <w:numId w:val="3"/>
        </w:numPr>
      </w:pPr>
      <w:r w:rsidRPr="0019607A">
        <w:rPr>
          <w:b/>
          <w:bCs/>
        </w:rPr>
        <w:lastRenderedPageBreak/>
        <w:t>Carriers A and C</w:t>
      </w:r>
      <w:r w:rsidRPr="0019607A">
        <w:t xml:space="preserve"> show above-average latency issues (&gt; 8 % of records).</w:t>
      </w:r>
      <w:r w:rsidRPr="0019607A">
        <w:br/>
      </w:r>
      <w:r w:rsidRPr="0019607A">
        <w:rPr>
          <w:rFonts w:ascii="Segoe UI Emoji" w:hAnsi="Segoe UI Emoji" w:cs="Segoe UI Emoji"/>
        </w:rPr>
        <w:t>🟢</w:t>
      </w:r>
      <w:r w:rsidRPr="0019607A">
        <w:t xml:space="preserve"> </w:t>
      </w:r>
      <w:r w:rsidRPr="0019607A">
        <w:rPr>
          <w:i/>
          <w:iCs/>
        </w:rPr>
        <w:t>Recommendation:</w:t>
      </w:r>
      <w:r w:rsidRPr="0019607A">
        <w:t xml:space="preserve"> Review vendor SLA clauses; perform latency root-cause analysis for those carriers.</w:t>
      </w:r>
    </w:p>
    <w:p w14:paraId="4FCC6F4B" w14:textId="77777777" w:rsidR="0019607A" w:rsidRPr="0019607A" w:rsidRDefault="0019607A" w:rsidP="0019607A">
      <w:r w:rsidRPr="0019607A">
        <w:pict w14:anchorId="0E7DF12A">
          <v:rect id="_x0000_i1076" style="width:0;height:1.5pt" o:hralign="center" o:hrstd="t" o:hr="t" fillcolor="#a0a0a0" stroked="f"/>
        </w:pict>
      </w:r>
    </w:p>
    <w:p w14:paraId="70D67BC4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4. SLA Credit Exposure</w:t>
      </w:r>
    </w:p>
    <w:p w14:paraId="6F570124" w14:textId="77777777" w:rsidR="0019607A" w:rsidRPr="0019607A" w:rsidRDefault="0019607A" w:rsidP="0019607A">
      <w:pPr>
        <w:numPr>
          <w:ilvl w:val="0"/>
          <w:numId w:val="4"/>
        </w:numPr>
      </w:pPr>
      <w:r w:rsidRPr="0019607A">
        <w:t>Calculated potential credits as 5 % of MRC on any-fail days.</w:t>
      </w:r>
    </w:p>
    <w:p w14:paraId="77D3B47E" w14:textId="77777777" w:rsidR="0019607A" w:rsidRPr="0019607A" w:rsidRDefault="0019607A" w:rsidP="0019607A">
      <w:pPr>
        <w:numPr>
          <w:ilvl w:val="0"/>
          <w:numId w:val="4"/>
        </w:numPr>
      </w:pPr>
      <w:r w:rsidRPr="0019607A">
        <w:t xml:space="preserve">Estimated </w:t>
      </w:r>
      <w:r w:rsidRPr="0019607A">
        <w:rPr>
          <w:b/>
          <w:bCs/>
        </w:rPr>
        <w:t>$18 K credits this month (≈ 0.8 % revenue risk)</w:t>
      </w:r>
      <w:r w:rsidRPr="0019607A">
        <w:t>.</w:t>
      </w:r>
    </w:p>
    <w:p w14:paraId="0FC02DB4" w14:textId="77777777" w:rsidR="0019607A" w:rsidRPr="0019607A" w:rsidRDefault="0019607A" w:rsidP="0019607A">
      <w:pPr>
        <w:numPr>
          <w:ilvl w:val="0"/>
          <w:numId w:val="4"/>
        </w:numPr>
      </w:pPr>
      <w:r w:rsidRPr="0019607A">
        <w:t xml:space="preserve">Highest credit markets: </w:t>
      </w:r>
      <w:r w:rsidRPr="0019607A">
        <w:rPr>
          <w:b/>
          <w:bCs/>
        </w:rPr>
        <w:t>Atlanta &amp; Dallas</w:t>
      </w:r>
      <w:r w:rsidRPr="0019607A">
        <w:t>.</w:t>
      </w:r>
      <w:r w:rsidRPr="0019607A">
        <w:br/>
      </w:r>
      <w:r w:rsidRPr="0019607A">
        <w:rPr>
          <w:rFonts w:ascii="Segoe UI Emoji" w:hAnsi="Segoe UI Emoji" w:cs="Segoe UI Emoji"/>
        </w:rPr>
        <w:t>🟢</w:t>
      </w:r>
      <w:r w:rsidRPr="0019607A">
        <w:t xml:space="preserve"> </w:t>
      </w:r>
      <w:r w:rsidRPr="0019607A">
        <w:rPr>
          <w:i/>
          <w:iCs/>
        </w:rPr>
        <w:t>Recommendation:</w:t>
      </w:r>
      <w:r w:rsidRPr="0019607A">
        <w:t xml:space="preserve"> Prioritize proactive monitoring in top-exposure markets; target 0.5 % credit-loss ceiling.</w:t>
      </w:r>
    </w:p>
    <w:p w14:paraId="5AA60378" w14:textId="77777777" w:rsidR="0019607A" w:rsidRPr="0019607A" w:rsidRDefault="0019607A" w:rsidP="0019607A">
      <w:r w:rsidRPr="0019607A">
        <w:pict w14:anchorId="10999F38">
          <v:rect id="_x0000_i1077" style="width:0;height:1.5pt" o:hralign="center" o:hrstd="t" o:hr="t" fillcolor="#a0a0a0" stroked="f"/>
        </w:pict>
      </w:r>
    </w:p>
    <w:p w14:paraId="2DDFEB76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5. Ticketing &amp; Root Cause</w:t>
      </w:r>
    </w:p>
    <w:p w14:paraId="0258D1AE" w14:textId="77777777" w:rsidR="0019607A" w:rsidRPr="0019607A" w:rsidRDefault="0019607A" w:rsidP="0019607A">
      <w:pPr>
        <w:numPr>
          <w:ilvl w:val="0"/>
          <w:numId w:val="5"/>
        </w:numPr>
      </w:pPr>
      <w:r w:rsidRPr="0019607A">
        <w:t xml:space="preserve">900 tickets analyzed → </w:t>
      </w:r>
      <w:r w:rsidRPr="0019607A">
        <w:rPr>
          <w:b/>
          <w:bCs/>
        </w:rPr>
        <w:t>65 % Hardware/Fiber-cut</w:t>
      </w:r>
      <w:r w:rsidRPr="0019607A">
        <w:t xml:space="preserve"> categories.</w:t>
      </w:r>
    </w:p>
    <w:p w14:paraId="2470C273" w14:textId="77777777" w:rsidR="0019607A" w:rsidRPr="0019607A" w:rsidRDefault="0019607A" w:rsidP="0019607A">
      <w:pPr>
        <w:numPr>
          <w:ilvl w:val="0"/>
          <w:numId w:val="5"/>
        </w:numPr>
      </w:pPr>
      <w:r w:rsidRPr="0019607A">
        <w:t xml:space="preserve">Avg resolution time ≈ </w:t>
      </w:r>
      <w:r w:rsidRPr="0019607A">
        <w:rPr>
          <w:b/>
          <w:bCs/>
        </w:rPr>
        <w:t>5.3 h</w:t>
      </w:r>
      <w:r w:rsidRPr="0019607A">
        <w:t xml:space="preserve"> vs 6 h SLA target.</w:t>
      </w:r>
    </w:p>
    <w:p w14:paraId="14E07F23" w14:textId="77777777" w:rsidR="0019607A" w:rsidRPr="0019607A" w:rsidRDefault="0019607A" w:rsidP="0019607A">
      <w:pPr>
        <w:numPr>
          <w:ilvl w:val="0"/>
          <w:numId w:val="5"/>
        </w:numPr>
      </w:pPr>
      <w:r w:rsidRPr="0019607A">
        <w:t>Fail-day correlation confirmed between latency breaches and hardware tickets.</w:t>
      </w:r>
      <w:r w:rsidRPr="0019607A">
        <w:br/>
      </w:r>
      <w:r w:rsidRPr="0019607A">
        <w:rPr>
          <w:rFonts w:ascii="Segoe UI Emoji" w:hAnsi="Segoe UI Emoji" w:cs="Segoe UI Emoji"/>
        </w:rPr>
        <w:t>🟢</w:t>
      </w:r>
      <w:r w:rsidRPr="0019607A">
        <w:t xml:space="preserve"> </w:t>
      </w:r>
      <w:r w:rsidRPr="0019607A">
        <w:rPr>
          <w:i/>
          <w:iCs/>
        </w:rPr>
        <w:t>Recommendation:</w:t>
      </w:r>
      <w:r w:rsidRPr="0019607A">
        <w:t xml:space="preserve"> Implement preventive maintenance alerts and spare-equipment staging to lower resolution times.</w:t>
      </w:r>
    </w:p>
    <w:p w14:paraId="037A2587" w14:textId="77777777" w:rsidR="0019607A" w:rsidRPr="0019607A" w:rsidRDefault="0019607A" w:rsidP="0019607A">
      <w:r w:rsidRPr="0019607A">
        <w:pict w14:anchorId="707DDB57">
          <v:rect id="_x0000_i1078" style="width:0;height:1.5pt" o:hralign="center" o:hrstd="t" o:hr="t" fillcolor="#a0a0a0" stroked="f"/>
        </w:pict>
      </w:r>
    </w:p>
    <w:p w14:paraId="7FFE6E47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Executive Summary</w:t>
      </w:r>
    </w:p>
    <w:p w14:paraId="5ED98982" w14:textId="77777777" w:rsidR="0019607A" w:rsidRPr="0019607A" w:rsidRDefault="0019607A" w:rsidP="0019607A">
      <w:r w:rsidRPr="0019607A">
        <w:t>This analysis validated that the organization’s network operates within SLA standards but faces moderate exposure in specific carriers and regions. Data-verification processes and latency management offer the greatest ROI for improvement.</w:t>
      </w:r>
    </w:p>
    <w:p w14:paraId="5A7D39D5" w14:textId="77777777" w:rsidR="0019607A" w:rsidRPr="0019607A" w:rsidRDefault="0019607A" w:rsidP="0019607A">
      <w:r w:rsidRPr="0019607A">
        <w:rPr>
          <w:b/>
          <w:bCs/>
        </w:rPr>
        <w:t>Highlights</w:t>
      </w:r>
    </w:p>
    <w:p w14:paraId="11209904" w14:textId="77777777" w:rsidR="0019607A" w:rsidRPr="0019607A" w:rsidRDefault="0019607A" w:rsidP="0019607A">
      <w:pPr>
        <w:numPr>
          <w:ilvl w:val="0"/>
          <w:numId w:val="6"/>
        </w:numPr>
      </w:pPr>
      <w:r w:rsidRPr="0019607A">
        <w:t>Dynamic Excel ETL pipeline replicating enterprise data flows.</w:t>
      </w:r>
    </w:p>
    <w:p w14:paraId="2A9AF2DD" w14:textId="77777777" w:rsidR="0019607A" w:rsidRPr="0019607A" w:rsidRDefault="0019607A" w:rsidP="0019607A">
      <w:pPr>
        <w:numPr>
          <w:ilvl w:val="0"/>
          <w:numId w:val="6"/>
        </w:numPr>
      </w:pPr>
      <w:r w:rsidRPr="0019607A">
        <w:t>Network health ≈ 99.9 % uptime with &lt; 1 % revenue risk.</w:t>
      </w:r>
    </w:p>
    <w:p w14:paraId="1563DBE8" w14:textId="77777777" w:rsidR="0019607A" w:rsidRPr="0019607A" w:rsidRDefault="0019607A" w:rsidP="0019607A">
      <w:pPr>
        <w:numPr>
          <w:ilvl w:val="0"/>
          <w:numId w:val="6"/>
        </w:numPr>
      </w:pPr>
      <w:r w:rsidRPr="0019607A">
        <w:t>Actionable KPIs guiding carrier performance, credit risk, and ticket resolution.</w:t>
      </w:r>
    </w:p>
    <w:p w14:paraId="32F82208" w14:textId="77777777" w:rsidR="0019607A" w:rsidRPr="0019607A" w:rsidRDefault="0019607A" w:rsidP="0019607A">
      <w:r w:rsidRPr="0019607A">
        <w:pict w14:anchorId="27549B0F">
          <v:rect id="_x0000_i1079" style="width:0;height:1.5pt" o:hralign="center" o:hrstd="t" o:hr="t" fillcolor="#a0a0a0" stroked="f"/>
        </w:pict>
      </w:r>
    </w:p>
    <w:p w14:paraId="743E6312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Next Steps / Recommendations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3105"/>
        <w:gridCol w:w="3308"/>
      </w:tblGrid>
      <w:tr w:rsidR="0019607A" w:rsidRPr="0019607A" w14:paraId="6B7A3A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BA566" w14:textId="77777777" w:rsidR="0019607A" w:rsidRPr="0019607A" w:rsidRDefault="0019607A" w:rsidP="0019607A">
            <w:pPr>
              <w:rPr>
                <w:b/>
                <w:bCs/>
              </w:rPr>
            </w:pPr>
            <w:r w:rsidRPr="0019607A">
              <w:rPr>
                <w:b/>
                <w:bCs/>
              </w:rPr>
              <w:lastRenderedPageBreak/>
              <w:t>Area</w:t>
            </w:r>
          </w:p>
        </w:tc>
        <w:tc>
          <w:tcPr>
            <w:tcW w:w="0" w:type="auto"/>
            <w:vAlign w:val="center"/>
            <w:hideMark/>
          </w:tcPr>
          <w:p w14:paraId="74B4F745" w14:textId="77777777" w:rsidR="0019607A" w:rsidRPr="0019607A" w:rsidRDefault="0019607A" w:rsidP="0019607A">
            <w:pPr>
              <w:rPr>
                <w:b/>
                <w:bCs/>
              </w:rPr>
            </w:pPr>
            <w:r w:rsidRPr="0019607A">
              <w:rPr>
                <w:b/>
                <w:bCs/>
              </w:rPr>
              <w:t>Initiative</w:t>
            </w:r>
          </w:p>
        </w:tc>
        <w:tc>
          <w:tcPr>
            <w:tcW w:w="0" w:type="auto"/>
            <w:vAlign w:val="center"/>
            <w:hideMark/>
          </w:tcPr>
          <w:p w14:paraId="5D7EFB44" w14:textId="77777777" w:rsidR="0019607A" w:rsidRPr="0019607A" w:rsidRDefault="0019607A" w:rsidP="0019607A">
            <w:pPr>
              <w:rPr>
                <w:b/>
                <w:bCs/>
              </w:rPr>
            </w:pPr>
            <w:r w:rsidRPr="0019607A">
              <w:rPr>
                <w:b/>
                <w:bCs/>
              </w:rPr>
              <w:t>Expected Impact</w:t>
            </w:r>
          </w:p>
        </w:tc>
      </w:tr>
      <w:tr w:rsidR="0019607A" w:rsidRPr="0019607A" w14:paraId="373B2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0D99E" w14:textId="77777777" w:rsidR="0019607A" w:rsidRPr="0019607A" w:rsidRDefault="0019607A" w:rsidP="0019607A">
            <w:r w:rsidRPr="0019607A">
              <w:t>Data Governance</w:t>
            </w:r>
          </w:p>
        </w:tc>
        <w:tc>
          <w:tcPr>
            <w:tcW w:w="0" w:type="auto"/>
            <w:vAlign w:val="center"/>
            <w:hideMark/>
          </w:tcPr>
          <w:p w14:paraId="464950D9" w14:textId="77777777" w:rsidR="0019607A" w:rsidRPr="0019607A" w:rsidRDefault="0019607A" w:rsidP="0019607A">
            <w:r w:rsidRPr="0019607A">
              <w:t>Quarterly building verification</w:t>
            </w:r>
          </w:p>
        </w:tc>
        <w:tc>
          <w:tcPr>
            <w:tcW w:w="0" w:type="auto"/>
            <w:vAlign w:val="center"/>
            <w:hideMark/>
          </w:tcPr>
          <w:p w14:paraId="05AF757E" w14:textId="77777777" w:rsidR="0019607A" w:rsidRPr="0019607A" w:rsidRDefault="0019607A" w:rsidP="0019607A">
            <w:r w:rsidRPr="0019607A">
              <w:t>↑ Data trust &amp; audit readiness</w:t>
            </w:r>
          </w:p>
        </w:tc>
      </w:tr>
      <w:tr w:rsidR="0019607A" w:rsidRPr="0019607A" w14:paraId="17506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311F8" w14:textId="77777777" w:rsidR="0019607A" w:rsidRPr="0019607A" w:rsidRDefault="0019607A" w:rsidP="0019607A">
            <w:r w:rsidRPr="0019607A">
              <w:t>Network Ops</w:t>
            </w:r>
          </w:p>
        </w:tc>
        <w:tc>
          <w:tcPr>
            <w:tcW w:w="0" w:type="auto"/>
            <w:vAlign w:val="center"/>
            <w:hideMark/>
          </w:tcPr>
          <w:p w14:paraId="74F54769" w14:textId="77777777" w:rsidR="0019607A" w:rsidRPr="0019607A" w:rsidRDefault="0019607A" w:rsidP="0019607A">
            <w:r w:rsidRPr="0019607A">
              <w:t>Latency root cause program</w:t>
            </w:r>
          </w:p>
        </w:tc>
        <w:tc>
          <w:tcPr>
            <w:tcW w:w="0" w:type="auto"/>
            <w:vAlign w:val="center"/>
            <w:hideMark/>
          </w:tcPr>
          <w:p w14:paraId="00C16BC7" w14:textId="77777777" w:rsidR="0019607A" w:rsidRPr="0019607A" w:rsidRDefault="0019607A" w:rsidP="0019607A">
            <w:r w:rsidRPr="0019607A">
              <w:t>↓ SLA breaches by 2 pp</w:t>
            </w:r>
          </w:p>
        </w:tc>
      </w:tr>
      <w:tr w:rsidR="0019607A" w:rsidRPr="0019607A" w14:paraId="5A42DD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62EDD" w14:textId="77777777" w:rsidR="0019607A" w:rsidRPr="0019607A" w:rsidRDefault="0019607A" w:rsidP="0019607A">
            <w:r w:rsidRPr="0019607A">
              <w:t>Finance</w:t>
            </w:r>
          </w:p>
        </w:tc>
        <w:tc>
          <w:tcPr>
            <w:tcW w:w="0" w:type="auto"/>
            <w:vAlign w:val="center"/>
            <w:hideMark/>
          </w:tcPr>
          <w:p w14:paraId="76A0931C" w14:textId="77777777" w:rsidR="0019607A" w:rsidRPr="0019607A" w:rsidRDefault="0019607A" w:rsidP="0019607A">
            <w:r w:rsidRPr="0019607A">
              <w:t>Credit-tracking dashboard</w:t>
            </w:r>
          </w:p>
        </w:tc>
        <w:tc>
          <w:tcPr>
            <w:tcW w:w="0" w:type="auto"/>
            <w:vAlign w:val="center"/>
            <w:hideMark/>
          </w:tcPr>
          <w:p w14:paraId="093891ED" w14:textId="77777777" w:rsidR="0019607A" w:rsidRPr="0019607A" w:rsidRDefault="0019607A" w:rsidP="0019607A">
            <w:r w:rsidRPr="0019607A">
              <w:t>↓ Revenue risk from 0.8 → 0.5 %</w:t>
            </w:r>
          </w:p>
        </w:tc>
      </w:tr>
      <w:tr w:rsidR="0019607A" w:rsidRPr="0019607A" w14:paraId="6FB8FB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9793B" w14:textId="77777777" w:rsidR="0019607A" w:rsidRPr="0019607A" w:rsidRDefault="0019607A" w:rsidP="0019607A">
            <w:r w:rsidRPr="0019607A">
              <w:t>Service</w:t>
            </w:r>
          </w:p>
        </w:tc>
        <w:tc>
          <w:tcPr>
            <w:tcW w:w="0" w:type="auto"/>
            <w:vAlign w:val="center"/>
            <w:hideMark/>
          </w:tcPr>
          <w:p w14:paraId="01ECA993" w14:textId="77777777" w:rsidR="0019607A" w:rsidRPr="0019607A" w:rsidRDefault="0019607A" w:rsidP="0019607A">
            <w:r w:rsidRPr="0019607A">
              <w:t>Predictive ticket prioritization</w:t>
            </w:r>
          </w:p>
        </w:tc>
        <w:tc>
          <w:tcPr>
            <w:tcW w:w="0" w:type="auto"/>
            <w:vAlign w:val="center"/>
            <w:hideMark/>
          </w:tcPr>
          <w:p w14:paraId="6F321769" w14:textId="77777777" w:rsidR="0019607A" w:rsidRPr="0019607A" w:rsidRDefault="0019607A" w:rsidP="0019607A">
            <w:r w:rsidRPr="0019607A">
              <w:t>↓ Mean resolution time by 1 h</w:t>
            </w:r>
          </w:p>
        </w:tc>
      </w:tr>
    </w:tbl>
    <w:p w14:paraId="26830AE5" w14:textId="77777777" w:rsidR="0019607A" w:rsidRPr="0019607A" w:rsidRDefault="0019607A" w:rsidP="0019607A">
      <w:r w:rsidRPr="0019607A">
        <w:pict w14:anchorId="73CD4B10">
          <v:rect id="_x0000_i1080" style="width:0;height:1.5pt" o:hralign="center" o:hrstd="t" o:hr="t" fillcolor="#a0a0a0" stroked="f"/>
        </w:pict>
      </w:r>
    </w:p>
    <w:p w14:paraId="0C45B475" w14:textId="77777777" w:rsidR="0019607A" w:rsidRPr="0019607A" w:rsidRDefault="0019607A" w:rsidP="0019607A">
      <w:pPr>
        <w:rPr>
          <w:b/>
          <w:bCs/>
        </w:rPr>
      </w:pPr>
      <w:r w:rsidRPr="0019607A">
        <w:rPr>
          <w:b/>
          <w:bCs/>
        </w:rPr>
        <w:t>Deliverables</w:t>
      </w:r>
    </w:p>
    <w:p w14:paraId="6928A7FF" w14:textId="77777777" w:rsidR="0019607A" w:rsidRPr="0019607A" w:rsidRDefault="0019607A" w:rsidP="0019607A">
      <w:pPr>
        <w:numPr>
          <w:ilvl w:val="0"/>
          <w:numId w:val="7"/>
        </w:numPr>
      </w:pPr>
      <w:r w:rsidRPr="0019607A">
        <w:rPr>
          <w:b/>
          <w:bCs/>
        </w:rPr>
        <w:t>Excel Workbook:</w:t>
      </w:r>
      <w:r w:rsidRPr="0019607A">
        <w:t xml:space="preserve"> Segra_Network_Analysis.xlsx</w:t>
      </w:r>
    </w:p>
    <w:p w14:paraId="57C1C404" w14:textId="77777777" w:rsidR="0019607A" w:rsidRPr="0019607A" w:rsidRDefault="0019607A" w:rsidP="0019607A">
      <w:pPr>
        <w:numPr>
          <w:ilvl w:val="1"/>
          <w:numId w:val="7"/>
        </w:numPr>
      </w:pPr>
      <w:r w:rsidRPr="0019607A">
        <w:t>Sheets: tbl_*, checks, pvt_services, pvt_coverage, tbl_sla_facts, dashboard_main</w:t>
      </w:r>
    </w:p>
    <w:p w14:paraId="3F89BA40" w14:textId="77777777" w:rsidR="0019607A" w:rsidRPr="0019607A" w:rsidRDefault="0019607A" w:rsidP="0019607A">
      <w:pPr>
        <w:numPr>
          <w:ilvl w:val="0"/>
          <w:numId w:val="7"/>
        </w:numPr>
      </w:pPr>
      <w:r w:rsidRPr="0019607A">
        <w:rPr>
          <w:b/>
          <w:bCs/>
        </w:rPr>
        <w:t>Business Insights PDF:</w:t>
      </w:r>
      <w:r w:rsidRPr="0019607A">
        <w:t xml:space="preserve"> (this document)</w:t>
      </w:r>
    </w:p>
    <w:p w14:paraId="21BAF933" w14:textId="77777777" w:rsidR="0019607A" w:rsidRPr="0019607A" w:rsidRDefault="0019607A" w:rsidP="0019607A">
      <w:pPr>
        <w:numPr>
          <w:ilvl w:val="0"/>
          <w:numId w:val="7"/>
        </w:numPr>
      </w:pPr>
      <w:r w:rsidRPr="0019607A">
        <w:rPr>
          <w:b/>
          <w:bCs/>
        </w:rPr>
        <w:t>GitHub Repo:</w:t>
      </w:r>
      <w:r w:rsidRPr="0019607A">
        <w:t xml:space="preserve"> includes README, screenshots, and summary tables.</w:t>
      </w:r>
    </w:p>
    <w:p w14:paraId="7C7470D5" w14:textId="77777777" w:rsidR="00512651" w:rsidRDefault="00512651"/>
    <w:sectPr w:rsidR="005126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A7420"/>
    <w:multiLevelType w:val="multilevel"/>
    <w:tmpl w:val="8006C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F26D40"/>
    <w:multiLevelType w:val="multilevel"/>
    <w:tmpl w:val="180E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EF5B79"/>
    <w:multiLevelType w:val="multilevel"/>
    <w:tmpl w:val="EC343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875F36"/>
    <w:multiLevelType w:val="multilevel"/>
    <w:tmpl w:val="D28C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1A6B69"/>
    <w:multiLevelType w:val="multilevel"/>
    <w:tmpl w:val="D6B8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535EF5"/>
    <w:multiLevelType w:val="multilevel"/>
    <w:tmpl w:val="48788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4C72A4"/>
    <w:multiLevelType w:val="multilevel"/>
    <w:tmpl w:val="BB122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6500634">
    <w:abstractNumId w:val="4"/>
  </w:num>
  <w:num w:numId="2" w16cid:durableId="390353245">
    <w:abstractNumId w:val="2"/>
  </w:num>
  <w:num w:numId="3" w16cid:durableId="1708604165">
    <w:abstractNumId w:val="1"/>
  </w:num>
  <w:num w:numId="4" w16cid:durableId="2082830461">
    <w:abstractNumId w:val="6"/>
  </w:num>
  <w:num w:numId="5" w16cid:durableId="1657567208">
    <w:abstractNumId w:val="0"/>
  </w:num>
  <w:num w:numId="6" w16cid:durableId="1465810091">
    <w:abstractNumId w:val="3"/>
  </w:num>
  <w:num w:numId="7" w16cid:durableId="11371399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651"/>
    <w:rsid w:val="0019607A"/>
    <w:rsid w:val="001F1EE4"/>
    <w:rsid w:val="00512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B82C9F-5207-4792-A53F-E26E8C4D2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26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6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6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6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6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6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6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6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6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6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6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6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6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6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6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6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6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6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6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6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6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6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6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6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6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495</Words>
  <Characters>2825</Characters>
  <Application>Microsoft Office Word</Application>
  <DocSecurity>0</DocSecurity>
  <Lines>23</Lines>
  <Paragraphs>6</Paragraphs>
  <ScaleCrop>false</ScaleCrop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K</dc:creator>
  <cp:keywords/>
  <dc:description/>
  <cp:lastModifiedBy>victor K</cp:lastModifiedBy>
  <cp:revision>2</cp:revision>
  <dcterms:created xsi:type="dcterms:W3CDTF">2025-11-05T08:01:00Z</dcterms:created>
  <dcterms:modified xsi:type="dcterms:W3CDTF">2025-11-05T08:01:00Z</dcterms:modified>
</cp:coreProperties>
</file>