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40"/>
        <w:ind w:firstLine="1417" w:start="0" w:end="0"/>
        <w:jc w:val="start"/>
        <w:rPr/>
      </w:pPr>
      <w:r>
        <w:rPr/>
        <w:t>Vistos etc.</w:t>
      </w:r>
    </w:p>
    <w:p>
      <w:pPr>
        <w:pStyle w:val="BodyText"/>
        <w:bidi w:val="0"/>
        <w:spacing w:lineRule="auto" w:line="240"/>
        <w:ind w:firstLine="1417" w:start="0" w:end="0"/>
        <w:jc w:val="start"/>
        <w:rPr/>
      </w:pPr>
      <w:r>
        <w:rPr/>
        <w:t>Trata-se de pedido formulado pela Delegada da 3ª Delegacia de Homicídios e Proteção à Pessoa de Natal/RN, requerendo que fosse fornecido relatório de movimentação do monitorado RONALDO DE OLIVEIRA FONTOURA, do dia 13/11/2023 ao dia 16/11/2023, para fins de instrução do inquérito policial nº 034.11/2023-3ª-DHPP, processo nº: 0811037-54.2024.8.50.5001 e ainda, se no intervalo de tempo indicado o monitorado esteve nas seguintes coordenadas geográficas: -5.796399035223733, -35.23571453591226 (evento 1.1).</w:t>
      </w:r>
    </w:p>
    <w:p>
      <w:pPr>
        <w:pStyle w:val="BodyText"/>
        <w:bidi w:val="0"/>
        <w:spacing w:lineRule="auto" w:line="240"/>
        <w:ind w:firstLine="1417" w:start="0" w:end="0"/>
        <w:jc w:val="start"/>
        <w:rPr/>
      </w:pPr>
      <w:r>
        <w:rPr/>
        <w:t>Instado a se manifestar, o Ministério Público opinou pela extração e compartilhamento das provas ao inquérito policial conforme solicitado pela autoridade policial (evento 8.1).</w:t>
      </w:r>
    </w:p>
    <w:p>
      <w:pPr>
        <w:pStyle w:val="BodyText"/>
        <w:bidi w:val="0"/>
        <w:spacing w:lineRule="auto" w:line="240"/>
        <w:ind w:firstLine="1417" w:start="0" w:end="0"/>
        <w:jc w:val="start"/>
        <w:rPr/>
      </w:pPr>
      <w:r>
        <w:rPr/>
        <w:t>Relatados.</w:t>
      </w:r>
    </w:p>
    <w:p>
      <w:pPr>
        <w:pStyle w:val="BodyText"/>
        <w:bidi w:val="0"/>
        <w:ind w:firstLine="1417" w:start="0" w:end="0"/>
        <w:jc w:val="start"/>
        <w:rPr/>
      </w:pPr>
      <w:r>
        <w:rPr/>
        <w:t>Cinge-se a demanda em requerimento formulado pela autoridade policial de compartilhamento de provas, com fulcro na Resolução nº 412/2021 do Conselho Nacional de Justiça (CNJ) o qual estabelece diretrizes e procedimentos para a aplicação e o acompanhamento da medida de monitoramento eletrônico de pessoas.</w:t>
      </w:r>
    </w:p>
    <w:p>
      <w:pPr>
        <w:pStyle w:val="BodyText"/>
        <w:bidi w:val="0"/>
        <w:ind w:firstLine="1417" w:start="0" w:end="0"/>
        <w:jc w:val="start"/>
        <w:rPr/>
      </w:pPr>
      <w:r>
        <w:rPr/>
        <w:t xml:space="preserve">Com efeito, a norma do órgão disciplinador do judiciário impôs restrição à obtenção dos dados de monitoramento com fundamento no inciso X do art. 5º da Constituição Federal, bem como, na legislação de proteção de dados pessoais, interpretando como </w:t>
      </w:r>
      <w:r>
        <w:rPr>
          <w:rStyle w:val="Emphasis"/>
        </w:rPr>
        <w:t>"dados pessoais sensíveis"</w:t>
      </w:r>
      <w:r>
        <w:rPr/>
        <w:t xml:space="preserve"> os dados coletados por serviço de monitoramento, vedando seu acesso a terceiros, inclusive órgãos de segurança pública.</w:t>
      </w:r>
    </w:p>
    <w:p>
      <w:pPr>
        <w:pStyle w:val="BodyText"/>
        <w:bidi w:val="0"/>
        <w:ind w:firstLine="1417" w:start="0" w:end="0"/>
        <w:jc w:val="start"/>
        <w:rPr/>
      </w:pPr>
      <w:r>
        <w:rPr/>
        <w:t>Na mesma esteira, a Corregedoria-Geral de Justiça do TJRN em consulta administrativa formulada pelo juízo da 2ª Vara Regional de Execução Penal nos autos do processo nº 0000957-87.2023.2.00.0820 corroborou tal entendimento, definindo a competência do juízo que houver decidido sobre a medida de monitoramento eletrônico por tornozeleira, o controle de acesso aos dados gerenciados pela Central de Monitoramento Eletrônico, no âmbito deste estado.</w:t>
      </w:r>
    </w:p>
    <w:p>
      <w:pPr>
        <w:pStyle w:val="BodyText"/>
        <w:bidi w:val="0"/>
        <w:ind w:firstLine="1417" w:start="0" w:end="0"/>
        <w:jc w:val="start"/>
        <w:rPr/>
      </w:pPr>
      <w:r>
        <w:rPr/>
        <w:t xml:space="preserve">Consideradas tais assertivas, observa-se que, em que pese a LGPD (Lei nº 13.709/2018) não inclua em seu rol taxativo os dados de monitoramento eletrônico de pessoas em cumprimento de pena privativa de liberdade como </w:t>
      </w:r>
      <w:r>
        <w:rPr>
          <w:rStyle w:val="Emphasis"/>
        </w:rPr>
        <w:t>"dados pessoais sensíveis"</w:t>
      </w:r>
      <w:r>
        <w:rPr/>
        <w:t>, há de ser superada a discussão sobre a origem de tais dados diante das determinações supracitadas advindas dos órgãos reguladores.</w:t>
      </w:r>
    </w:p>
    <w:p>
      <w:pPr>
        <w:pStyle w:val="BodyText"/>
        <w:bidi w:val="0"/>
        <w:ind w:firstLine="1417" w:start="0" w:end="0"/>
        <w:jc w:val="start"/>
        <w:rPr/>
      </w:pPr>
      <w:r>
        <w:rPr/>
        <w:t>Nesse ínterim, irrelevante a controvérsia sobre a natureza dos dados, se são sensíveis, anonimizados ou se compõem um banco de dados, posto que nossa Magna Carta no inciso XII do próprio art. 5º prevê a relativização da inviolabilidade à intimidade para fins de instrução criminal, bem como, a LGPD também prevê a inaplicabilidade da norma para fins de segurança pública e atividades de investigação:</w:t>
      </w:r>
    </w:p>
    <w:p>
      <w:pPr>
        <w:pStyle w:val="BodyText"/>
        <w:bidi w:val="0"/>
        <w:ind w:hanging="0" w:start="2126" w:end="0"/>
        <w:jc w:val="start"/>
        <w:rPr/>
      </w:pPr>
      <w:r>
        <w:rPr/>
        <w:t>Art. 4º Esta Lei não se aplica ao tratamento de dados pessoais:</w:t>
      </w:r>
    </w:p>
    <w:p>
      <w:pPr>
        <w:pStyle w:val="BodyText"/>
        <w:bidi w:val="0"/>
        <w:ind w:hanging="0" w:start="2126" w:end="0"/>
        <w:jc w:val="start"/>
        <w:rPr/>
      </w:pPr>
      <w:r>
        <w:rPr/>
        <w:t>(...) III - realizado para fins exclusivos de:</w:t>
      </w:r>
    </w:p>
    <w:p>
      <w:pPr>
        <w:pStyle w:val="BodyText"/>
        <w:bidi w:val="0"/>
        <w:ind w:hanging="0" w:start="2126" w:end="0"/>
        <w:jc w:val="start"/>
        <w:rPr/>
      </w:pPr>
      <w:r>
        <w:rPr/>
        <w:t>a) segurança pública;</w:t>
      </w:r>
    </w:p>
    <w:p>
      <w:pPr>
        <w:pStyle w:val="BodyText"/>
        <w:bidi w:val="0"/>
        <w:ind w:hanging="0" w:start="2126" w:end="0"/>
        <w:jc w:val="start"/>
        <w:rPr/>
      </w:pPr>
      <w:r>
        <w:rPr/>
        <w:t>b) defesa nacional;</w:t>
      </w:r>
    </w:p>
    <w:p>
      <w:pPr>
        <w:pStyle w:val="BodyText"/>
        <w:bidi w:val="0"/>
        <w:ind w:hanging="0" w:start="2126" w:end="0"/>
        <w:jc w:val="start"/>
        <w:rPr/>
      </w:pPr>
      <w:r>
        <w:rPr/>
        <w:t>c) segurança do Estado; ou</w:t>
      </w:r>
    </w:p>
    <w:p>
      <w:pPr>
        <w:pStyle w:val="BodyText"/>
        <w:bidi w:val="0"/>
        <w:ind w:hanging="0" w:start="2126" w:end="0"/>
        <w:jc w:val="start"/>
        <w:rPr/>
      </w:pPr>
      <w:r>
        <w:rPr/>
        <w:t>d) atividades de investigação e repressão de infrações penais; </w:t>
      </w:r>
    </w:p>
    <w:p>
      <w:pPr>
        <w:pStyle w:val="BodyText"/>
        <w:bidi w:val="0"/>
        <w:ind w:firstLine="1417" w:start="0" w:end="0"/>
        <w:jc w:val="start"/>
        <w:rPr/>
      </w:pPr>
      <w:r>
        <w:rPr/>
        <w:t>Ademais, ressalte-se que a Lei de Execução Penal em situação análoga no trato de dado pessoal sensível (dado genético, art. 9º-A, §2º) autoriza o acesso aos dados à autoridade policial competente no caso de inquérito instaurado.</w:t>
      </w:r>
    </w:p>
    <w:p>
      <w:pPr>
        <w:pStyle w:val="BodyText"/>
        <w:bidi w:val="0"/>
        <w:ind w:firstLine="1417" w:start="0" w:end="0"/>
        <w:jc w:val="start"/>
        <w:rPr/>
      </w:pPr>
      <w:r>
        <w:rPr/>
        <w:t>Assim, diante da restrição imposta pela Resolução nº 421/2021 do CNJ que retirou o acesso amplo das autoridades policiais e do Ministério Público aos sistemas de monitoramento, o presente requerimento em análise converte-se em uma autorização de cunho permissionário-administrativo ou em um procedimento de jurisdição meramente voluntária, posto que basta o preenchimento de certos requisitos legais para contemplação da pretensão postulada.</w:t>
      </w:r>
    </w:p>
    <w:p>
      <w:pPr>
        <w:pStyle w:val="BodyText"/>
        <w:bidi w:val="0"/>
        <w:spacing w:lineRule="auto" w:line="240"/>
        <w:ind w:firstLine="1417" w:start="0" w:end="0"/>
        <w:jc w:val="start"/>
        <w:rPr/>
      </w:pPr>
      <w:r>
        <w:rPr/>
        <w:t>Dessa forma, estando o presente pedido devidamente instruído com a demonstração de que o acesso a tais dados é imprescindível e necessário em razão da imperativa necessidade de elucidar os fatos investigados para fins de regular processamento de inquérito policial instaurado, peremptório o deferimento do pedido de compartilhamento de provas nos moldes pretendidos pela autoridade policial.</w:t>
      </w:r>
    </w:p>
    <w:p>
      <w:pPr>
        <w:pStyle w:val="BodyText"/>
        <w:bidi w:val="0"/>
        <w:ind w:firstLine="1417" w:start="0" w:end="0"/>
        <w:jc w:val="start"/>
        <w:rPr>
          <w:u w:val="single"/>
        </w:rPr>
      </w:pPr>
      <w:r>
        <w:rPr>
          <w:u w:val="single"/>
        </w:rPr>
        <w:t>Não obstante, de bom alvitre recomendar às autoridades policiais que fundamentem seus próximos pedidos com informações pertinentes relativas ao inquérito policial instaurado, sob pena de indeferimento.</w:t>
      </w:r>
    </w:p>
    <w:p>
      <w:pPr>
        <w:pStyle w:val="BodyText"/>
        <w:bidi w:val="0"/>
        <w:spacing w:lineRule="auto" w:line="240"/>
        <w:ind w:firstLine="1417" w:start="0" w:end="0"/>
        <w:jc w:val="start"/>
        <w:rPr/>
      </w:pPr>
      <w:r>
        <w:rPr/>
        <w:t>Isso posto,</w:t>
      </w:r>
      <w:r>
        <w:rPr>
          <w:rStyle w:val="Strong"/>
        </w:rPr>
        <w:t xml:space="preserve"> defiro o pedido formulado</w:t>
      </w:r>
      <w:r>
        <w:rPr/>
        <w:t xml:space="preserve"> para que seja fornecido à autoridade policial o Relatório de Movimentação do monitorado RONALDO DE OLIVEIRA FONTOURA, do dia 13/11/2023 ao dia 16/11/2023 e ainda, se no intervalo de tempo indicado o monitorado esteve nas seguintes coordenadas geográficas: -5.796399035223733, -35.23571453591226. </w:t>
      </w:r>
    </w:p>
    <w:p>
      <w:pPr>
        <w:pStyle w:val="BodyText"/>
        <w:bidi w:val="0"/>
        <w:spacing w:lineRule="auto" w:line="240"/>
        <w:ind w:firstLine="1417" w:start="0" w:end="0"/>
        <w:jc w:val="start"/>
        <w:rPr/>
      </w:pPr>
      <w:r>
        <w:rPr/>
        <w:t>Cumpram-se as diligências necessárias para o regular prosseguimento do feito.</w:t>
      </w:r>
    </w:p>
    <w:p>
      <w:pPr>
        <w:pStyle w:val="BodyText"/>
        <w:bidi w:val="0"/>
        <w:spacing w:lineRule="auto" w:line="240"/>
        <w:ind w:firstLine="1417" w:start="0" w:end="0"/>
        <w:jc w:val="start"/>
        <w:rPr/>
      </w:pPr>
      <w:r>
        <w:rPr/>
        <w:t>P.R.I. Concluída a prestação jurisdicional, arquivem-se.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19</TotalTime>
  <Application>LibreOffice/7.6.4.1$Windows_X86_64 LibreOffice_project/e19e193f88cd6c0525a17fb7a176ed8e6a3e2aa1</Application>
  <AppVersion>15.0000</AppVersion>
  <Pages>2</Pages>
  <Words>662</Words>
  <Characters>3947</Characters>
  <CharactersWithSpaces>4589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2024-04-16T17:03:27Z</dcterms:created>
  <dc:creator/>
  <dc:description/>
  <dc:language>pt-BR</dc:language>
  <cp:lastModifiedBy/>
  <dcterms:modified xsi:type="dcterms:W3CDTF">2024-04-16T17:22:55Z</dcterms:modified>
  <cp:revision>1</cp:revision>
  <dc:subject/>
  <dc:title/>
</cp:coreProperties>
</file>