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01770" w:rsidRPr="00B01770" w:rsidRDefault="00B01770" w:rsidP="00B01770">
      <w:r w:rsidRPr="00B01770"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B01770" w:rsidRPr="00B01770" w:rsidTr="00B01770">
        <w:trPr>
          <w:tblCellSpacing w:w="0" w:type="dxa"/>
        </w:trPr>
        <w:tc>
          <w:tcPr>
            <w:tcW w:w="0" w:type="auto"/>
            <w:vAlign w:val="center"/>
            <w:hideMark/>
          </w:tcPr>
          <w:p w:rsidR="00B01770" w:rsidRPr="00B01770" w:rsidRDefault="00B01770" w:rsidP="00B01770">
            <w:r w:rsidRPr="00B01770"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37587971" name="Retângulo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5D5329" id="Retâ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01770"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701339465" name="Retângulo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B22863" id="Retâ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:rsidR="00B01770" w:rsidRPr="00B01770" w:rsidRDefault="00B01770" w:rsidP="00B01770">
      <w:pPr>
        <w:rPr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909"/>
      </w:tblGrid>
      <w:tr w:rsidR="00B01770" w:rsidRPr="00B01770" w:rsidTr="00B01770">
        <w:trPr>
          <w:tblCellSpacing w:w="15" w:type="dxa"/>
        </w:trPr>
        <w:tc>
          <w:tcPr>
            <w:tcW w:w="500" w:type="pct"/>
            <w:vAlign w:val="center"/>
            <w:hideMark/>
          </w:tcPr>
          <w:p w:rsidR="00B01770" w:rsidRPr="00B01770" w:rsidRDefault="00B01770" w:rsidP="00B01770">
            <w:r w:rsidRPr="00B01770">
              <w:drawing>
                <wp:inline distT="0" distB="0" distL="0" distR="0">
                  <wp:extent cx="1590675" cy="1981200"/>
                  <wp:effectExtent l="0" t="0" r="9525" b="0"/>
                  <wp:docPr id="1560828638" name="Imagem 4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828638" name="Imagem 4" descr="Diagram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4"/>
            </w:tblGrid>
            <w:tr w:rsidR="00B01770" w:rsidRPr="00B017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1770" w:rsidRPr="00B01770" w:rsidRDefault="00B01770" w:rsidP="00B01770">
                  <w:r w:rsidRPr="00B01770">
                    <w:rPr>
                      <w:b/>
                      <w:bCs/>
                    </w:rPr>
                    <w:t>PODER JUDICIÁRIO</w:t>
                  </w:r>
                </w:p>
              </w:tc>
            </w:tr>
            <w:tr w:rsidR="00B01770" w:rsidRPr="00B017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1770" w:rsidRPr="00B01770" w:rsidRDefault="00B01770" w:rsidP="00B01770">
                  <w:r w:rsidRPr="00B01770">
                    <w:rPr>
                      <w:b/>
                      <w:bCs/>
                    </w:rPr>
                    <w:t>TJRN - COMARCA DE NATAL</w:t>
                  </w:r>
                </w:p>
                <w:p w:rsidR="00B01770" w:rsidRPr="00B01770" w:rsidRDefault="00B01770" w:rsidP="00B01770">
                  <w:r w:rsidRPr="00B01770">
                    <w:pict>
                      <v:rect id="_x0000_i1055" style="width:0;height:1.5pt" o:hralign="center" o:hrstd="t" o:hr="t" fillcolor="#a0a0a0" stroked="f"/>
                    </w:pict>
                  </w:r>
                </w:p>
              </w:tc>
            </w:tr>
            <w:tr w:rsidR="00B01770" w:rsidRPr="00B017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1770" w:rsidRPr="00B01770" w:rsidRDefault="00B01770" w:rsidP="00B01770">
                  <w:r w:rsidRPr="00B01770">
                    <w:t>TJRN - 1ª VARA REGIONAL DE EXECUÇÃO PENAL</w:t>
                  </w:r>
                </w:p>
              </w:tc>
            </w:tr>
          </w:tbl>
          <w:p w:rsidR="00B01770" w:rsidRPr="00B01770" w:rsidRDefault="00B01770" w:rsidP="00B01770"/>
        </w:tc>
      </w:tr>
    </w:tbl>
    <w:p w:rsidR="00B01770" w:rsidRPr="00B01770" w:rsidRDefault="00B01770" w:rsidP="00B01770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75"/>
        <w:gridCol w:w="6452"/>
      </w:tblGrid>
      <w:tr w:rsidR="00B01770" w:rsidRPr="00B01770" w:rsidTr="00B01770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B01770" w:rsidRPr="00B01770" w:rsidRDefault="00B01770" w:rsidP="00B01770">
            <w:r w:rsidRPr="00B01770">
              <w:t>Processo nº:</w:t>
            </w:r>
          </w:p>
        </w:tc>
        <w:tc>
          <w:tcPr>
            <w:tcW w:w="75" w:type="dxa"/>
            <w:vAlign w:val="center"/>
            <w:hideMark/>
          </w:tcPr>
          <w:p w:rsidR="00B01770" w:rsidRPr="00B01770" w:rsidRDefault="00B01770" w:rsidP="00B01770"/>
        </w:tc>
        <w:tc>
          <w:tcPr>
            <w:tcW w:w="0" w:type="auto"/>
            <w:vAlign w:val="center"/>
            <w:hideMark/>
          </w:tcPr>
          <w:p w:rsidR="00B01770" w:rsidRPr="00B01770" w:rsidRDefault="00B01770" w:rsidP="00B01770">
            <w:r w:rsidRPr="00B01770">
              <w:t>5000014-20.2021.8.20.0101</w:t>
            </w:r>
          </w:p>
        </w:tc>
      </w:tr>
      <w:tr w:rsidR="00B01770" w:rsidRPr="00B01770" w:rsidTr="00B01770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B01770" w:rsidRPr="00B01770" w:rsidRDefault="00B01770" w:rsidP="00B01770">
            <w:r w:rsidRPr="00B01770">
              <w:t>Classe Processual:</w:t>
            </w:r>
          </w:p>
        </w:tc>
        <w:tc>
          <w:tcPr>
            <w:tcW w:w="75" w:type="dxa"/>
            <w:vAlign w:val="center"/>
            <w:hideMark/>
          </w:tcPr>
          <w:p w:rsidR="00B01770" w:rsidRPr="00B01770" w:rsidRDefault="00B01770" w:rsidP="00B01770"/>
        </w:tc>
        <w:tc>
          <w:tcPr>
            <w:tcW w:w="0" w:type="auto"/>
            <w:vAlign w:val="center"/>
            <w:hideMark/>
          </w:tcPr>
          <w:p w:rsidR="00B01770" w:rsidRPr="00B01770" w:rsidRDefault="00B01770" w:rsidP="00B01770">
            <w:r w:rsidRPr="00B01770">
              <w:t>Execução da Pena</w:t>
            </w:r>
          </w:p>
        </w:tc>
      </w:tr>
      <w:tr w:rsidR="00B01770" w:rsidRPr="00B01770" w:rsidTr="00B01770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B01770" w:rsidRPr="00B01770" w:rsidRDefault="00B01770" w:rsidP="00B01770">
            <w:r w:rsidRPr="00B01770">
              <w:t>Assunto Principal:</w:t>
            </w:r>
          </w:p>
        </w:tc>
        <w:tc>
          <w:tcPr>
            <w:tcW w:w="75" w:type="dxa"/>
            <w:vAlign w:val="center"/>
            <w:hideMark/>
          </w:tcPr>
          <w:p w:rsidR="00B01770" w:rsidRPr="00B01770" w:rsidRDefault="00B01770" w:rsidP="00B01770"/>
        </w:tc>
        <w:tc>
          <w:tcPr>
            <w:tcW w:w="0" w:type="auto"/>
            <w:vAlign w:val="center"/>
            <w:hideMark/>
          </w:tcPr>
          <w:p w:rsidR="00B01770" w:rsidRPr="00B01770" w:rsidRDefault="00B01770" w:rsidP="00B01770">
            <w:r w:rsidRPr="00B01770">
              <w:t>Pena Privativa de Liberdade</w:t>
            </w:r>
          </w:p>
        </w:tc>
      </w:tr>
      <w:tr w:rsidR="00B01770" w:rsidRPr="00B01770" w:rsidTr="00B01770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B01770" w:rsidRPr="00B01770" w:rsidRDefault="00B01770" w:rsidP="00B01770">
            <w:r w:rsidRPr="00B01770">
              <w:t>Autoridade(s):</w:t>
            </w:r>
          </w:p>
        </w:tc>
        <w:tc>
          <w:tcPr>
            <w:tcW w:w="75" w:type="dxa"/>
            <w:vAlign w:val="center"/>
            <w:hideMark/>
          </w:tcPr>
          <w:p w:rsidR="00B01770" w:rsidRPr="00B01770" w:rsidRDefault="00B01770" w:rsidP="00B01770"/>
        </w:tc>
        <w:tc>
          <w:tcPr>
            <w:tcW w:w="0" w:type="auto"/>
            <w:vAlign w:val="center"/>
            <w:hideMark/>
          </w:tcPr>
          <w:p w:rsidR="00B01770" w:rsidRPr="00B01770" w:rsidRDefault="00B01770" w:rsidP="00B01770">
            <w:pPr>
              <w:numPr>
                <w:ilvl w:val="0"/>
                <w:numId w:val="1"/>
              </w:numPr>
            </w:pPr>
            <w:r w:rsidRPr="00B01770">
              <w:t>O ESTADO DO RIO GRANDE DO NORTE </w:t>
            </w:r>
          </w:p>
        </w:tc>
      </w:tr>
      <w:tr w:rsidR="00B01770" w:rsidRPr="00B01770" w:rsidTr="00B01770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B01770" w:rsidRPr="00B01770" w:rsidRDefault="00B01770" w:rsidP="00B01770">
            <w:r w:rsidRPr="00B01770">
              <w:t>Executado(s):</w:t>
            </w:r>
          </w:p>
        </w:tc>
        <w:tc>
          <w:tcPr>
            <w:tcW w:w="75" w:type="dxa"/>
            <w:vAlign w:val="center"/>
            <w:hideMark/>
          </w:tcPr>
          <w:p w:rsidR="00B01770" w:rsidRPr="00B01770" w:rsidRDefault="00B01770" w:rsidP="00B01770"/>
        </w:tc>
        <w:tc>
          <w:tcPr>
            <w:tcW w:w="0" w:type="auto"/>
            <w:vAlign w:val="center"/>
            <w:hideMark/>
          </w:tcPr>
          <w:p w:rsidR="00B01770" w:rsidRPr="00B01770" w:rsidRDefault="00B01770" w:rsidP="00B01770">
            <w:pPr>
              <w:numPr>
                <w:ilvl w:val="0"/>
                <w:numId w:val="2"/>
              </w:numPr>
            </w:pPr>
            <w:r w:rsidRPr="00B01770">
              <w:t>DRYELLE PASCOAL BEZERRA</w:t>
            </w:r>
          </w:p>
        </w:tc>
      </w:tr>
    </w:tbl>
    <w:p w:rsidR="00B01770" w:rsidRPr="00B01770" w:rsidRDefault="00B01770" w:rsidP="00B01770">
      <w:r w:rsidRPr="00B01770">
        <w:pict>
          <v:rect id="_x0000_i1056" style="width:0;height:1.5pt" o:hralign="center" o:hrstd="t" o:hr="t" fillcolor="#a0a0a0" stroked="f"/>
        </w:pict>
      </w:r>
    </w:p>
    <w:p w:rsidR="00B01770" w:rsidRPr="00B01770" w:rsidRDefault="00B01770" w:rsidP="00B01770">
      <w:r w:rsidRPr="00B01770">
        <w:t>Vistos etc.</w:t>
      </w:r>
    </w:p>
    <w:p w:rsidR="00B01770" w:rsidRPr="00B01770" w:rsidRDefault="00B01770" w:rsidP="00B01770">
      <w:r w:rsidRPr="00B01770">
        <w:t xml:space="preserve">Trata-se de pedido de retificação da Guia de Execução Penal (GEP), formulado pela defesa da apenada </w:t>
      </w:r>
      <w:proofErr w:type="spellStart"/>
      <w:r w:rsidRPr="00B01770">
        <w:t>Dryelle</w:t>
      </w:r>
      <w:proofErr w:type="spellEnd"/>
      <w:r w:rsidRPr="00B01770">
        <w:t xml:space="preserve"> Pascoal Bezerra (evento 234.1), requerendo a aplicação do tema 506 da Repercussão Geral julgado pelo Supremo Tribunal Federal, que trata da atipicidade da conduta de portar pequenas quantidades de drogas para consumo pessoal. A defesa solicita que seja reconhecida a atipicidade da conduta da apenada e que a condenação no processo nº 0800207-71.2021.8.20.5118, pela prática do crime tipificado no art. 33, caput, da Lei 11.343/06, seja desclassificada para o tipo penal do art. 28 da Lei 11.343/06 (evento 234.1).</w:t>
      </w:r>
    </w:p>
    <w:p w:rsidR="00B01770" w:rsidRPr="00B01770" w:rsidRDefault="00B01770" w:rsidP="00B01770">
      <w:r w:rsidRPr="00B01770">
        <w:t>Instado a se manifestar, o Ministério Público, no evento 237.1, opinou pelo indeferimento do pedido, alegando que a condenação da apenada por tráfico de drogas restou amplamente comprovada nos autos, não sendo aplicável a tese do Supremo Tribunal Federal, que trata de porte para uso pessoal.</w:t>
      </w:r>
    </w:p>
    <w:p w:rsidR="00B01770" w:rsidRPr="00B01770" w:rsidRDefault="00B01770" w:rsidP="00B01770">
      <w:r w:rsidRPr="00B01770">
        <w:t>Acrescento ao relatório que, além do processo nº 0800207-71.2021.8.20.5118, no qual a apenada foi condenada a 6 anos, 11 meses e 10 dias de reclusão pelo crime de tráfico de drogas, consta na presente execução o processo nº 0800198-</w:t>
      </w:r>
      <w:r w:rsidRPr="00B01770">
        <w:lastRenderedPageBreak/>
        <w:t>12.2021.8.20.5118, no qual a apenada foi condenada por porte de drogas para consumo pessoal, à pena de 3 meses de prestação de serviços à comunidade.</w:t>
      </w:r>
    </w:p>
    <w:p w:rsidR="00B01770" w:rsidRPr="00B01770" w:rsidRDefault="00B01770" w:rsidP="00B01770">
      <w:r w:rsidRPr="00B01770">
        <w:t>Relatados.</w:t>
      </w:r>
    </w:p>
    <w:p w:rsidR="00B01770" w:rsidRPr="00B01770" w:rsidRDefault="00B01770" w:rsidP="00B01770">
      <w:r w:rsidRPr="00B01770">
        <w:t>Ao analisar o pedido, cumpre destacar que o Tema 506 da Repercussão Geral trata da atipicidade da conduta de porte de drogas para consumo pessoal, conforme previsto no art. 28 da Lei 11.343/06, quando a quantidade de drogas encontrada for pequena e destinada ao uso próprio. A tese firmada pelo Supremo Tribunal Federal é a seguinte:</w:t>
      </w:r>
    </w:p>
    <w:p w:rsidR="00B01770" w:rsidRPr="00B01770" w:rsidRDefault="00B01770" w:rsidP="00B01770">
      <w:pPr>
        <w:rPr>
          <w:i/>
          <w:iCs/>
        </w:rPr>
      </w:pPr>
      <w:r w:rsidRPr="00B01770">
        <w:rPr>
          <w:i/>
          <w:iCs/>
        </w:rPr>
        <w:t xml:space="preserve">"1. Não comete infração penal quem adquirir, guardar, tiver em depósito, transportar ou trouxer consigo, para consumo pessoal, a substância cannabis sativa, sem prejuízo do reconhecimento da ilicitude extrapenal da conduta, com apreensão da droga e aplicação de sanções de advertência sobre os efeitos dela (art. 28, I) e medida educativa de comparecimento </w:t>
      </w:r>
      <w:proofErr w:type="spellStart"/>
      <w:r w:rsidRPr="00B01770">
        <w:rPr>
          <w:i/>
          <w:iCs/>
        </w:rPr>
        <w:t>a</w:t>
      </w:r>
      <w:proofErr w:type="spellEnd"/>
      <w:r w:rsidRPr="00B01770">
        <w:rPr>
          <w:i/>
          <w:iCs/>
        </w:rPr>
        <w:t xml:space="preserve"> programa ou curso educativo (art. 28, III); 2. As sanções estabelecidas nos incisos I e III do art. 28 da Lei 11.343/06 serão aplicadas pelo juiz em procedimento de natureza não penal, sem nenhuma repercussão criminal para a conduta; 3. Em se tratando da posse de cannabis para consumo pessoal, a autoridade policial apreenderá a substância e notificará o autor do fato para comparecer em Juízo, na forma do regulamento a ser aprovado pelo CNJ. Até que o CNJ delibere a respeito, a competência para julgar as condutas do art. 28 da Lei 11.343/06 será dos Juizados Especiais Criminais, segundo a sistemática atual, vedada a atribuição de quaisquer efeitos penais para a sentença; 4. Nos termos do § 2º do artigo 28 da Lei 11.343/2006, será presumido usuário quem, para consumo próprio, adquirir, guardar, tiver em depósito, transportar ou trouxer consigo, até 40 gramas de cannabis sativa ou seis plantas-fêmeas, até que o Congresso Nacional venha a legislar a respeito; 5. A presunção do item anterior é relativa, não estando a autoridade policial e seus agentes impedidos de realizar a prisão em flagrante por tráfico de drogas, mesmo para quantidades inferiores ao limite acima estabelecido, quando presentes elementos que indiquem intuito de mercancia, como a forma de acondicionamento da droga, as circunstâncias da apreensão, a variedade de substâncias apreendidas, a apreensão simultânea de instrumentos como balança, registros de operações comerciais e aparelho celular contendo contatos de usuários ou traficantes; 6. Nesses casos, caberá ao Delegado de Polícia consignar, no auto de prisão em flagrante, justificativa minudente para afastamento da presunção do porte para uso pessoal, sendo vedada a alusão a critérios subjetivos arbitrários; 7. Na hipótese de prisão por quantidades inferiores à fixada no item 4, deverá o juiz, na audiência de custódia, avaliar as razões invocadas para o afastamento da presunção de porte para uso próprio; 8. A apreensão de quantidades superiores aos limites ora fixados não impede o juiz de </w:t>
      </w:r>
      <w:r w:rsidRPr="00B01770">
        <w:rPr>
          <w:i/>
          <w:iCs/>
        </w:rPr>
        <w:lastRenderedPageBreak/>
        <w:t>concluir que a conduta é atípica, apontando nos autos prova suficiente da condição de usuário."</w:t>
      </w:r>
    </w:p>
    <w:p w:rsidR="00B01770" w:rsidRPr="00B01770" w:rsidRDefault="00B01770" w:rsidP="00B01770">
      <w:r w:rsidRPr="00B01770">
        <w:t>No entanto, a defesa tenta aplicar esse entendimento a um caso de tráfico de drogas, tipo penal vinculado ao art. 33 da Lei 11.343/06, que possui natureza completamente diversa. No presente caso, a apenada foi flagrada com 30 gramas de maconha, divididas em porções prontas para comercialização, além de dinheiro fracionado, o que evidencia o caráter de mercancia da conduta, conforme já consignado na sentença condenatória:</w:t>
      </w:r>
    </w:p>
    <w:p w:rsidR="00B01770" w:rsidRPr="00B01770" w:rsidRDefault="00B01770" w:rsidP="00B01770">
      <w:pPr>
        <w:rPr>
          <w:i/>
          <w:iCs/>
        </w:rPr>
      </w:pPr>
      <w:r w:rsidRPr="00B01770">
        <w:rPr>
          <w:i/>
          <w:iCs/>
        </w:rPr>
        <w:t xml:space="preserve">“Cabe frisar que à ré </w:t>
      </w:r>
      <w:proofErr w:type="spellStart"/>
      <w:r w:rsidRPr="00B01770">
        <w:rPr>
          <w:i/>
          <w:iCs/>
        </w:rPr>
        <w:t>Dryelle</w:t>
      </w:r>
      <w:proofErr w:type="spellEnd"/>
      <w:r w:rsidRPr="00B01770">
        <w:rPr>
          <w:i/>
          <w:iCs/>
        </w:rPr>
        <w:t xml:space="preserve"> Pascoal Bezerra, não se aplica a causa especial de diminuição de pena do parágrafo 4º do artigo 33 da Lei n.º 11.343/06. Referido artigo dispõe que: "§ 4º Nos delitos definidos no caput e no § 1º deste artigo, as penas poderão ser reduzidas de um sexto a dois terços, desde que o agente seja primário, de bons antecedentes, não se dedique às atividades criminosas nem integre organização criminosa". A acusada, segundo o demonstrado pelo Ministério Público, se deslocou de Mossoró até Jucurutu para fins de praticar o tráfico de drogas nesta cidade, dedicando-se a atividade criminosa como meio de vida. Não por menos, no dia 18 de abril de 2021, poucos dias antes da operação policial que desencadeou a sua prisão, foi abordada com mais de 08g (oito gramas) de maconha e com considerável quantia em dinheiro. Embora tenha sido lavrado TCO, o que pesa em desfavor da ré foi ter sido flagrada poucos dias depois com uma quantidade elevada de entorpecentes, com saquinhos de </w:t>
      </w:r>
      <w:proofErr w:type="spellStart"/>
      <w:r w:rsidRPr="00B01770">
        <w:rPr>
          <w:i/>
          <w:iCs/>
        </w:rPr>
        <w:t>dindins</w:t>
      </w:r>
      <w:proofErr w:type="spellEnd"/>
      <w:r w:rsidRPr="00B01770">
        <w:rPr>
          <w:i/>
          <w:iCs/>
        </w:rPr>
        <w:t xml:space="preserve"> e dinheiro fracionado. Ou seja, ela se presa com drogas não é um fato isolado, mas reiterado em menos de 15 dias, somando uma quantidade de entorpecentes que se aproximam de 50g apreendidos com a </w:t>
      </w:r>
      <w:proofErr w:type="spellStart"/>
      <w:r w:rsidRPr="00B01770">
        <w:rPr>
          <w:i/>
          <w:iCs/>
        </w:rPr>
        <w:t>re</w:t>
      </w:r>
      <w:proofErr w:type="spellEnd"/>
      <w:proofErr w:type="gramStart"/>
      <w:r w:rsidRPr="00B01770">
        <w:rPr>
          <w:i/>
          <w:iCs/>
        </w:rPr>
        <w:t>´..</w:t>
      </w:r>
      <w:proofErr w:type="gramEnd"/>
      <w:r w:rsidRPr="00B01770">
        <w:rPr>
          <w:i/>
          <w:iCs/>
        </w:rPr>
        <w:t>” </w:t>
      </w:r>
    </w:p>
    <w:p w:rsidR="00B01770" w:rsidRPr="00B01770" w:rsidRDefault="00B01770" w:rsidP="00B01770">
      <w:r w:rsidRPr="00B01770">
        <w:t xml:space="preserve">Nesse </w:t>
      </w:r>
      <w:proofErr w:type="spellStart"/>
      <w:r w:rsidRPr="00B01770">
        <w:t>interím</w:t>
      </w:r>
      <w:proofErr w:type="spellEnd"/>
      <w:r w:rsidRPr="00B01770">
        <w:t>, não há como aplicar o Tema 506 da Repercussão Geral ao presente caso, uma vez que as provas indicam que a apenada não se tratava de usuária, mas sim de traficante de drogas, conforme destacado na sentença e corroborado pelas provas constantes dos autos, mormente o fato de que a prática reiterada de tráfico de drogas associada à quantidade e à forma de acondicionamento dos entorpecentes apreendidos, afasta a hipótese de desclassificação da conduta para o delito do art. 28 da Lei 11.343/06.</w:t>
      </w:r>
    </w:p>
    <w:p w:rsidR="00B01770" w:rsidRPr="00B01770" w:rsidRDefault="00B01770" w:rsidP="00B01770">
      <w:r w:rsidRPr="00B01770">
        <w:t>Isso posto,</w:t>
      </w:r>
      <w:r w:rsidRPr="00B01770">
        <w:rPr>
          <w:b/>
          <w:bCs/>
        </w:rPr>
        <w:t xml:space="preserve"> indefiro</w:t>
      </w:r>
      <w:r w:rsidRPr="00B01770">
        <w:t xml:space="preserve"> os pedidos formulados.</w:t>
      </w:r>
    </w:p>
    <w:p w:rsidR="00B01770" w:rsidRPr="00B01770" w:rsidRDefault="00B01770" w:rsidP="00B01770">
      <w:r w:rsidRPr="00B01770">
        <w:t>P.R.I. </w:t>
      </w:r>
    </w:p>
    <w:p w:rsidR="00B01770" w:rsidRPr="00B01770" w:rsidRDefault="00B01770" w:rsidP="00B01770">
      <w:r w:rsidRPr="00B01770">
        <w:t>Natal, 21 de setembro de 2024.</w:t>
      </w:r>
    </w:p>
    <w:p w:rsidR="00B01770" w:rsidRPr="00B01770" w:rsidRDefault="00B01770" w:rsidP="00B01770"/>
    <w:p w:rsidR="00B01770" w:rsidRPr="00B01770" w:rsidRDefault="00B01770" w:rsidP="00B01770">
      <w:r w:rsidRPr="00B01770">
        <w:t>Henrique Baltazar Vilar dos Santos</w:t>
      </w:r>
    </w:p>
    <w:p w:rsidR="00B01770" w:rsidRPr="00B01770" w:rsidRDefault="00B01770" w:rsidP="00B01770">
      <w:r w:rsidRPr="00B01770">
        <w:t>Juiz de Direito</w:t>
      </w:r>
    </w:p>
    <w:p w:rsidR="00B01770" w:rsidRDefault="00B01770"/>
    <w:sectPr w:rsidR="00B01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27DB1"/>
    <w:multiLevelType w:val="multilevel"/>
    <w:tmpl w:val="63E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9554A"/>
    <w:multiLevelType w:val="multilevel"/>
    <w:tmpl w:val="7836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124156">
    <w:abstractNumId w:val="1"/>
  </w:num>
  <w:num w:numId="2" w16cid:durableId="69045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70"/>
    <w:rsid w:val="00B01770"/>
    <w:rsid w:val="00DB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FC3387-7C0D-49B8-A8D0-2411CF39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7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7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7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7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7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7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1055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Gomes</dc:creator>
  <cp:keywords/>
  <dc:description/>
  <cp:lastModifiedBy>Victor Gomes</cp:lastModifiedBy>
  <cp:revision>1</cp:revision>
  <dcterms:created xsi:type="dcterms:W3CDTF">2024-09-21T11:09:00Z</dcterms:created>
  <dcterms:modified xsi:type="dcterms:W3CDTF">2024-09-21T11:11:00Z</dcterms:modified>
</cp:coreProperties>
</file>