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75"/>
        <w:gridCol w:w="6452"/>
      </w:tblGrid>
      <w:tr w:rsidR="004E7A56" w:rsidRPr="004E7A56" w:rsidTr="004E7A56">
        <w:trPr>
          <w:trHeight w:val="375"/>
          <w:tblCellSpacing w:w="0" w:type="dxa"/>
        </w:trPr>
        <w:tc>
          <w:tcPr>
            <w:tcW w:w="50" w:type="pct"/>
            <w:noWrap/>
            <w:vAlign w:val="center"/>
            <w:hideMark/>
          </w:tcPr>
          <w:p w:rsidR="004E7A56" w:rsidRPr="004E7A56" w:rsidRDefault="004E7A56" w:rsidP="004E7A56">
            <w:r w:rsidRPr="004E7A56">
              <w:t>Processo nº:</w:t>
            </w:r>
          </w:p>
        </w:tc>
        <w:tc>
          <w:tcPr>
            <w:tcW w:w="75" w:type="dxa"/>
            <w:vAlign w:val="center"/>
            <w:hideMark/>
          </w:tcPr>
          <w:p w:rsidR="004E7A56" w:rsidRPr="004E7A56" w:rsidRDefault="004E7A56" w:rsidP="004E7A56"/>
        </w:tc>
        <w:tc>
          <w:tcPr>
            <w:tcW w:w="0" w:type="auto"/>
            <w:vAlign w:val="center"/>
            <w:hideMark/>
          </w:tcPr>
          <w:p w:rsidR="004E7A56" w:rsidRPr="004E7A56" w:rsidRDefault="004E7A56" w:rsidP="004E7A56">
            <w:r w:rsidRPr="004E7A56">
              <w:t>0500007-65.2018.8.20.0132</w:t>
            </w:r>
          </w:p>
        </w:tc>
      </w:tr>
      <w:tr w:rsidR="004E7A56" w:rsidRPr="004E7A56" w:rsidTr="004E7A56">
        <w:trPr>
          <w:trHeight w:val="375"/>
          <w:tblCellSpacing w:w="0" w:type="dxa"/>
        </w:trPr>
        <w:tc>
          <w:tcPr>
            <w:tcW w:w="50" w:type="pct"/>
            <w:noWrap/>
            <w:vAlign w:val="center"/>
            <w:hideMark/>
          </w:tcPr>
          <w:p w:rsidR="004E7A56" w:rsidRPr="004E7A56" w:rsidRDefault="004E7A56" w:rsidP="004E7A56">
            <w:r w:rsidRPr="004E7A56">
              <w:t>Classe Processual:</w:t>
            </w:r>
          </w:p>
        </w:tc>
        <w:tc>
          <w:tcPr>
            <w:tcW w:w="75" w:type="dxa"/>
            <w:vAlign w:val="center"/>
            <w:hideMark/>
          </w:tcPr>
          <w:p w:rsidR="004E7A56" w:rsidRPr="004E7A56" w:rsidRDefault="004E7A56" w:rsidP="004E7A56"/>
        </w:tc>
        <w:tc>
          <w:tcPr>
            <w:tcW w:w="0" w:type="auto"/>
            <w:vAlign w:val="center"/>
            <w:hideMark/>
          </w:tcPr>
          <w:p w:rsidR="004E7A56" w:rsidRPr="004E7A56" w:rsidRDefault="004E7A56" w:rsidP="004E7A56">
            <w:r w:rsidRPr="004E7A56">
              <w:t>Execução da Pena</w:t>
            </w:r>
          </w:p>
        </w:tc>
      </w:tr>
      <w:tr w:rsidR="004E7A56" w:rsidRPr="004E7A56" w:rsidTr="004E7A56">
        <w:trPr>
          <w:trHeight w:val="375"/>
          <w:tblCellSpacing w:w="0" w:type="dxa"/>
        </w:trPr>
        <w:tc>
          <w:tcPr>
            <w:tcW w:w="50" w:type="pct"/>
            <w:noWrap/>
            <w:vAlign w:val="center"/>
            <w:hideMark/>
          </w:tcPr>
          <w:p w:rsidR="004E7A56" w:rsidRPr="004E7A56" w:rsidRDefault="004E7A56" w:rsidP="004E7A56">
            <w:r w:rsidRPr="004E7A56">
              <w:t>Assunto Principal:</w:t>
            </w:r>
          </w:p>
        </w:tc>
        <w:tc>
          <w:tcPr>
            <w:tcW w:w="75" w:type="dxa"/>
            <w:vAlign w:val="center"/>
            <w:hideMark/>
          </w:tcPr>
          <w:p w:rsidR="004E7A56" w:rsidRPr="004E7A56" w:rsidRDefault="004E7A56" w:rsidP="004E7A56"/>
        </w:tc>
        <w:tc>
          <w:tcPr>
            <w:tcW w:w="0" w:type="auto"/>
            <w:vAlign w:val="center"/>
            <w:hideMark/>
          </w:tcPr>
          <w:p w:rsidR="004E7A56" w:rsidRPr="004E7A56" w:rsidRDefault="004E7A56" w:rsidP="004E7A56">
            <w:r w:rsidRPr="004E7A56">
              <w:t>Pena Privativa de Liberdade</w:t>
            </w:r>
          </w:p>
        </w:tc>
      </w:tr>
      <w:tr w:rsidR="004E7A56" w:rsidRPr="004E7A56" w:rsidTr="004E7A56">
        <w:trPr>
          <w:trHeight w:val="375"/>
          <w:tblCellSpacing w:w="0" w:type="dxa"/>
        </w:trPr>
        <w:tc>
          <w:tcPr>
            <w:tcW w:w="50" w:type="pct"/>
            <w:noWrap/>
            <w:vAlign w:val="center"/>
            <w:hideMark/>
          </w:tcPr>
          <w:p w:rsidR="004E7A56" w:rsidRPr="004E7A56" w:rsidRDefault="004E7A56" w:rsidP="004E7A56">
            <w:r w:rsidRPr="004E7A56">
              <w:t>Autoridade(s):</w:t>
            </w:r>
          </w:p>
        </w:tc>
        <w:tc>
          <w:tcPr>
            <w:tcW w:w="75" w:type="dxa"/>
            <w:vAlign w:val="center"/>
            <w:hideMark/>
          </w:tcPr>
          <w:p w:rsidR="004E7A56" w:rsidRPr="004E7A56" w:rsidRDefault="004E7A56" w:rsidP="004E7A56"/>
        </w:tc>
        <w:tc>
          <w:tcPr>
            <w:tcW w:w="0" w:type="auto"/>
            <w:vAlign w:val="center"/>
            <w:hideMark/>
          </w:tcPr>
          <w:p w:rsidR="004E7A56" w:rsidRPr="004E7A56" w:rsidRDefault="004E7A56" w:rsidP="004E7A56">
            <w:pPr>
              <w:numPr>
                <w:ilvl w:val="0"/>
                <w:numId w:val="1"/>
              </w:numPr>
            </w:pPr>
            <w:r w:rsidRPr="004E7A56">
              <w:t>O ESTADO DO RIO GRANDE DO NORTE </w:t>
            </w:r>
          </w:p>
        </w:tc>
      </w:tr>
      <w:tr w:rsidR="004E7A56" w:rsidRPr="004E7A56" w:rsidTr="004E7A56">
        <w:trPr>
          <w:trHeight w:val="375"/>
          <w:tblCellSpacing w:w="0" w:type="dxa"/>
        </w:trPr>
        <w:tc>
          <w:tcPr>
            <w:tcW w:w="50" w:type="pct"/>
            <w:noWrap/>
            <w:vAlign w:val="center"/>
            <w:hideMark/>
          </w:tcPr>
          <w:p w:rsidR="004E7A56" w:rsidRPr="004E7A56" w:rsidRDefault="004E7A56" w:rsidP="004E7A56">
            <w:r w:rsidRPr="004E7A56">
              <w:t>Executado(s):</w:t>
            </w:r>
          </w:p>
        </w:tc>
        <w:tc>
          <w:tcPr>
            <w:tcW w:w="75" w:type="dxa"/>
            <w:vAlign w:val="center"/>
            <w:hideMark/>
          </w:tcPr>
          <w:p w:rsidR="004E7A56" w:rsidRPr="004E7A56" w:rsidRDefault="004E7A56" w:rsidP="004E7A56"/>
        </w:tc>
        <w:tc>
          <w:tcPr>
            <w:tcW w:w="0" w:type="auto"/>
            <w:vAlign w:val="center"/>
            <w:hideMark/>
          </w:tcPr>
          <w:p w:rsidR="004E7A56" w:rsidRPr="004E7A56" w:rsidRDefault="004E7A56" w:rsidP="004E7A56">
            <w:pPr>
              <w:numPr>
                <w:ilvl w:val="0"/>
                <w:numId w:val="2"/>
              </w:numPr>
            </w:pPr>
            <w:r w:rsidRPr="004E7A56">
              <w:t>EDILSON RAFAEL DE OLIVEIRA</w:t>
            </w:r>
          </w:p>
        </w:tc>
      </w:tr>
    </w:tbl>
    <w:p w:rsidR="004E7A56" w:rsidRPr="004E7A56" w:rsidRDefault="004E7A56" w:rsidP="004E7A56">
      <w:r w:rsidRPr="004E7A56">
        <w:pict>
          <v:rect id="_x0000_i1031" style="width:0;height:1.5pt" o:hralign="center" o:hrstd="t" o:hr="t" fillcolor="#a0a0a0" stroked="f"/>
        </w:pict>
      </w:r>
    </w:p>
    <w:p w:rsidR="004E7A56" w:rsidRPr="004E7A56" w:rsidRDefault="004E7A56" w:rsidP="004E7A56">
      <w:r w:rsidRPr="004E7A56">
        <w:t>Vistos etc.</w:t>
      </w:r>
    </w:p>
    <w:p w:rsidR="004E7A56" w:rsidRPr="004E7A56" w:rsidRDefault="004E7A56" w:rsidP="004E7A56">
      <w:r w:rsidRPr="004E7A56">
        <w:t>Trata-se de pedido formulado pela defesa de Edilson Rafael de Oliveira (evento 277.1), requerendo a retificação da Guia de Execução Penal e a emissão de um novo atestado de pena, sob a alegação de erro no cálculo (evento 277.1).</w:t>
      </w:r>
    </w:p>
    <w:p w:rsidR="004E7A56" w:rsidRPr="004E7A56" w:rsidRDefault="004E7A56" w:rsidP="004E7A56">
      <w:r w:rsidRPr="004E7A56">
        <w:t>O Ministério Público manifestou-se pelo indeferimento do pedido, ressaltando que a guia de execução reflete corretamente as condenações e que não houve erro material nos cálculos executórios (evento 280.1).</w:t>
      </w:r>
    </w:p>
    <w:p w:rsidR="004E7A56" w:rsidRPr="004E7A56" w:rsidRDefault="004E7A56" w:rsidP="004E7A56">
      <w:r w:rsidRPr="004E7A56">
        <w:t>Relatados.</w:t>
      </w:r>
    </w:p>
    <w:p w:rsidR="004E7A56" w:rsidRPr="004E7A56" w:rsidRDefault="004E7A56" w:rsidP="004E7A56">
      <w:r w:rsidRPr="004E7A56">
        <w:t>O pedido de retificação da guia de execução penal apresentado pela defesa do apenado revela-se genérico e destituído de embasamento fático ou jurídico que justifique a revisão pretendida.</w:t>
      </w:r>
    </w:p>
    <w:p w:rsidR="004E7A56" w:rsidRPr="004E7A56" w:rsidRDefault="004E7A56" w:rsidP="004E7A56">
      <w:r w:rsidRPr="004E7A56">
        <w:t>De acordo com os dados extraídos do Sistema Eletrônico de Execução Unificado (SEEU), o apenado foi condenado em três ações penais distintas, que somam o total de 18 anos, 8 meses de reclusão. Especificamente, as condenações são as seguintes:</w:t>
      </w:r>
    </w:p>
    <w:p w:rsidR="004E7A56" w:rsidRPr="004E7A56" w:rsidRDefault="004E7A56" w:rsidP="004E7A56">
      <w:r w:rsidRPr="004E7A56">
        <w:t>Ação Penal nº 0000468-07.2012.8.20.0132: 5 anos, 7 meses e 6 dias (crime de roubo majorado, art. 157, § 2º do CP), Ação Penal nº 0100604-70.2016.8.20.0132: 1 ano (crime previsto no art. 12, caput, do Estatuto do Desarmamento) e Ação Penal nº 0100751-96.2016.8.20.0132: 12 anos e 24 dias (crime de homicídio qualificado, art. 121, § 2º do CP).</w:t>
      </w:r>
    </w:p>
    <w:p w:rsidR="004E7A56" w:rsidRPr="004E7A56" w:rsidRDefault="004E7A56" w:rsidP="004E7A56">
      <w:r w:rsidRPr="004E7A56">
        <w:t>Pouco crível que tal soma pudesse encontrar como resultado 7 (sete) anos e 24 (vinte e quatro) dias, ademais, carente qualquer argumento ou fundamento, plausível ou não, que merecesse debruçar-se sobre a questão.</w:t>
      </w:r>
    </w:p>
    <w:p w:rsidR="004E7A56" w:rsidRPr="004E7A56" w:rsidRDefault="004E7A56" w:rsidP="004E7A56">
      <w:r w:rsidRPr="004E7A56">
        <w:t>A imprecisão das alegações dificulta até mesmo o seu próprio julgamento, tendo em vista que a defesa diz: </w:t>
      </w:r>
      <w:r w:rsidRPr="004E7A56">
        <w:rPr>
          <w:i/>
          <w:iCs/>
        </w:rPr>
        <w:t>"(...) houve um equívoco na somatória dos períodos de detração e remição da pena, o que impacta diretamente na data prevista para a progressão de regime e/ou para a extinção da pena"</w:t>
      </w:r>
      <w:r w:rsidRPr="004E7A56">
        <w:t>, não obstante, não consta sequer nos autos qualquer informação sobre remição envolvendo o apenado.</w:t>
      </w:r>
    </w:p>
    <w:p w:rsidR="004E7A56" w:rsidRPr="004E7A56" w:rsidRDefault="004E7A56" w:rsidP="004E7A56">
      <w:r w:rsidRPr="004E7A56">
        <w:lastRenderedPageBreak/>
        <w:t>Se o apenado nunca teve remição, então qual seria o equívoco no cálculo da remição?</w:t>
      </w:r>
    </w:p>
    <w:p w:rsidR="004E7A56" w:rsidRPr="004E7A56" w:rsidRDefault="004E7A56" w:rsidP="004E7A56">
      <w:r w:rsidRPr="004E7A56">
        <w:t>O Código Penal e a Lei de Execução Penal estabelecem claramente os critérios para o cálculo da pena e a execução de condenações cumulativas. O artigo 111 da LEP determina que o somatório das penas deve ser feito quando houver condenações em processos distintos, como ocorre no caso em questão. A guia de execução e o atestado de pena refletem corretamente esse somatório, bem como o tempo já cumprido e as previsões de progressão de regime e livramento condicional.</w:t>
      </w:r>
    </w:p>
    <w:p w:rsidR="004E7A56" w:rsidRPr="004E7A56" w:rsidRDefault="004E7A56" w:rsidP="004E7A56">
      <w:r w:rsidRPr="004E7A56">
        <w:t>Além disso, não foi comprovado qualquer erro no lançamento de remições, detrações ou outras reduções de pena que justificassem a alteração pretendida. </w:t>
      </w:r>
    </w:p>
    <w:p w:rsidR="004E7A56" w:rsidRPr="004E7A56" w:rsidRDefault="004E7A56" w:rsidP="004E7A56">
      <w:r w:rsidRPr="004E7A56">
        <w:t>A irresignação jactanciosa do apenado compreende genericidade incapaz de apontar de forma clara e objetiva onde residiriam os supostos erros na execução penal.</w:t>
      </w:r>
    </w:p>
    <w:p w:rsidR="004E7A56" w:rsidRPr="004E7A56" w:rsidRDefault="004E7A56" w:rsidP="004E7A56">
      <w:r w:rsidRPr="004E7A56">
        <w:t xml:space="preserve">Isso posto, </w:t>
      </w:r>
      <w:r w:rsidRPr="004E7A56">
        <w:rPr>
          <w:b/>
          <w:bCs/>
        </w:rPr>
        <w:t>indefiro</w:t>
      </w:r>
      <w:r w:rsidRPr="004E7A56">
        <w:t xml:space="preserve"> o pedido de retificação e mantenho inalterada a GEP.</w:t>
      </w:r>
    </w:p>
    <w:p w:rsidR="004E7A56" w:rsidRPr="004E7A56" w:rsidRDefault="004E7A56" w:rsidP="004E7A56">
      <w:r w:rsidRPr="004E7A56">
        <w:t>P.R.I. Após, retornem conclusos os autos para análise do pedido de indulto.</w:t>
      </w:r>
    </w:p>
    <w:p w:rsidR="004E7A56" w:rsidRPr="004E7A56" w:rsidRDefault="004E7A56" w:rsidP="004E7A56">
      <w:r w:rsidRPr="004E7A56">
        <w:t>Natal, 21 de setembro de 2024.</w:t>
      </w:r>
    </w:p>
    <w:p w:rsidR="004E7A56" w:rsidRPr="004E7A56" w:rsidRDefault="004E7A56" w:rsidP="004E7A56">
      <w:pPr>
        <w:rPr>
          <w:i/>
          <w:iCs/>
        </w:rPr>
      </w:pPr>
      <w:r w:rsidRPr="004E7A56">
        <w:rPr>
          <w:i/>
          <w:iCs/>
        </w:rPr>
        <w:t>Henrique Baltazar Vilar dos Santos</w:t>
      </w:r>
    </w:p>
    <w:p w:rsidR="004E7A56" w:rsidRPr="004E7A56" w:rsidRDefault="004E7A56" w:rsidP="004E7A56">
      <w:pPr>
        <w:rPr>
          <w:i/>
          <w:iCs/>
        </w:rPr>
      </w:pPr>
      <w:r w:rsidRPr="004E7A56">
        <w:rPr>
          <w:i/>
          <w:iCs/>
        </w:rPr>
        <w:t>Juiz de Direito</w:t>
      </w:r>
    </w:p>
    <w:p w:rsidR="004E7A56" w:rsidRPr="004E7A56" w:rsidRDefault="004E7A56" w:rsidP="004E7A56">
      <w:r w:rsidRPr="004E7A56">
        <w:t> </w:t>
      </w:r>
    </w:p>
    <w:p w:rsidR="004E7A56" w:rsidRDefault="004E7A56"/>
    <w:sectPr w:rsidR="004E7A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83075B"/>
    <w:multiLevelType w:val="multilevel"/>
    <w:tmpl w:val="D568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7870BC"/>
    <w:multiLevelType w:val="multilevel"/>
    <w:tmpl w:val="4E74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349547">
    <w:abstractNumId w:val="1"/>
  </w:num>
  <w:num w:numId="2" w16cid:durableId="99450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A56"/>
    <w:rsid w:val="00126456"/>
    <w:rsid w:val="004E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6852FD-FE32-4709-B3B0-6C76490D0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7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7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7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7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7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7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7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7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7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7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7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7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7A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7A5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7A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7A5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7A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7A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7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7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7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7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7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7A5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7A5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7A5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7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7A5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7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68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9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492</Words>
  <Characters>2661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Gomes</dc:creator>
  <cp:keywords/>
  <dc:description/>
  <cp:lastModifiedBy>Victor Gomes</cp:lastModifiedBy>
  <cp:revision>1</cp:revision>
  <dcterms:created xsi:type="dcterms:W3CDTF">2024-09-21T18:59:00Z</dcterms:created>
  <dcterms:modified xsi:type="dcterms:W3CDTF">2024-09-21T18:59:00Z</dcterms:modified>
</cp:coreProperties>
</file>