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F7DC88" w14:textId="77777777" w:rsidR="00084D3C" w:rsidRDefault="00084D3C" w:rsidP="00084D3C">
      <w:r>
        <w:t>DIREITO PENAL. DIREITO PROCESSUAL PENAL. AGRAVO REGIMENTAL NO HABEAS CORPUS. DECRETO PRESIDENCIAL N. 11.846/2023. COMUTAÇÃO DE PENAS. CRIMES COMETIDOS COM VIOLÊNCIA OU GRAVE AMEAÇA. NÃO CABIMENTO. AGRAVO REGIMENTAL NÃO PROVIDO.</w:t>
      </w:r>
    </w:p>
    <w:p w14:paraId="08D43735" w14:textId="77777777" w:rsidR="00084D3C" w:rsidRDefault="00084D3C" w:rsidP="00084D3C">
      <w:r>
        <w:t xml:space="preserve">1. O habeas corpus foi impetrado em substituição a recurso próprio, prática não admitida por esta Corte, conforme entendimento consolidado pela Terceira Seção do STJ no julgamento do HC n. 535.063/SP (Rel. Ministro Sebastião Reis Júnior, </w:t>
      </w:r>
      <w:proofErr w:type="spellStart"/>
      <w:r>
        <w:t>DJe</w:t>
      </w:r>
      <w:proofErr w:type="spellEnd"/>
      <w:r>
        <w:t xml:space="preserve"> de 25.8.2020).</w:t>
      </w:r>
    </w:p>
    <w:p w14:paraId="5056B203" w14:textId="77777777" w:rsidR="00084D3C" w:rsidRDefault="00084D3C" w:rsidP="00084D3C">
      <w:r>
        <w:t>2. Não se verifica teratologia ou manifesta ilegalidade que justifique a concessão da ordem de ofício, conforme apreciado na decisão monocrática.</w:t>
      </w:r>
    </w:p>
    <w:p w14:paraId="28F7FB0D" w14:textId="77777777" w:rsidR="00084D3C" w:rsidRDefault="00084D3C" w:rsidP="00084D3C">
      <w:r>
        <w:t>3. O Tribunal de origem deu provimento ao agravo em execução interposto pelo Ministério Público, revogando a comutação da pena concedida em primeiro grau, por entender que o Decreto Presidencial n. 11.846/2023 não prevê hipótese de comutação para crimes cometidos com violência ou grave ameaça à pessoa.</w:t>
      </w:r>
    </w:p>
    <w:p w14:paraId="4C66F305" w14:textId="77777777" w:rsidR="00084D3C" w:rsidRDefault="00084D3C" w:rsidP="00084D3C">
      <w:r>
        <w:t>4. A interpretação do Decreto Presidencial n. 11.846/2023, dada pelo Tribunal a quo, está em consonância com a jurisprudência do Superior Tribunal de Justiça, que veda a concessão de indulto ou comutação de penas para crimes praticados com violência ou grave ameaça à pessoa.</w:t>
      </w:r>
    </w:p>
    <w:p w14:paraId="2485E3BB" w14:textId="77777777" w:rsidR="00084D3C" w:rsidRDefault="00084D3C" w:rsidP="00084D3C">
      <w:r>
        <w:t>5. Agravo regimental não provido.</w:t>
      </w:r>
    </w:p>
    <w:p w14:paraId="3F7E3967" w14:textId="77777777" w:rsidR="00084D3C" w:rsidRDefault="00084D3C" w:rsidP="00084D3C"/>
    <w:p w14:paraId="4F2BB74F" w14:textId="686CEE4C" w:rsidR="00EB3D99" w:rsidRDefault="00084D3C" w:rsidP="00084D3C">
      <w:r>
        <w:t>(</w:t>
      </w:r>
      <w:proofErr w:type="spellStart"/>
      <w:r>
        <w:t>AgRg</w:t>
      </w:r>
      <w:proofErr w:type="spellEnd"/>
      <w:r>
        <w:t xml:space="preserve"> no HC n. 996.544/MG, relator Ministro Og Fernandes, Sexta Turma, julgado em 14/10/2025, REPDJEN de 3/11/2025, DJEN de 24/10/2025.)</w:t>
      </w:r>
    </w:p>
    <w:sectPr w:rsidR="00EB3D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D3C"/>
    <w:rsid w:val="00084D3C"/>
    <w:rsid w:val="00305F60"/>
    <w:rsid w:val="00460024"/>
    <w:rsid w:val="006D028E"/>
    <w:rsid w:val="00A432BC"/>
    <w:rsid w:val="00EB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AABCE"/>
  <w15:chartTrackingRefBased/>
  <w15:docId w15:val="{FA5EBAA7-A79D-422E-AFFE-98CE0173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4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4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4D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4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4D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4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4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4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4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4D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4D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4D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4D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4D3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4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4D3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4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4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4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4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4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4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4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4D3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4D3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4D3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4D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4D3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4D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206</Words>
  <Characters>1176</Characters>
  <Application>Microsoft Office Word</Application>
  <DocSecurity>0</DocSecurity>
  <Lines>21</Lines>
  <Paragraphs>7</Paragraphs>
  <ScaleCrop>false</ScaleCrop>
  <Company/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Costa</dc:creator>
  <cp:keywords/>
  <dc:description/>
  <cp:lastModifiedBy>Fernando Costa</cp:lastModifiedBy>
  <cp:revision>2</cp:revision>
  <dcterms:created xsi:type="dcterms:W3CDTF">2025-11-15T16:45:00Z</dcterms:created>
  <dcterms:modified xsi:type="dcterms:W3CDTF">2025-11-15T16:53:00Z</dcterms:modified>
</cp:coreProperties>
</file>