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40225" w14:textId="77777777" w:rsidR="008B605D" w:rsidRDefault="008B605D" w:rsidP="008B605D">
      <w:pPr>
        <w:pStyle w:val="NormalWeb"/>
        <w:ind w:firstLine="708"/>
        <w:jc w:val="both"/>
      </w:pPr>
      <w:r>
        <w:rPr>
          <w:sz w:val="21"/>
          <w:szCs w:val="21"/>
        </w:rPr>
        <w:t xml:space="preserve">Vistos etc. </w:t>
      </w:r>
    </w:p>
    <w:p w14:paraId="47930714" w14:textId="77777777" w:rsidR="008B605D" w:rsidRDefault="008B605D" w:rsidP="008B605D">
      <w:pPr>
        <w:pStyle w:val="NormalWeb"/>
        <w:ind w:firstLine="708"/>
        <w:jc w:val="both"/>
      </w:pPr>
      <w:r>
        <w:rPr>
          <w:sz w:val="21"/>
          <w:szCs w:val="21"/>
        </w:rPr>
        <w:t>Trata-se de execução de medida de segurança restritiva (tratamento ambulatorial).</w:t>
      </w:r>
    </w:p>
    <w:p w14:paraId="6E836899" w14:textId="77777777" w:rsidR="008B605D" w:rsidRDefault="008B605D" w:rsidP="008B605D">
      <w:pPr>
        <w:pStyle w:val="NormalWeb"/>
        <w:ind w:firstLine="708"/>
        <w:jc w:val="both"/>
      </w:pPr>
      <w:r>
        <w:rPr>
          <w:sz w:val="21"/>
          <w:szCs w:val="21"/>
        </w:rPr>
        <w:t>Anoto que os autos foram redistribuídos para esta 1ª Vara Regional de Execução Penal em razão da modificação da competência em que foram absorvidos os processos dos regimes fechado e semiaberto, bem como as medidas de segurança detentivas (internação) de diversas comarcas, o que não é o caso dos autos.</w:t>
      </w:r>
    </w:p>
    <w:p w14:paraId="4250A9B9" w14:textId="77777777" w:rsidR="008B605D" w:rsidRDefault="008B605D" w:rsidP="008B605D">
      <w:pPr>
        <w:pStyle w:val="NormalWeb"/>
        <w:ind w:firstLine="708"/>
        <w:jc w:val="both"/>
      </w:pPr>
      <w:r>
        <w:rPr>
          <w:sz w:val="21"/>
          <w:szCs w:val="21"/>
        </w:rPr>
        <w:t>Competente para a execução da medida de segurança restritiva é o juízo do local onde reside o inimputável, no caso no cumprimento de tratamento ambulatorial, sendo que os autos tramitavam no meio fechado e semiaberto anteriormente, razão pela qual foram remetidos indevidamente para esta 1ª Vara Regional de Execução Penal.</w:t>
      </w:r>
    </w:p>
    <w:p w14:paraId="2B8BE6AA" w14:textId="77777777" w:rsidR="008B605D" w:rsidRDefault="008B605D" w:rsidP="008B605D">
      <w:pPr>
        <w:pStyle w:val="NormalWeb"/>
        <w:ind w:firstLine="708"/>
        <w:jc w:val="both"/>
      </w:pPr>
      <w:r>
        <w:rPr>
          <w:sz w:val="21"/>
          <w:szCs w:val="21"/>
        </w:rPr>
        <w:t>Isto posto, tendo por incompetente este juízo para continuar a presidir processo de execução penal de inimputável em tratamento ambulatorial, determino a remessa dos autos para o</w:t>
      </w:r>
      <w:r>
        <w:rPr>
          <w:rStyle w:val="Forte"/>
          <w:sz w:val="21"/>
          <w:szCs w:val="21"/>
        </w:rPr>
        <w:t xml:space="preserve"> meio aberto da Comarca de Parelhas.</w:t>
      </w:r>
    </w:p>
    <w:p w14:paraId="370E89D6" w14:textId="77777777" w:rsidR="00572835" w:rsidRDefault="00572835"/>
    <w:sectPr w:rsidR="005728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5D"/>
    <w:rsid w:val="00572835"/>
    <w:rsid w:val="008B605D"/>
    <w:rsid w:val="00B1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DA09B"/>
  <w15:chartTrackingRefBased/>
  <w15:docId w15:val="{28540F09-5CCD-48AD-8111-677B1B6D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6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B6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9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793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2</cp:revision>
  <dcterms:created xsi:type="dcterms:W3CDTF">2023-01-25T18:51:00Z</dcterms:created>
  <dcterms:modified xsi:type="dcterms:W3CDTF">2023-02-05T15:57:00Z</dcterms:modified>
</cp:coreProperties>
</file>