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Corpodetexto"/>
        <w:spacing w:lineRule="auto" w:line="276"/>
        <w:jc w:val="both"/>
        <w:rPr>
          <w:rFonts w:ascii="Times New Roman;serif" w:hAnsi="Times New Roman;serif"/>
          <w:b w:val="false"/>
          <w:i w:val="false"/>
          <w:caps w:val="false"/>
          <w:smallCaps w:val="false"/>
          <w:sz w:val="22"/>
        </w:rPr>
      </w:pPr>
      <w:r>
        <w:rPr>
          <w:rFonts w:ascii="Times New Roman" w:hAnsi="Times New Roman"/>
          <w:b w:val="false"/>
          <w:i w:val="false"/>
          <w:caps w:val="false"/>
          <w:smallCaps w:val="false"/>
          <w:sz w:val="22"/>
          <w:szCs w:val="22"/>
        </w:rPr>
        <w:tab/>
        <w:t>Trata-se de processo de execução penal em desfavor do apenado acima nominado, em que a Defesa requereu a readequação da pena aplicada nos autos das ações penais de n. 0113701-11.2017.8.20.0001, sob a alegação da retroatividade de lei penal benéfica (mov. 41).</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Alegou a Defesa que, na referida ação penal, o réu foi condenado pelo crime de pote ilegal de arma de fogo de uso restrito, previsto no art. 16 da Lei 10.826/03, respectivamente, a uma pena de 3 anos de reclusão.</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Ou seja, para a Defesa, em razão do novo Decreto n. 9.847/19, a conduta imputada ao apenado passou a ser tipificada no art. 14 da Lei 10.826/03, que prevê o crime de porte ilegal de arma de fogo de uso permitido.</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No evento 81, interveio o membro do Ministério Público concordando com a Defesa.</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É o relatório. Decido.</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A Defesa tem razão em parte.</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De início, registro que compete ao juiz da execução penal aplicar a lei penal benéfica, nos termos do art. 66, I, da Lei de Execução Penal.</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Pois bem.</w:t>
      </w:r>
    </w:p>
    <w:p>
      <w:pPr>
        <w:pStyle w:val="Corpodetexto"/>
        <w:spacing w:lineRule="auto" w:line="276"/>
        <w:ind w:left="0" w:right="0" w:firstLine="708"/>
        <w:jc w:val="both"/>
        <w:rPr>
          <w:b w:val="false"/>
          <w:i w:val="false"/>
          <w:caps w:val="false"/>
          <w:smallCaps w:val="false"/>
        </w:rPr>
      </w:pPr>
      <w:r>
        <w:rPr>
          <w:rFonts w:ascii="Times New Roman;serif" w:hAnsi="Times New Roman;serif"/>
          <w:b w:val="false"/>
          <w:i w:val="false"/>
          <w:caps w:val="false"/>
          <w:smallCaps w:val="false"/>
          <w:sz w:val="22"/>
        </w:rPr>
        <w:t xml:space="preserve">De fato, lendo a sentença proferida nos autos da ação penal n. </w:t>
      </w:r>
      <w:r>
        <w:rPr>
          <w:rFonts w:ascii="Times New Roman;Times;serif" w:hAnsi="Times New Roman;Times;serif"/>
          <w:b w:val="false"/>
          <w:i w:val="false"/>
          <w:caps w:val="false"/>
          <w:smallCaps w:val="false"/>
          <w:sz w:val="21"/>
        </w:rPr>
        <w:t>0100320-62.2019.8.20.0001</w:t>
      </w:r>
      <w:r>
        <w:rPr>
          <w:rFonts w:ascii="Times New Roman;serif" w:hAnsi="Times New Roman;serif"/>
          <w:b w:val="false"/>
          <w:i w:val="false"/>
          <w:caps w:val="false"/>
          <w:smallCaps w:val="false"/>
          <w:sz w:val="22"/>
        </w:rPr>
        <w:t>, constato que o apenado foi condenado a uma pena de 3 anos de reclusão pelo cometimento do crime de posse ilegal de arma de fogo de uso restrito, previsto no art. 16 da Lei 10.826/03, em razão da posse de um revolver calibre .357, com número de série LR441292, e 29 munições calibre 38.</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Após a edição do Decreto n. 9.847/19, que regulamenta a Lei 10.826/03, o armamento citado passou a ser enquadrado na categoria dos calibres de uso permitido.</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Essa classificação ficou ainda mais evidente após a edição da Portaria n. 1.222/19 do Comando do Exército.</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Assim, quem, hoje, mantém a posse ilegal de munição calibre .40 pratica o crime de posse ilegal de arma de fogo de uso permitido, previsto no art. 12 da Lei 10.826/03, sendo, por óbvio, a lei atual mais benéfica ao apenado.</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Nesse ponto, registro que, embora o pedido da defesa, bem com o parecer do Ministério Público, tenha sido pelo enquadramento da conduta no art. 14 da Lei 10.826/03, que descreve o crime de porte ilegal de arma de uso permitido, a conduta do apenado foi de possuir munição ilegalmente, sendo sua conduta mais bem tipificada no crime de posse ilegal de arma de fogo de uso permitido, previsto no art. 12 da Lei 10.826/03. A arma e a munição foram encontradas dentro da casa do apenado, escondidas no vaso sanitária, conforme  o auto de prisão flagrante delito e a denúncia.</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Com base no exposto, o pedido da Defesa deve ser acolhido, mas readequando-se a pena do apenado àquela prevista no crime do art. 12 da Lei 10.826/03, mais benéfica ao apenado, e não na do art. 14 da Lei 10.826/03.</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Assim, passo a realizar nova dosimetria da pena.</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Analisando a sentença, vejo que a pena definitiva foi aplicada no mínimo previsto em abstrato para o crime do art. 16 da Lei 10.826/03.</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 xml:space="preserve">Assim, a fim de manter a proporcionalidade adotada na sentença condenatória, fixo a nova pena no mínimo legal previsto para o crime do art. 12 da Lei 10.826/03, qual seja, </w:t>
      </w:r>
      <w:r>
        <w:rPr>
          <w:rFonts w:ascii="Times New Roman;serif" w:hAnsi="Times New Roman;serif"/>
          <w:b/>
          <w:i w:val="false"/>
          <w:caps w:val="false"/>
          <w:smallCaps w:val="false"/>
          <w:sz w:val="22"/>
        </w:rPr>
        <w:t>01 ano de detenção</w:t>
      </w:r>
      <w:r>
        <w:rPr>
          <w:rFonts w:ascii="Times New Roman;serif" w:hAnsi="Times New Roman;serif"/>
          <w:b w:val="false"/>
          <w:i w:val="false"/>
          <w:caps w:val="false"/>
          <w:smallCaps w:val="false"/>
          <w:sz w:val="22"/>
        </w:rPr>
        <w:t>, mantendo a pena de multa aplicada na sentença.</w:t>
      </w:r>
    </w:p>
    <w:p>
      <w:pPr>
        <w:pStyle w:val="Corpodetexto"/>
        <w:spacing w:lineRule="auto" w:line="276"/>
        <w:ind w:left="0" w:right="0" w:firstLine="708"/>
        <w:jc w:val="both"/>
        <w:rPr>
          <w:b w:val="false"/>
          <w:i w:val="false"/>
          <w:caps w:val="false"/>
          <w:smallCaps w:val="false"/>
        </w:rPr>
      </w:pPr>
      <w:r>
        <w:rPr>
          <w:rFonts w:ascii="Times New Roman;serif" w:hAnsi="Times New Roman;serif"/>
          <w:b w:val="false"/>
          <w:i w:val="false"/>
          <w:caps w:val="false"/>
          <w:smallCaps w:val="false"/>
          <w:sz w:val="22"/>
        </w:rPr>
        <w:t xml:space="preserve">Assim, a nova pena final e definitiva do apenado, em relação ao crime de posse ilegal de arma de fogo, inicialmente enquadrado no art. 16 da Lei 10.826/03, e aqui desclassificado para o crime do art. 12 da mesma lei, julgado na ação penal n. </w:t>
      </w:r>
      <w:r>
        <w:rPr>
          <w:rFonts w:ascii="Times New Roman;Times;serif" w:hAnsi="Times New Roman;Times;serif"/>
          <w:b w:val="false"/>
          <w:i w:val="false"/>
          <w:caps w:val="false"/>
          <w:smallCaps w:val="false"/>
          <w:sz w:val="21"/>
        </w:rPr>
        <w:t>0100320-62.2019.8.20.0001</w:t>
      </w:r>
      <w:r>
        <w:rPr>
          <w:rFonts w:ascii="Times New Roman;serif" w:hAnsi="Times New Roman;serif"/>
          <w:b w:val="false"/>
          <w:i w:val="false"/>
          <w:caps w:val="false"/>
          <w:smallCaps w:val="false"/>
          <w:sz w:val="22"/>
        </w:rPr>
        <w:t xml:space="preserve">, é de </w:t>
      </w:r>
      <w:r>
        <w:rPr>
          <w:rFonts w:ascii="Times New Roman;serif" w:hAnsi="Times New Roman;serif"/>
          <w:b/>
          <w:i w:val="false"/>
          <w:caps w:val="false"/>
          <w:smallCaps w:val="false"/>
          <w:sz w:val="22"/>
        </w:rPr>
        <w:t>1 ano de detenção.</w:t>
      </w:r>
    </w:p>
    <w:p>
      <w:pPr>
        <w:pStyle w:val="Corpodetexto"/>
        <w:spacing w:lineRule="auto" w:line="276"/>
        <w:ind w:left="0" w:right="0" w:firstLine="708"/>
        <w:jc w:val="both"/>
        <w:rPr>
          <w:b w:val="false"/>
          <w:i w:val="false"/>
          <w:caps w:val="false"/>
          <w:smallCaps w:val="false"/>
        </w:rPr>
      </w:pPr>
      <w:r>
        <w:rPr>
          <w:rFonts w:ascii="Times New Roman;serif" w:hAnsi="Times New Roman;serif"/>
          <w:b w:val="false"/>
          <w:i w:val="false"/>
          <w:caps w:val="false"/>
          <w:smallCaps w:val="false"/>
          <w:sz w:val="22"/>
        </w:rPr>
        <w:t xml:space="preserve">Ante o exposto, defiro parcialmente o pedido da Defesa e determino à secretaria que retifique a GEP, fazendo constar a pena </w:t>
      </w:r>
      <w:r>
        <w:rPr>
          <w:rFonts w:ascii="Times New Roman;serif" w:hAnsi="Times New Roman;serif"/>
          <w:b/>
          <w:i w:val="false"/>
          <w:caps w:val="false"/>
          <w:smallCaps w:val="false"/>
          <w:sz w:val="22"/>
        </w:rPr>
        <w:t>de 1 ano de detenção</w:t>
      </w:r>
      <w:r>
        <w:rPr>
          <w:rFonts w:ascii="Times New Roman;serif" w:hAnsi="Times New Roman;serif"/>
          <w:b w:val="false"/>
          <w:i w:val="false"/>
          <w:caps w:val="false"/>
          <w:smallCaps w:val="false"/>
          <w:sz w:val="22"/>
        </w:rPr>
        <w:t xml:space="preserve"> em relação ao crime do art. 16, caput, da Lei 10.826/03, aplicada no processo n. </w:t>
      </w:r>
      <w:r>
        <w:rPr>
          <w:rFonts w:ascii="Times New Roman;Times;serif" w:hAnsi="Times New Roman;Times;serif"/>
          <w:b w:val="false"/>
          <w:i w:val="false"/>
          <w:caps w:val="false"/>
          <w:smallCaps w:val="false"/>
          <w:sz w:val="21"/>
        </w:rPr>
        <w:t>0100320-62.2019.8.20.0001</w:t>
      </w:r>
      <w:r>
        <w:rPr>
          <w:rFonts w:ascii="Times New Roman;serif" w:hAnsi="Times New Roman;serif"/>
          <w:b w:val="false"/>
          <w:i w:val="false"/>
          <w:caps w:val="false"/>
          <w:smallCaps w:val="false"/>
          <w:sz w:val="22"/>
        </w:rPr>
        <w:t xml:space="preserve">. </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Ficam mantidas todas as outras determinações da sentença condenatória.</w:t>
      </w:r>
    </w:p>
    <w:p>
      <w:pPr>
        <w:pStyle w:val="Corpodetexto"/>
        <w:spacing w:lineRule="auto" w:line="276"/>
        <w:ind w:left="0" w:right="0" w:firstLine="708"/>
        <w:jc w:val="both"/>
        <w:rPr>
          <w:rFonts w:ascii="Times New Roman;serif" w:hAnsi="Times New Roman;serif"/>
          <w:b w:val="false"/>
          <w:i w:val="false"/>
          <w:caps w:val="false"/>
          <w:smallCaps w:val="false"/>
          <w:sz w:val="22"/>
        </w:rPr>
      </w:pPr>
      <w:r>
        <w:rPr>
          <w:rFonts w:ascii="Times New Roman;serif" w:hAnsi="Times New Roman;serif"/>
          <w:b w:val="false"/>
          <w:i w:val="false"/>
          <w:caps w:val="false"/>
          <w:smallCaps w:val="false"/>
          <w:sz w:val="22"/>
        </w:rPr>
        <w:t>P.I. Ciência ao MP.</w:t>
      </w:r>
    </w:p>
    <w:p>
      <w:pPr>
        <w:pStyle w:val="Corpodetexto"/>
        <w:spacing w:lineRule="auto" w:line="276"/>
        <w:jc w:val="center"/>
        <w:rPr>
          <w:rFonts w:ascii="Times New Roman" w:hAnsi="Times New Roman"/>
          <w:sz w:val="22"/>
          <w:szCs w:val="22"/>
        </w:rPr>
      </w:pPr>
      <w:r>
        <w:rPr/>
      </w:r>
    </w:p>
    <w:p>
      <w:pPr>
        <w:pStyle w:val="Corpodetexto"/>
        <w:spacing w:lineRule="auto" w:line="276"/>
        <w:jc w:val="center"/>
        <w:rPr>
          <w:rFonts w:ascii="Times New Roman" w:hAnsi="Times New Roman"/>
          <w:sz w:val="22"/>
          <w:szCs w:val="22"/>
        </w:rPr>
      </w:pPr>
      <w:r>
        <w:rPr/>
      </w:r>
    </w:p>
    <w:p>
      <w:pPr>
        <w:pStyle w:val="Corpodetexto"/>
        <w:spacing w:lineRule="auto" w:line="276"/>
        <w:jc w:val="center"/>
        <w:rPr>
          <w:rFonts w:ascii="Times New Roman" w:hAnsi="Times New Roman"/>
          <w:sz w:val="22"/>
          <w:szCs w:val="22"/>
        </w:rPr>
      </w:pPr>
      <w:r>
        <w:rPr/>
      </w:r>
    </w:p>
    <w:p>
      <w:pPr>
        <w:pStyle w:val="Corpodetexto"/>
        <w:spacing w:lineRule="auto" w:line="276"/>
        <w:jc w:val="center"/>
        <w:rPr>
          <w:rFonts w:ascii="Times New Roman" w:hAnsi="Times New Roman"/>
          <w:sz w:val="22"/>
          <w:szCs w:val="22"/>
        </w:rPr>
      </w:pPr>
      <w:r>
        <w:rPr>
          <w:rFonts w:ascii="Times New Roman" w:hAnsi="Times New Roman"/>
          <w:sz w:val="22"/>
          <w:szCs w:val="22"/>
        </w:rPr>
        <w:t>DECISÃO</w:t>
      </w:r>
    </w:p>
    <w:p>
      <w:pPr>
        <w:pStyle w:val="Corpodetexto"/>
        <w:spacing w:lineRule="auto" w:line="276"/>
        <w:ind w:firstLine="1134"/>
        <w:jc w:val="both"/>
        <w:rPr>
          <w:rFonts w:ascii="Times New Roman" w:hAnsi="Times New Roman"/>
          <w:sz w:val="22"/>
          <w:szCs w:val="22"/>
        </w:rPr>
      </w:pPr>
      <w:r>
        <w:rPr>
          <w:rFonts w:ascii="Times New Roman" w:hAnsi="Times New Roman"/>
          <w:sz w:val="22"/>
          <w:szCs w:val="22"/>
        </w:rPr>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Trata-se de processo de execução penal em desfavor do apenado acima nominado, em que a Defesa requereu a readequação da pena aplicada nos autos das ações penais de n. 0113701-11.2017.8.20.0001, sob a alegação da retroatividade de lei penal benéfica (mov. 41).</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Alegou a Defesa que, na referida ação penal, o réu foi condenado pelo crime de posse ilegal de arma de fogo de uso restrito, previsto no art. 16 da Lei 10.826/03, respectivamente, a uma pena de 3 anos de reclusão.</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Alegou que a munição apreendida na posse do réu, após a edição do Decreto 9.847/19, passou a ser considerado de calibre permitido, atraindo, assim, a incidência do art. 14 da Lei 10.826/03.</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Ou seja, para a Defesa, em razão do novo Decreto n. 9.847/19, a conduta imputada ao apenado passou a ser tipificada no art. 14 da Lei 10.826/03, que prevê o crime de porte ilegal de arma de fogo de uso permitido.</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No evento 44, interveio o membro do Ministério Público concordando com a Defesa.</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É o relatório. Decido.</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A Defesa tem razão em parte.</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De início, registro que compete ao juiz da execução penal aplicar a lei penal benéfica, nos termos do art. 66, I, da Lei de Execução Penal.</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Pois bem.</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De fato, lendo a sentença proferida nos autos da ação penal n. 0113701-11.2017.8.20.0001, constato que o apenado foi condenado a uma pena de 3 anos de reclusão pelo cometimento do crime de posse ilegal de arma de fogo de uso restrito, previsto no art. 16 da Lei 10.826/03, em razão da posse de uma munição calibre .40.</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Após a edição do Decreto n. 9.847/19, que regulamenta a Lei 10.826/03, o armamento citado passou a ser enquadrado na categoria dos calibres de uso permitido.</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Essa classificação ficou ainda mais evidente após a edição da Portaria n. 1.222/19 do Comando do Exército.</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Assim, quem, hoje, mantém a posse ilegal de munição calibre .40 pratica o crime de posse ilegal de arma de fogo de uso permitido, previsto no art. 12 da Lei 10.826/03, sendo, por óbvio, a lei atual mais benéfica ao apenado.</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Nesse ponto, registro que, embora o pedido da defesa, bem com o parecer do Ministério Público, tenha sido pelo enquadramento da conduta no art. 14 da Lei 10.826/03, que descreve o crime de porte ilegal de arma de uso permitido, a conduta do apenado foi de possuir munição ilegalmente, sendo sua conduta mais bem tipificada no crime de posse ilegal de arma de fogo de uso permitido, previsto no art. 12 da Lei 10.826/03. A munição foi encontrada na sua casa.</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Com base no exposto, o pedido da Defesa deve ser acolhido, mas readequando-se a pena do apenado àquela prevista no crime do art. 12 da Lei 10.826/03, mais benéfica ao apenado, e não na do art. 14 da Lei 10.826/03.</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Assim, passo a realizar nova dosimetria da pena.</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Analisando a sentença, vejo que a pena definitiva foi aplicada no mínimo previsto em abstrato para o crime do art. 16 da Lei 10.826/03.</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 xml:space="preserve">Assim, a fim de manter a proporcionalidade adotada na sentença condenatória, fixo a nova pena no mínimo legal previsto para o crime do art. 12 da Lei 10.826/03, qual seja, </w:t>
      </w:r>
      <w:r>
        <w:rPr>
          <w:rFonts w:ascii="Times New Roman" w:hAnsi="Times New Roman"/>
          <w:b/>
          <w:bCs/>
          <w:sz w:val="22"/>
          <w:szCs w:val="22"/>
        </w:rPr>
        <w:t>01 ano de detenção</w:t>
      </w:r>
      <w:r>
        <w:rPr>
          <w:rFonts w:ascii="Times New Roman" w:hAnsi="Times New Roman"/>
          <w:sz w:val="22"/>
          <w:szCs w:val="22"/>
        </w:rPr>
        <w:t>, mantendo a pena de multa aplicada na sentença.</w:t>
      </w:r>
    </w:p>
    <w:p>
      <w:pPr>
        <w:pStyle w:val="Corpodetexto"/>
        <w:spacing w:lineRule="auto" w:line="276"/>
        <w:ind w:firstLine="1134"/>
        <w:jc w:val="both"/>
        <w:rPr>
          <w:rFonts w:ascii="Palatino Linotype" w:hAnsi="Palatino Linotype"/>
          <w:b/>
          <w:b/>
          <w:bCs/>
          <w:sz w:val="26"/>
          <w:szCs w:val="26"/>
        </w:rPr>
      </w:pPr>
      <w:r>
        <w:rPr>
          <w:rFonts w:ascii="Times New Roman" w:hAnsi="Times New Roman"/>
          <w:sz w:val="22"/>
          <w:szCs w:val="22"/>
        </w:rPr>
        <w:t>Assim, a nova pena final e definitiva do apenado, em relação ao crime de posse ilegal de arma de fogo, inicialmente enquadrado no art. 16 da Lei 10.826/03, e aqui desclassificado para o crime do art. 12 da mesma lei, julgado na ação penal n. 0113701-11.2017.8.20.0001, é de</w:t>
      </w:r>
      <w:r>
        <w:rPr>
          <w:rFonts w:ascii="Times New Roman" w:hAnsi="Times New Roman"/>
          <w:b/>
          <w:bCs/>
          <w:sz w:val="22"/>
          <w:szCs w:val="22"/>
        </w:rPr>
        <w:t xml:space="preserve"> 1 ano de detenção.</w:t>
      </w:r>
    </w:p>
    <w:p>
      <w:pPr>
        <w:pStyle w:val="Corpodetexto"/>
        <w:spacing w:lineRule="auto" w:line="276"/>
        <w:ind w:firstLine="1134"/>
        <w:jc w:val="both"/>
        <w:rPr>
          <w:rFonts w:ascii="Times New Roman" w:hAnsi="Times New Roman"/>
          <w:sz w:val="22"/>
          <w:szCs w:val="22"/>
        </w:rPr>
      </w:pPr>
      <w:r>
        <w:rPr>
          <w:rFonts w:ascii="Times New Roman" w:hAnsi="Times New Roman"/>
          <w:sz w:val="22"/>
          <w:szCs w:val="22"/>
        </w:rPr>
      </w:r>
    </w:p>
    <w:p>
      <w:pPr>
        <w:pStyle w:val="Corpodetexto"/>
        <w:spacing w:lineRule="auto" w:line="276"/>
        <w:ind w:firstLine="1134"/>
        <w:jc w:val="both"/>
        <w:rPr>
          <w:rFonts w:ascii="Palatino Linotype" w:hAnsi="Palatino Linotype"/>
          <w:b/>
          <w:b/>
          <w:bCs/>
          <w:sz w:val="26"/>
          <w:szCs w:val="26"/>
        </w:rPr>
      </w:pPr>
      <w:r>
        <w:rPr>
          <w:rFonts w:ascii="Times New Roman" w:hAnsi="Times New Roman"/>
          <w:sz w:val="22"/>
          <w:szCs w:val="22"/>
        </w:rPr>
        <w:t xml:space="preserve">Ante o exposto, defiro parcialmente o pedido da Defesa e determino à secretaria que retifique a GEP, fazendo constar a pena </w:t>
      </w:r>
      <w:r>
        <w:rPr>
          <w:rFonts w:ascii="Times New Roman" w:hAnsi="Times New Roman"/>
          <w:b/>
          <w:bCs/>
          <w:sz w:val="22"/>
          <w:szCs w:val="22"/>
        </w:rPr>
        <w:t>de 1 ano de detenção</w:t>
      </w:r>
      <w:r>
        <w:rPr>
          <w:rFonts w:ascii="Times New Roman" w:hAnsi="Times New Roman"/>
          <w:sz w:val="22"/>
          <w:szCs w:val="22"/>
        </w:rPr>
        <w:t xml:space="preserve"> em relação ao crime do art. 16, caput, da Lei 10.826/03, aplicada no processo n. 0113701-11.2017.8.20.0001.</w:t>
      </w:r>
      <w:r>
        <w:rPr>
          <w:rFonts w:ascii="Times New Roman" w:hAnsi="Times New Roman"/>
          <w:b/>
          <w:bCs/>
          <w:sz w:val="22"/>
          <w:szCs w:val="22"/>
        </w:rPr>
        <w:t xml:space="preserve"> </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Ficam mantidas todas as outras determinações da sentença condenatória.</w:t>
      </w:r>
    </w:p>
    <w:p>
      <w:pPr>
        <w:pStyle w:val="Corpodetexto"/>
        <w:spacing w:lineRule="auto" w:line="276"/>
        <w:ind w:firstLine="1134"/>
        <w:jc w:val="both"/>
        <w:rPr>
          <w:rFonts w:ascii="Palatino Linotype" w:hAnsi="Palatino Linotype"/>
          <w:sz w:val="26"/>
          <w:szCs w:val="26"/>
        </w:rPr>
      </w:pPr>
      <w:r>
        <w:rPr>
          <w:rFonts w:ascii="Times New Roman" w:hAnsi="Times New Roman"/>
          <w:sz w:val="22"/>
          <w:szCs w:val="22"/>
        </w:rPr>
        <w:t>P.I. Ciência ao MP.</w:t>
      </w:r>
    </w:p>
    <w:p>
      <w:pPr>
        <w:pStyle w:val="Corpodetexto"/>
        <w:spacing w:lineRule="auto" w:line="276"/>
        <w:jc w:val="both"/>
        <w:rPr>
          <w:rFonts w:ascii="Palatino Linotype" w:hAnsi="Palatino Linotype"/>
          <w:sz w:val="26"/>
          <w:szCs w:val="26"/>
        </w:rPr>
      </w:pPr>
      <w:r>
        <w:rPr>
          <w:rFonts w:ascii="Palatino Linotype" w:hAnsi="Palatino Linotype"/>
          <w:sz w:val="26"/>
          <w:szCs w:val="26"/>
        </w:rPr>
      </w:r>
    </w:p>
    <w:p>
      <w:pPr>
        <w:pStyle w:val="Normal"/>
        <w:rPr/>
      </w:pPr>
      <w:r>
        <w:rPr/>
      </w:r>
    </w:p>
    <w:p>
      <w:pPr>
        <w:pStyle w:val="Normal"/>
        <w:widowControl/>
        <w:bidi w:val="0"/>
        <w:spacing w:lineRule="auto" w:line="259" w:before="0" w:after="160"/>
        <w:jc w:val="left"/>
        <w:rPr/>
      </w:pPr>
      <w:r>
        <w:rPr/>
      </w:r>
    </w:p>
    <w:sectPr>
      <w:type w:val="nextPage"/>
      <w:pgSz w:w="11906" w:h="16838"/>
      <w:pgMar w:left="1701" w:right="1701" w:header="0" w:top="1417" w:footer="0" w:bottom="141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Times New Roman">
    <w:altName w:val="serif"/>
    <w:charset w:val="00"/>
    <w:family w:val="auto"/>
    <w:pitch w:val="default"/>
  </w:font>
  <w:font w:name="Times New Roman">
    <w:altName w:val="Times"/>
    <w:charset w:val="00"/>
    <w:family w:val="auto"/>
    <w:pitch w:val="default"/>
  </w:font>
  <w:font w:name="Palatino Linotype">
    <w:charset w:val="00"/>
    <w:family w:val="roman"/>
    <w:pitch w:val="variable"/>
  </w:font>
</w:fonts>
</file>

<file path=word/settings.xml><?xml version="1.0" encoding="utf-8"?>
<w:settings xmlns:w="http://schemas.openxmlformats.org/wordprocessingml/2006/main">
  <w:zoom w:percent="14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pt-BR"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4fc7"/>
    <w:pPr>
      <w:widowControl/>
      <w:bidi w:val="0"/>
      <w:spacing w:lineRule="auto" w:line="259" w:before="0" w:after="160"/>
      <w:jc w:val="left"/>
    </w:pPr>
    <w:rPr>
      <w:rFonts w:ascii="Calibri" w:hAnsi="Calibri" w:eastAsia="Calibri" w:cs="" w:asciiTheme="minorHAnsi" w:cstheme="minorBidi" w:eastAsiaTheme="minorHAnsi" w:hAnsiTheme="minorHAnsi"/>
      <w:color w:val="00000A"/>
      <w:sz w:val="22"/>
      <w:szCs w:val="22"/>
      <w:lang w:val="pt-BR" w:eastAsia="en-US" w:bidi="ar-SA"/>
    </w:rPr>
  </w:style>
  <w:style w:type="character" w:styleId="DefaultParagraphFont" w:default="1">
    <w:name w:val="Default Paragraph Font"/>
    <w:uiPriority w:val="1"/>
    <w:semiHidden/>
    <w:unhideWhenUsed/>
    <w:qFormat/>
    <w:rPr/>
  </w:style>
  <w:style w:type="character" w:styleId="CorpodetextoChar" w:customStyle="1">
    <w:name w:val="Corpo de texto Char"/>
    <w:basedOn w:val="DefaultParagraphFont"/>
    <w:link w:val="Corpodetexto"/>
    <w:qFormat/>
    <w:rsid w:val="00e34fc7"/>
    <w:rPr/>
  </w:style>
  <w:style w:type="paragraph" w:styleId="Ttulo">
    <w:name w:val="Título"/>
    <w:basedOn w:val="Normal"/>
    <w:next w:val="Corpodetexto"/>
    <w:qFormat/>
    <w:pPr>
      <w:keepNext/>
      <w:spacing w:before="240" w:after="120"/>
    </w:pPr>
    <w:rPr>
      <w:rFonts w:ascii="Liberation Sans" w:hAnsi="Liberation Sans" w:eastAsia="Microsoft YaHei" w:cs="Mangal"/>
      <w:sz w:val="28"/>
      <w:szCs w:val="28"/>
    </w:rPr>
  </w:style>
  <w:style w:type="paragraph" w:styleId="Corpodetexto">
    <w:name w:val="Body Text"/>
    <w:basedOn w:val="Normal"/>
    <w:link w:val="CorpodetextoChar"/>
    <w:rsid w:val="00e34fc7"/>
    <w:pPr>
      <w:spacing w:lineRule="auto" w:line="288" w:before="0" w:after="140"/>
    </w:pPr>
    <w:rPr/>
  </w:style>
  <w:style w:type="paragraph" w:styleId="Lista">
    <w:name w:val="List"/>
    <w:basedOn w:val="Corpodetexto"/>
    <w:pPr/>
    <w:rPr>
      <w:rFonts w:cs="Mangal"/>
    </w:rPr>
  </w:style>
  <w:style w:type="paragraph" w:styleId="Legenda">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numbering" w:styleId="NoList" w:default="1">
    <w:name w:val="No List"/>
    <w:uiPriority w:val="99"/>
    <w:semiHidden/>
    <w:unhideWhenUsed/>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Application>LibreOffice/5.3.1.2$Windows_X86_64 LibreOffice_project/e80a0e0fd1875e1696614d24c32df0f95f03deb2</Application>
  <Pages>3</Pages>
  <Words>1294</Words>
  <Characters>6095</Characters>
  <CharactersWithSpaces>7349</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2021-08-24T11:19:00Z</dcterms:created>
  <dc:creator>Francisco Pereira Rocha Júnior</dc:creator>
  <dc:description/>
  <dc:language>pt-BR</dc:language>
  <cp:lastModifiedBy/>
  <dcterms:modified xsi:type="dcterms:W3CDTF">2022-01-10T09:44:59Z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