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Web"/>
        <w:spacing w:before="280" w:after="280"/>
        <w:ind w:firstLine="708"/>
        <w:jc w:val="both"/>
        <w:rPr/>
      </w:pPr>
      <w:r>
        <w:rPr>
          <w:sz w:val="21"/>
          <w:szCs w:val="21"/>
        </w:rPr>
        <w:t>Visto, etc.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 xml:space="preserve">Trata de execução penal movida em desfavor de </w:t>
      </w:r>
      <w:r>
        <w:rPr>
          <w:rStyle w:val="Strong"/>
          <w:sz w:val="21"/>
          <w:szCs w:val="21"/>
        </w:rPr>
        <w:t>Ranie Felipe da Silva</w:t>
      </w:r>
      <w:r>
        <w:rPr>
          <w:sz w:val="21"/>
          <w:szCs w:val="21"/>
        </w:rPr>
        <w:t>, em que o apenado foi regredido provisoriamente para regime prisional fechado em virtude das violações das condições do monitoramento eletrônico, uma vez que deixou a tornozeleira descarregar e, quando contactado pela CEME, não atendeu as ligações telefônicas (ev. 195.1).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>A defesa pediu revisão da medida alegando que as violações verificadas se deram em razão do estado de saúde mental do apenado, uma vez que ele sofreria de transtornos mentais (CID-20,23,28), ocasião em que instruiu o pedido com atestados médicos (ev. 212.3).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>Anoto aqui que o apenado foi avaliado por médico do estabelecimento prisional que atestou o "perfeito estado de saúde física e mental" do apenado, conforme se observa no documento do ev. 101.1.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>Instado a se manifestar em duas ocasiões, primeiramente o Ministério Público deu parecer concordando com a defesa (ev. 216.1) e, por último, pugnou por sua rejeição (ev. 231.1), pontuando que as razões que levaram a regressão provisória do regime prisional deveriam ser discutidas em audiência de justificação.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 xml:space="preserve">Aprazada a audiência, embora devidamente intimado (ev. 239), esta não se realizou em razão da ausência do advogado, que não apresentou qualquer pedido de adiamento ou justificou sua ausência. 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>Relatados.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>O pedido de reconsideração da defesa não merece prosperar, pois, como bem frisou o Ministério Público em seu parecer do evento 231.1, as razões que motivaram a regressão cautelar do regime prisional, bem como possíveis justificativas, poderiam perfeitamente ter sido analisadas durante a audiência de justificação, que só não aconteceu pela ausência do advogado constituído que até o momento não apresentou qualquer justificativa.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>Diante do exposto, indefiro o pedido de reconsideração dos eventos 212 e 228.1, mantendo incólume a decisão do evento 195.1 que regrediu provisoriamente o regime prisional do apenado, o que será revisto após a audiência de justificação.</w:t>
      </w:r>
    </w:p>
    <w:p>
      <w:pPr>
        <w:pStyle w:val="NormalWeb"/>
        <w:pBdr>
          <w:bottom w:val="dotted" w:sz="24" w:space="1" w:color="00000A"/>
        </w:pBdr>
        <w:ind w:firstLine="708"/>
        <w:jc w:val="both"/>
        <w:rPr/>
      </w:pPr>
      <w:r>
        <w:rPr>
          <w:sz w:val="21"/>
          <w:szCs w:val="21"/>
        </w:rPr>
        <w:t>P.R.I, inclua-se o feito em nova pauta de audiências  de justificação.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>Visto, etc.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 xml:space="preserve">Trata-se de execução penal movida em desfavor de </w:t>
      </w:r>
      <w:r>
        <w:rPr>
          <w:rStyle w:val="Strong"/>
          <w:sz w:val="21"/>
          <w:szCs w:val="21"/>
        </w:rPr>
        <w:t>José Marcelo Lucas da Silva</w:t>
      </w:r>
      <w:r>
        <w:rPr>
          <w:sz w:val="21"/>
          <w:szCs w:val="21"/>
        </w:rPr>
        <w:t>, em que sobreveio nova condenação a 09 (nove) anos, 04 (quatro) meses e 22 (vinte e dois) dias de reclusão em regime inicialmente fechado, razão pela qual as penas foram unificadas em 30 (trinta) anos de reclusão (ev. 170.1).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>A defesa pediu a revisão da medida alegando que o reeducando é "trabalhador, tem família e ainda residência fixa" (ev. 174.1), bem como pugnou que, em caso de cumprimento do mandado de prisão, que fosse autorizado a cumprir a pena na APAC de Macau/RN.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>Anoto aqui que a última condenação imposta ao apenado é fruto da prática de roubo qualificado previsto no art. 157, §2º, incisos I e II, do Código Penal, sendo o terceiro crime da espécie praticado por ele.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>Instado a se manifestar o Ministério Público deu parecer contrário ao pedido (ev. 178.1).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>Relatados.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>O pedido de reconsideração da defesa não merece prosperar, pois não se pode modificar o cumprimento de uma pena com a singela alegação de que o apenado é pessoa "de família, trabalhadora, com residência fixa" e "bem-quista" pela comunidade. Se assim fosse, não teria praticado 03 (três) roubos cujas penas somadas totalizam 30 (trinta) anos, 05 (cinco) meses e 29 (vinte e nove) dias de reclusão.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>Quanto ao pedido de cumprimento da pena na APAC de Macaú/RN, compete ao Juízo da 2ª Vara Regional de Execução Penal apreciá-lo, devendo ser peticionado em autos apartados, no meio Corregedoria dos Presídios daquela Vara.</w:t>
      </w:r>
    </w:p>
    <w:p>
      <w:pPr>
        <w:pStyle w:val="NormalWeb"/>
        <w:ind w:firstLine="708"/>
        <w:jc w:val="both"/>
        <w:rPr>
          <w:sz w:val="21"/>
          <w:szCs w:val="21"/>
        </w:rPr>
      </w:pPr>
      <w:r>
        <w:rPr>
          <w:rFonts w:ascii="Times New Roman;serif" w:hAnsi="Times New Roman;serif"/>
          <w:sz w:val="20"/>
          <w:szCs w:val="21"/>
        </w:rPr>
        <w:t>Registro ainda que, caso a parte quisesse se insurgir contra a decisão vergastada, deveria ter apresentar o recurso adequado - agravo em execução - não constituindo o simples pedido de reconsideração em meio adequado de impugnação de decisões.</w:t>
      </w:r>
      <w:r>
        <w:rPr>
          <w:sz w:val="21"/>
          <w:szCs w:val="21"/>
        </w:rPr>
        <w:t xml:space="preserve"> 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>Diante do exposto, indefiro o pedido de reconsideração do evento 174.1, mantendo incólume a decisão do evento 170.1 quanto ao regime inicial de cumprimento da pena.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>P.R.I, voltem-me os autos conclusos para retificação de erro material constante da decisão do ev. 170.1, uma vez que a pena unificada não foi expressada corretamente na decisão.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****************************************</w:t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altName w:val="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9464db"/>
    <w:rPr>
      <w:b/>
      <w:bCs/>
    </w:rPr>
  </w:style>
  <w:style w:type="paragraph" w:styleId="Ttulo">
    <w:name w:val="Título"/>
    <w:basedOn w:val="Normal"/>
    <w:next w:val="Co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e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9464d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LibreOffice/6.0.3.2$Windows_X86_64 LibreOffice_project/8f48d515416608e3a835360314dac7e47fd0b821</Application>
  <Pages>2</Pages>
  <Words>659</Words>
  <Characters>3520</Characters>
  <CharactersWithSpaces>4160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2023-02-08T14:19:00Z</dcterms:created>
  <dc:creator>Fernando Costa</dc:creator>
  <dc:description/>
  <dc:language>pt-BR</dc:language>
  <cp:lastModifiedBy/>
  <dcterms:modified xsi:type="dcterms:W3CDTF">2023-02-13T18:24:05Z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