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etexto"/>
        <w:spacing w:lineRule="auto" w:line="276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ab/>
        <w:t>Trata-se de processo de execução penal em desfavor do apenado acima nominado, em que a Defesa requereu a retificação da GEP, para readequar a pena aplicada nos autos da ação penal de n. 0109854-16.2013.8.20.0106, apenas no que respeita à condenação pelo crime de porte ilegal de arma de fogo de uso restrito, sob a alegação da retroatividade de lei penal benéfica (evento 121.1).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Alegou a Defesa que, na referida ação penal, o réu foi condenado pelo crime de porte ilegal de arma de fogo de uso restrito, previsto no art. 16 da Lei 10.826/03, a uma pena de 4 anos de reclusão.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Alegou que os armamentos apreendidos, após a edição do Decreto 9.847/19, passaram a ser considerados de calibre permitido, atraindo, assim, a incidência do art. 14 da Lei 10.826/03.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Ou seja, para a Defesa, em razão do novo Decreto n. 9.847/19, a conduta imputada ao apenado passou a ser tipificada no art. 14 da Lei 10.826/03, que prevê o crime de porte ilegal de arma de fogo de uso permitido.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evento 124, interveio o Ministério Público opinando pelo deferimento do pedido.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Acrescento ao relatório que o apenado foi absolvido do artigo 16 da lei 10.826/03 na sentença condenatória, tendo sido condenado após apelação do Ministério Público (evento 137.2).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Consta na denúncia (evento 1.17, página 5) e na sentença condenatória (que condenou apenas um dos réus, evento 138) que foram encontradas no cativeiro três armas, sendo um revolver calibre 38 e duas pistolas calibre 9mm, umas delas com numeração suprimida, utilizadas tanto para subtração da vítima quanto para vigilância.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É o relatório. Decido.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 Defesa tem razão apenas em parte.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 início, registro que compete ao juiz da execução penal aplicar a lei penal benéfica, nos termos do art. 66, I, da Lei de Execução Penal.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No entanto, no caso concreto, vejo que o acórdão proferido nos autos da ação penal n. 0109854-16.2013.8.20.0106 em verdade condenou o apenado a uma pena de 4 anos de reclusão pelo cometimento do crime de porte arma de fogo com numeração, marca ou qualquer outro sinal de identificação </w:t>
      </w:r>
      <w:r>
        <w:rPr>
          <w:rFonts w:ascii="Times New Roman" w:hAnsi="Times New Roman"/>
          <w:b/>
          <w:i w:val="false"/>
          <w:caps w:val="false"/>
          <w:smallCaps w:val="false"/>
          <w:sz w:val="22"/>
          <w:szCs w:val="22"/>
        </w:rPr>
        <w:t>raspado, suprimido ou adulterado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, atualmente previsto no art. 16, § 1º, IV, da Lei 10.826/03.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 fato, após o Decreto n. 9.847/19, o armamento citado – considerando apenas o seu calibre - passou a ser enquadrado na categoria dos calibres de uso permitido. Mas isso não se aplica quando essa arma estiver com a numeração, marca ou qualquer outro sinal de identificação raspado, suprimido ou adulterado.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Ou seja, as armas de fogo que passaram a ser consideradas de uso permitido continuam a tipificar o crime de porte ou posse de arma de fogo de uso RESTRITO quando enquadradas nas situações previstas no art. 16, § 1º, IV, da Lei 10.826/03.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Dito de outra forma: portar arma de fogo de uso permitido com numeração raspada configura o crime do art. 16, § 1º, IV, da Lei 10.826/03, que, em sua essência, não sofreu qualquer alteração pelas mudanças feitas na classificação dos calibres perpetradas pelo Decreto n. 9.847/19. 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Dessa forma, o pleito da Defesa para readequação da pena aplicada na sentença citada não procede, permanecendo, para a conduta do apenado, o mesmo enquadramento típico penal.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Ante o exposto, indefiro o pedido para readequar a pena aplicada na ação penal n.0109854-16.2013.8.20.0106.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Ademais, determino a solicitação do PEC nº 0040217-79.2019.8.06.0001 a 1ª Vara de Execução de Fortaleza para fins de unificação das penas.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P.I. Ciência ao MP.</w:t>
      </w:r>
    </w:p>
    <w:p>
      <w:pPr>
        <w:pStyle w:val="Corpodetexto"/>
        <w:spacing w:lineRule="auto" w:line="276" w:before="0" w:after="14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/>
      <w:color w:val="auto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character" w:styleId="CorpodetextoChar">
    <w:name w:val="Corpo de texto Char"/>
    <w:basedOn w:val="DefaultParagraphFont"/>
    <w:qFormat/>
    <w:rPr/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LibreOffice/5.3.1.2$Windows_X86_64 LibreOffice_project/e80a0e0fd1875e1696614d24c32df0f95f03deb2</Application>
  <Pages>2</Pages>
  <Words>567</Words>
  <Characters>2837</Characters>
  <CharactersWithSpaces>3389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2021-07-29T17:10:00Z</dcterms:created>
  <dc:creator>Francisco Pereira Rocha Júnior</dc:creator>
  <dc:description/>
  <dc:language>pt-BR</dc:language>
  <cp:lastModifiedBy/>
  <dcterms:modified xsi:type="dcterms:W3CDTF">2022-01-10T13:07:40Z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