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A051" w14:textId="77777777" w:rsidR="009E32E5" w:rsidRDefault="006A718B">
      <w:pPr>
        <w:pStyle w:val="NormalWeb"/>
        <w:spacing w:before="280" w:after="280"/>
        <w:ind w:firstLine="708"/>
        <w:jc w:val="both"/>
      </w:pPr>
      <w:r>
        <w:rPr>
          <w:sz w:val="21"/>
          <w:szCs w:val="21"/>
        </w:rPr>
        <w:t>Vistos etc.</w:t>
      </w:r>
    </w:p>
    <w:p w14:paraId="2BC91579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 xml:space="preserve">Trata-se de execução de pena de </w:t>
      </w:r>
      <w:r>
        <w:rPr>
          <w:b/>
          <w:bCs/>
          <w:sz w:val="21"/>
          <w:szCs w:val="21"/>
        </w:rPr>
        <w:t>XX</w:t>
      </w:r>
      <w:r>
        <w:rPr>
          <w:sz w:val="21"/>
          <w:szCs w:val="21"/>
        </w:rPr>
        <w:t xml:space="preserve"> de reclusão no regime fechado (ação penal nº</w:t>
      </w:r>
      <w:r>
        <w:t xml:space="preserve"> </w:t>
      </w:r>
      <w:r>
        <w:rPr>
          <w:sz w:val="21"/>
          <w:szCs w:val="21"/>
        </w:rPr>
        <w:t>) imposta a</w:t>
      </w:r>
      <w:r>
        <w:rPr>
          <w:rStyle w:val="Forte"/>
          <w:sz w:val="21"/>
          <w:szCs w:val="21"/>
        </w:rPr>
        <w:t xml:space="preserve"> XXX</w:t>
      </w:r>
      <w:r>
        <w:rPr>
          <w:sz w:val="21"/>
          <w:szCs w:val="21"/>
        </w:rPr>
        <w:t xml:space="preserve">, que agora foi novamente condenado, desta feita a </w:t>
      </w:r>
      <w:r>
        <w:rPr>
          <w:b/>
          <w:bCs/>
          <w:sz w:val="21"/>
          <w:szCs w:val="21"/>
        </w:rPr>
        <w:t>XXX</w:t>
      </w:r>
      <w:r>
        <w:rPr>
          <w:sz w:val="21"/>
          <w:szCs w:val="21"/>
        </w:rPr>
        <w:t xml:space="preserve"> de reclusão no regime fechado, ação penal nº  (evento 1.2).</w:t>
      </w:r>
    </w:p>
    <w:p w14:paraId="5C4998D3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Por oportuno, registro que enquanto a primeira sentença condenatória transitou em julgado, a segunda encontra-se em grau de recurso.</w:t>
      </w:r>
    </w:p>
    <w:p w14:paraId="0E78B6A4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 xml:space="preserve">Anoto que o penitente se encontra custodiado na </w:t>
      </w:r>
      <w:r>
        <w:rPr>
          <w:b/>
          <w:bCs/>
          <w:sz w:val="21"/>
          <w:szCs w:val="21"/>
        </w:rPr>
        <w:t>PEA – Penitenc</w:t>
      </w:r>
      <w:r>
        <w:rPr>
          <w:b/>
          <w:bCs/>
          <w:sz w:val="21"/>
          <w:szCs w:val="21"/>
        </w:rPr>
        <w:t>iária Estadual de Alcaçuz/Cadeia Pública de Ceará-Mirim/ PES – Penitenciária Estadual do Seridó /PERCM - Penitenciária Estadual Rogério Coutinho Madruga</w:t>
      </w:r>
      <w:r>
        <w:rPr>
          <w:sz w:val="21"/>
          <w:szCs w:val="21"/>
        </w:rPr>
        <w:t>, conforme informações do SIAPEN nesta data.</w:t>
      </w:r>
    </w:p>
    <w:p w14:paraId="480358D7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437410D7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Trata-se, na espécie, de concurso material de de</w:t>
      </w:r>
      <w:r>
        <w:rPr>
          <w:sz w:val="21"/>
          <w:szCs w:val="21"/>
        </w:rPr>
        <w:t>litos, não se podendo ter os crimes como continuação entre si, impondo-se a soma das penas.</w:t>
      </w:r>
    </w:p>
    <w:p w14:paraId="56B6CEB0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 xml:space="preserve">Dispõe o art. 111, da Lei de Execução Penal: </w:t>
      </w:r>
    </w:p>
    <w:p w14:paraId="3E2413D3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Art. 111. Quando houver condenação por mais de um crime, no mesmo processo ou em processos distintos, a determinação d</w:t>
      </w:r>
      <w:r>
        <w:rPr>
          <w:sz w:val="21"/>
          <w:szCs w:val="21"/>
        </w:rPr>
        <w:t>o regime de cumprimento será feita pelo resultado da soma ou unificação das penas, observada, quando for o caso, a detração ou remição.</w:t>
      </w:r>
    </w:p>
    <w:p w14:paraId="09194FFC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Parágrafo Único. Sobrevindo condenação no curso da execução, somar-se-á a pena ao restante da que está sendo cumprida, p</w:t>
      </w:r>
      <w:r>
        <w:rPr>
          <w:sz w:val="21"/>
          <w:szCs w:val="21"/>
        </w:rPr>
        <w:t>ara determinação do regime”.</w:t>
      </w:r>
    </w:p>
    <w:p w14:paraId="2B1E3138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Registro que, como a demora no julgamento do novo processo não pode ser debitada ao apenado, a data-base para futuros benefícios deve ser a da ultima falta grave, a do último crime ou do último atingimento ao requisito objetivo</w:t>
      </w:r>
      <w:r>
        <w:rPr>
          <w:sz w:val="21"/>
          <w:szCs w:val="21"/>
        </w:rPr>
        <w:t xml:space="preserve"> para progressão deferida, a que for mais recente. </w:t>
      </w:r>
    </w:p>
    <w:p w14:paraId="4052ED70" w14:textId="77777777" w:rsidR="009E32E5" w:rsidRDefault="006A718B">
      <w:pPr>
        <w:pStyle w:val="NormalWeb"/>
        <w:ind w:firstLine="708"/>
        <w:jc w:val="both"/>
      </w:pPr>
      <w:r>
        <w:rPr>
          <w:sz w:val="21"/>
          <w:szCs w:val="21"/>
        </w:rPr>
        <w:t>Isto posto,</w:t>
      </w:r>
      <w:r>
        <w:rPr>
          <w:rStyle w:val="Forte"/>
          <w:sz w:val="21"/>
          <w:szCs w:val="21"/>
        </w:rPr>
        <w:t xml:space="preserve"> </w:t>
      </w:r>
      <w:r>
        <w:rPr>
          <w:sz w:val="21"/>
          <w:szCs w:val="21"/>
        </w:rPr>
        <w:t>unifico em</w:t>
      </w:r>
      <w:r>
        <w:rPr>
          <w:rStyle w:val="Forte"/>
          <w:sz w:val="21"/>
          <w:szCs w:val="21"/>
        </w:rPr>
        <w:t xml:space="preserve"> XXX de reclusão</w:t>
      </w:r>
      <w:r>
        <w:rPr>
          <w:sz w:val="21"/>
          <w:szCs w:val="21"/>
        </w:rPr>
        <w:t xml:space="preserve"> a pena privativa de liberdade em execução nestes autos, a ser cumprida inicialmente em regime </w:t>
      </w:r>
      <w:r>
        <w:rPr>
          <w:rStyle w:val="Forte"/>
          <w:sz w:val="21"/>
          <w:szCs w:val="21"/>
        </w:rPr>
        <w:t>fechado</w:t>
      </w:r>
      <w:r>
        <w:rPr>
          <w:sz w:val="21"/>
          <w:szCs w:val="21"/>
        </w:rPr>
        <w:t>, face ao saldo de pena e na decisão de regressão de regime.</w:t>
      </w:r>
    </w:p>
    <w:p w14:paraId="6628D12E" w14:textId="52B5BCFA" w:rsidR="009E32E5" w:rsidRDefault="006A718B" w:rsidP="006A718B">
      <w:pPr>
        <w:pStyle w:val="NormalWeb"/>
        <w:ind w:firstLine="708"/>
        <w:jc w:val="both"/>
      </w:pPr>
      <w:r>
        <w:rPr>
          <w:sz w:val="21"/>
          <w:szCs w:val="21"/>
        </w:rPr>
        <w:t>P.R</w:t>
      </w:r>
      <w:r>
        <w:rPr>
          <w:sz w:val="21"/>
          <w:szCs w:val="21"/>
        </w:rPr>
        <w:t>.I. Comunique-se ao estabelecimento prisional e expeça-se a competente Guia de Execução Penal unificadora, com os devidos "lançamentos" no SEEU.</w:t>
      </w:r>
    </w:p>
    <w:sectPr w:rsidR="009E32E5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E5"/>
    <w:rsid w:val="006A718B"/>
    <w:rsid w:val="009E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5B94"/>
  <w15:docId w15:val="{347CC887-9E13-4956-90F2-A7EAAB34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87B9B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887B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dc:description/>
  <cp:lastModifiedBy>Fernando Costa</cp:lastModifiedBy>
  <cp:revision>5</cp:revision>
  <dcterms:created xsi:type="dcterms:W3CDTF">2022-09-20T21:21:00Z</dcterms:created>
  <dcterms:modified xsi:type="dcterms:W3CDTF">2023-04-05T18:13:00Z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