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AD9" w14:textId="77777777" w:rsidR="00DC2DD3" w:rsidRPr="00AC2348" w:rsidRDefault="00DC2DD3" w:rsidP="00DC2DD3">
      <w:pPr>
        <w:pBdr>
          <w:top w:val="nil"/>
          <w:left w:val="nil"/>
          <w:bottom w:val="nil"/>
          <w:right w:val="nil"/>
          <w:between w:val="nil"/>
        </w:pBdr>
        <w:spacing w:after="165"/>
        <w:ind w:firstLine="1416"/>
        <w:rPr>
          <w:rFonts w:ascii="Times New Roman" w:eastAsia="Times New Roman" w:hAnsi="Times New Roman" w:cs="Times New Roman"/>
          <w:color w:val="000000"/>
          <w:sz w:val="21"/>
          <w:szCs w:val="21"/>
        </w:rPr>
      </w:pPr>
      <w:r w:rsidRPr="00AC2348">
        <w:rPr>
          <w:rFonts w:ascii="Times New Roman" w:eastAsia="Times New Roman" w:hAnsi="Times New Roman" w:cs="Times New Roman"/>
          <w:color w:val="000000"/>
          <w:sz w:val="21"/>
          <w:szCs w:val="21"/>
        </w:rPr>
        <w:t>Vistos etc.</w:t>
      </w:r>
    </w:p>
    <w:p w14:paraId="698DD367" w14:textId="77777777" w:rsidR="00DC2DD3" w:rsidRPr="00AC2348" w:rsidRDefault="00DC2DD3" w:rsidP="00DC2DD3">
      <w:pPr>
        <w:pBdr>
          <w:top w:val="nil"/>
          <w:left w:val="nil"/>
          <w:bottom w:val="nil"/>
          <w:right w:val="nil"/>
          <w:between w:val="nil"/>
        </w:pBdr>
        <w:spacing w:after="135" w:line="288" w:lineRule="auto"/>
        <w:ind w:firstLine="1416"/>
        <w:jc w:val="both"/>
        <w:rPr>
          <w:rFonts w:ascii="Times New Roman" w:eastAsia="Times New Roman" w:hAnsi="Times New Roman" w:cs="Times New Roman"/>
          <w:color w:val="000000"/>
          <w:sz w:val="21"/>
          <w:szCs w:val="21"/>
        </w:rPr>
      </w:pPr>
      <w:r w:rsidRPr="00AC2348">
        <w:rPr>
          <w:rFonts w:ascii="Times New Roman" w:eastAsia="Times New Roman" w:hAnsi="Times New Roman" w:cs="Times New Roman"/>
          <w:color w:val="000000"/>
          <w:sz w:val="21"/>
          <w:szCs w:val="21"/>
        </w:rPr>
        <w:t xml:space="preserve">Agrava o apenado da decisão do evento </w:t>
      </w:r>
      <w:bookmarkStart w:id="0" w:name="evento_decisao_anterior"/>
      <w:r>
        <w:rPr>
          <w:rFonts w:ascii="Times New Roman" w:eastAsia="Times New Roman" w:hAnsi="Times New Roman" w:cs="Times New Roman"/>
          <w:color w:val="000000"/>
          <w:sz w:val="21"/>
          <w:szCs w:val="21"/>
        </w:rPr>
        <w:fldChar w:fldCharType="begin"/>
      </w:r>
      <w:r>
        <w:rPr>
          <w:rFonts w:ascii="Times New Roman" w:eastAsia="Times New Roman" w:hAnsi="Times New Roman" w:cs="Times New Roman"/>
          <w:color w:val="000000"/>
          <w:sz w:val="21"/>
          <w:szCs w:val="21"/>
        </w:rPr>
        <w:instrText xml:space="preserve"> FILLIN  "Número do evento da decisão agravada"  \* MERGEFORMAT </w:instrText>
      </w:r>
      <w:r>
        <w:rPr>
          <w:rFonts w:ascii="Times New Roman" w:eastAsia="Times New Roman" w:hAnsi="Times New Roman" w:cs="Times New Roman"/>
          <w:color w:val="000000"/>
          <w:sz w:val="21"/>
          <w:szCs w:val="21"/>
        </w:rPr>
        <w:fldChar w:fldCharType="separate"/>
      </w:r>
      <w:r>
        <w:rPr>
          <w:rFonts w:ascii="Times New Roman" w:eastAsia="Times New Roman" w:hAnsi="Times New Roman" w:cs="Times New Roman"/>
          <w:color w:val="000000"/>
          <w:sz w:val="21"/>
          <w:szCs w:val="21"/>
        </w:rPr>
        <w:t>403.1</w:t>
      </w:r>
      <w:r>
        <w:rPr>
          <w:rFonts w:ascii="Times New Roman" w:eastAsia="Times New Roman" w:hAnsi="Times New Roman" w:cs="Times New Roman"/>
          <w:color w:val="000000"/>
          <w:sz w:val="21"/>
          <w:szCs w:val="21"/>
        </w:rPr>
        <w:fldChar w:fldCharType="end"/>
      </w:r>
      <w:bookmarkEnd w:id="0"/>
      <w:r w:rsidRPr="00AC2348">
        <w:rPr>
          <w:rFonts w:ascii="Times New Roman" w:eastAsia="Times New Roman" w:hAnsi="Times New Roman" w:cs="Times New Roman"/>
          <w:color w:val="000000"/>
          <w:sz w:val="21"/>
          <w:szCs w:val="21"/>
        </w:rPr>
        <w:t xml:space="preserve"> que indeferiu pedido de remição em razão da participação do apenado no ENEM do ano de </w:t>
      </w:r>
      <w:r>
        <w:rPr>
          <w:rFonts w:ascii="Times New Roman" w:eastAsia="Times New Roman" w:hAnsi="Times New Roman" w:cs="Times New Roman"/>
          <w:color w:val="000000"/>
          <w:sz w:val="21"/>
          <w:szCs w:val="21"/>
        </w:rPr>
        <w:fldChar w:fldCharType="begin"/>
      </w:r>
      <w:r>
        <w:rPr>
          <w:rFonts w:ascii="Times New Roman" w:eastAsia="Times New Roman" w:hAnsi="Times New Roman" w:cs="Times New Roman"/>
          <w:color w:val="000000"/>
          <w:sz w:val="21"/>
          <w:szCs w:val="21"/>
        </w:rPr>
        <w:instrText xml:space="preserve"> FILLIN  "Ano do ENEM que o apenado participou"  \* MERGEFORMAT </w:instrText>
      </w:r>
      <w:r>
        <w:rPr>
          <w:rFonts w:ascii="Times New Roman" w:eastAsia="Times New Roman" w:hAnsi="Times New Roman" w:cs="Times New Roman"/>
          <w:color w:val="000000"/>
          <w:sz w:val="21"/>
          <w:szCs w:val="21"/>
        </w:rPr>
        <w:fldChar w:fldCharType="separate"/>
      </w:r>
      <w:r>
        <w:rPr>
          <w:rFonts w:ascii="Times New Roman" w:eastAsia="Times New Roman" w:hAnsi="Times New Roman" w:cs="Times New Roman"/>
          <w:color w:val="000000"/>
          <w:sz w:val="21"/>
          <w:szCs w:val="21"/>
        </w:rPr>
        <w:t>2024</w:t>
      </w:r>
      <w:r>
        <w:rPr>
          <w:rFonts w:ascii="Times New Roman" w:eastAsia="Times New Roman" w:hAnsi="Times New Roman" w:cs="Times New Roman"/>
          <w:color w:val="000000"/>
          <w:sz w:val="21"/>
          <w:szCs w:val="21"/>
        </w:rPr>
        <w:fldChar w:fldCharType="end"/>
      </w:r>
      <w:r w:rsidRPr="00AC2348">
        <w:rPr>
          <w:rFonts w:ascii="Times New Roman" w:eastAsia="Times New Roman" w:hAnsi="Times New Roman" w:cs="Times New Roman"/>
          <w:color w:val="000000"/>
          <w:sz w:val="21"/>
          <w:szCs w:val="21"/>
        </w:rPr>
        <w:t xml:space="preserve"> (evento </w:t>
      </w:r>
      <w:r>
        <w:rPr>
          <w:rFonts w:ascii="Times New Roman" w:eastAsia="Times New Roman" w:hAnsi="Times New Roman" w:cs="Times New Roman"/>
          <w:color w:val="000000"/>
          <w:sz w:val="21"/>
          <w:szCs w:val="21"/>
        </w:rPr>
        <w:fldChar w:fldCharType="begin"/>
      </w:r>
      <w:r>
        <w:rPr>
          <w:rFonts w:ascii="Times New Roman" w:eastAsia="Times New Roman" w:hAnsi="Times New Roman" w:cs="Times New Roman"/>
          <w:color w:val="000000"/>
          <w:sz w:val="21"/>
          <w:szCs w:val="21"/>
        </w:rPr>
        <w:instrText xml:space="preserve"> FILLIN  "Número do evento do recurso"  \* MERGEFORMAT </w:instrText>
      </w:r>
      <w:r>
        <w:rPr>
          <w:rFonts w:ascii="Times New Roman" w:eastAsia="Times New Roman" w:hAnsi="Times New Roman" w:cs="Times New Roman"/>
          <w:color w:val="000000"/>
          <w:sz w:val="21"/>
          <w:szCs w:val="21"/>
        </w:rPr>
        <w:fldChar w:fldCharType="separate"/>
      </w:r>
      <w:r>
        <w:rPr>
          <w:rFonts w:ascii="Times New Roman" w:eastAsia="Times New Roman" w:hAnsi="Times New Roman" w:cs="Times New Roman"/>
          <w:color w:val="000000"/>
          <w:sz w:val="21"/>
          <w:szCs w:val="21"/>
        </w:rPr>
        <w:t>409.1</w:t>
      </w:r>
      <w:r>
        <w:rPr>
          <w:rFonts w:ascii="Times New Roman" w:eastAsia="Times New Roman" w:hAnsi="Times New Roman" w:cs="Times New Roman"/>
          <w:color w:val="000000"/>
          <w:sz w:val="21"/>
          <w:szCs w:val="21"/>
        </w:rPr>
        <w:fldChar w:fldCharType="end"/>
      </w:r>
      <w:r w:rsidRPr="00AC2348">
        <w:rPr>
          <w:rFonts w:ascii="Times New Roman" w:eastAsia="Times New Roman" w:hAnsi="Times New Roman" w:cs="Times New Roman"/>
          <w:color w:val="000000"/>
          <w:sz w:val="21"/>
          <w:szCs w:val="21"/>
        </w:rPr>
        <w:t>).</w:t>
      </w:r>
    </w:p>
    <w:p w14:paraId="00F3F7D4" w14:textId="77777777" w:rsidR="00DC2DD3" w:rsidRPr="00AC2348" w:rsidRDefault="00DC2DD3" w:rsidP="00DC2DD3">
      <w:pPr>
        <w:pBdr>
          <w:top w:val="nil"/>
          <w:left w:val="nil"/>
          <w:bottom w:val="nil"/>
          <w:right w:val="nil"/>
          <w:between w:val="nil"/>
        </w:pBdr>
        <w:spacing w:after="135" w:line="288" w:lineRule="auto"/>
        <w:ind w:firstLine="1416"/>
        <w:jc w:val="both"/>
        <w:rPr>
          <w:rFonts w:ascii="Times New Roman" w:eastAsia="Times New Roman" w:hAnsi="Times New Roman" w:cs="Times New Roman"/>
          <w:color w:val="000000"/>
          <w:sz w:val="21"/>
          <w:szCs w:val="21"/>
        </w:rPr>
      </w:pPr>
      <w:r w:rsidRPr="00AC2348">
        <w:rPr>
          <w:rFonts w:ascii="Times New Roman" w:eastAsia="Times New Roman" w:hAnsi="Times New Roman" w:cs="Times New Roman"/>
          <w:color w:val="000000"/>
          <w:sz w:val="21"/>
          <w:szCs w:val="21"/>
        </w:rPr>
        <w:t xml:space="preserve">Contrarrazões do Ministério Público no evento </w:t>
      </w:r>
      <w:r>
        <w:rPr>
          <w:rFonts w:ascii="Times New Roman" w:eastAsia="Times New Roman" w:hAnsi="Times New Roman" w:cs="Times New Roman"/>
          <w:color w:val="000000"/>
          <w:sz w:val="21"/>
          <w:szCs w:val="21"/>
        </w:rPr>
        <w:fldChar w:fldCharType="begin"/>
      </w:r>
      <w:r>
        <w:rPr>
          <w:rFonts w:ascii="Times New Roman" w:eastAsia="Times New Roman" w:hAnsi="Times New Roman" w:cs="Times New Roman"/>
          <w:color w:val="000000"/>
          <w:sz w:val="21"/>
          <w:szCs w:val="21"/>
        </w:rPr>
        <w:instrText xml:space="preserve"> FILLIN  "Número do evento das contrarrazões do Ministério Público"  \* MERGEFORMAT </w:instrText>
      </w:r>
      <w:r>
        <w:rPr>
          <w:rFonts w:ascii="Times New Roman" w:eastAsia="Times New Roman" w:hAnsi="Times New Roman" w:cs="Times New Roman"/>
          <w:color w:val="000000"/>
          <w:sz w:val="21"/>
          <w:szCs w:val="21"/>
        </w:rPr>
        <w:fldChar w:fldCharType="separate"/>
      </w:r>
      <w:r>
        <w:rPr>
          <w:rFonts w:ascii="Times New Roman" w:eastAsia="Times New Roman" w:hAnsi="Times New Roman" w:cs="Times New Roman"/>
          <w:color w:val="000000"/>
          <w:sz w:val="21"/>
          <w:szCs w:val="21"/>
        </w:rPr>
        <w:t>413.1</w:t>
      </w:r>
      <w:r>
        <w:rPr>
          <w:rFonts w:ascii="Times New Roman" w:eastAsia="Times New Roman" w:hAnsi="Times New Roman" w:cs="Times New Roman"/>
          <w:color w:val="000000"/>
          <w:sz w:val="21"/>
          <w:szCs w:val="21"/>
        </w:rPr>
        <w:fldChar w:fldCharType="end"/>
      </w:r>
      <w:r w:rsidRPr="00AC2348">
        <w:rPr>
          <w:rFonts w:ascii="Times New Roman" w:eastAsia="Times New Roman" w:hAnsi="Times New Roman" w:cs="Times New Roman"/>
          <w:color w:val="000000"/>
          <w:sz w:val="21"/>
          <w:szCs w:val="21"/>
        </w:rPr>
        <w:t>.</w:t>
      </w:r>
    </w:p>
    <w:p w14:paraId="2A773897" w14:textId="77777777" w:rsidR="00DC2DD3" w:rsidRPr="00AC2348" w:rsidRDefault="00DC2DD3" w:rsidP="00DC2DD3">
      <w:pPr>
        <w:pBdr>
          <w:top w:val="nil"/>
          <w:left w:val="nil"/>
          <w:bottom w:val="nil"/>
          <w:right w:val="nil"/>
          <w:between w:val="nil"/>
        </w:pBdr>
        <w:spacing w:after="135" w:line="288" w:lineRule="auto"/>
        <w:ind w:firstLine="1416"/>
        <w:jc w:val="both"/>
        <w:rPr>
          <w:rFonts w:ascii="Times New Roman" w:eastAsia="Times New Roman" w:hAnsi="Times New Roman" w:cs="Times New Roman"/>
          <w:color w:val="000000"/>
          <w:sz w:val="21"/>
          <w:szCs w:val="21"/>
        </w:rPr>
      </w:pPr>
      <w:r w:rsidRPr="00AC2348">
        <w:rPr>
          <w:rFonts w:ascii="Times New Roman" w:eastAsia="Times New Roman" w:hAnsi="Times New Roman" w:cs="Times New Roman"/>
          <w:color w:val="000000"/>
          <w:sz w:val="21"/>
          <w:szCs w:val="21"/>
        </w:rPr>
        <w:t>Relatados.</w:t>
      </w:r>
    </w:p>
    <w:p w14:paraId="3AC2B1A7" w14:textId="77777777" w:rsidR="00DC2DD3" w:rsidRPr="00AC2348" w:rsidRDefault="00DC2DD3" w:rsidP="00DC2DD3">
      <w:pPr>
        <w:pBdr>
          <w:top w:val="nil"/>
          <w:left w:val="nil"/>
          <w:bottom w:val="nil"/>
          <w:right w:val="nil"/>
          <w:between w:val="nil"/>
        </w:pBdr>
        <w:spacing w:after="135" w:line="288" w:lineRule="auto"/>
        <w:ind w:firstLine="1416"/>
        <w:jc w:val="both"/>
        <w:rPr>
          <w:rFonts w:ascii="Times New Roman" w:eastAsia="Times New Roman" w:hAnsi="Times New Roman" w:cs="Times New Roman"/>
          <w:color w:val="000000"/>
          <w:sz w:val="21"/>
          <w:szCs w:val="21"/>
        </w:rPr>
      </w:pPr>
      <w:r w:rsidRPr="00AC2348">
        <w:rPr>
          <w:rFonts w:ascii="Times New Roman" w:eastAsia="Times New Roman" w:hAnsi="Times New Roman" w:cs="Times New Roman"/>
          <w:color w:val="000000"/>
          <w:sz w:val="21"/>
          <w:szCs w:val="21"/>
        </w:rPr>
        <w:t>Sem razão o agravante, pois conforme consignado na decisão agravada, o Exame Nacional do Ensino Médio - ENEM, desde 2017 não mais certifica os conhecimentos do ensino médio. Precedentes do STJ:</w:t>
      </w:r>
    </w:p>
    <w:p w14:paraId="5A262CDE" w14:textId="77777777" w:rsidR="00DC2DD3" w:rsidRPr="00AC2348" w:rsidRDefault="00DC2DD3" w:rsidP="00DC2DD3">
      <w:pPr>
        <w:pBdr>
          <w:top w:val="nil"/>
          <w:left w:val="nil"/>
          <w:bottom w:val="nil"/>
          <w:right w:val="nil"/>
          <w:between w:val="nil"/>
        </w:pBdr>
        <w:spacing w:after="140" w:line="288" w:lineRule="auto"/>
        <w:ind w:left="2126"/>
        <w:jc w:val="both"/>
        <w:rPr>
          <w:rFonts w:ascii="Times New Roman" w:eastAsia="Times New Roman" w:hAnsi="Times New Roman" w:cs="Times New Roman"/>
          <w:i/>
          <w:color w:val="000000"/>
          <w:sz w:val="21"/>
          <w:szCs w:val="21"/>
        </w:rPr>
      </w:pPr>
      <w:r w:rsidRPr="00AC2348">
        <w:rPr>
          <w:rFonts w:ascii="Times New Roman" w:eastAsia="Times New Roman" w:hAnsi="Times New Roman" w:cs="Times New Roman"/>
          <w:i/>
          <w:color w:val="000000"/>
          <w:sz w:val="21"/>
          <w:szCs w:val="21"/>
        </w:rPr>
        <w:t xml:space="preserve">AGRAVO REGIMENTAL EM EMBARGOS DE DECLARAÇÃO EM RECURSO EM HABEAS CORPUS. EXECUÇÃO PENAL. REMIÇÃO DA PENA PELO ESTUDO. APROVAÇÃO PARCIAL NO ENEM. INCIDÊNCIA DA RECOMENDAÇÃO N. 44/2013 DO CNJ E DA RESOLUÇÃO N. 3/2010 DO CNE. IMPOSSIBILIDADE. AUSÊNCIA DE PREVISÃO DE CERTIFICAÇÃO PELO EXAME. PRECEDENTE DA SEXTA TURMA. SEM PEDIDO LIMINAR. PARECER PELO NÃO CONHECIMENTO DO RECURSO. ILEGALIDADE MANIFESTA NÃO EVIDENCIADA. PARECER ACOLHIDO. RECURSO IMPROVIDO. ALEGAÇÃO DE OMISSÃO. AUSÊNCIA. MERO INCONFORMISMO. ALEGAÇÃO IMPROCEDENTE. EMBARGOS DE DECLARAÇÃO REJEITADOS. ILEGALIDADE MANIFESTA NÃO EVIDENCIADA. INCONFORMISMO COM DECISÃO HOSTILIZADA. TENTATIVA DE REDISCUSSÃO DA MATÉRIA ENFRENTADA MONOCRATICAMENTE. IMPOSSIBILIDADE. 1. No caso, a decisão agravada deve ser mantida, uma vez que a pretensão recursal é improcedente, pois </w:t>
      </w:r>
      <w:r w:rsidRPr="00AC2348">
        <w:rPr>
          <w:rFonts w:ascii="Times New Roman" w:eastAsia="Times New Roman" w:hAnsi="Times New Roman" w:cs="Times New Roman"/>
          <w:i/>
          <w:color w:val="000000"/>
          <w:sz w:val="21"/>
          <w:szCs w:val="21"/>
          <w:u w:val="single"/>
        </w:rPr>
        <w:t>o Exame Nacional do Ensino Médio - Enem deixou de ser utilizado para certificação de conclusão do curso a partir 2017. Atualmente, é aproveitado somente com o objetivo de avaliar o desempenho dos estudantes e como critério de seleção para os que pretendem ingressar no ensino superior. Realizar as provas do Enem não demonstra acréscimo de habilidades do ensino médio por dedicação própria</w:t>
      </w:r>
      <w:r w:rsidRPr="00AC2348">
        <w:rPr>
          <w:rFonts w:ascii="Times New Roman" w:eastAsia="Times New Roman" w:hAnsi="Times New Roman" w:cs="Times New Roman"/>
          <w:i/>
          <w:color w:val="000000"/>
          <w:sz w:val="21"/>
          <w:szCs w:val="21"/>
        </w:rPr>
        <w:t xml:space="preserve"> (</w:t>
      </w:r>
      <w:proofErr w:type="spellStart"/>
      <w:r w:rsidRPr="00AC2348">
        <w:rPr>
          <w:rFonts w:ascii="Times New Roman" w:eastAsia="Times New Roman" w:hAnsi="Times New Roman" w:cs="Times New Roman"/>
          <w:i/>
          <w:color w:val="000000"/>
          <w:sz w:val="21"/>
          <w:szCs w:val="21"/>
        </w:rPr>
        <w:t>EDcl</w:t>
      </w:r>
      <w:proofErr w:type="spellEnd"/>
      <w:r w:rsidRPr="00AC2348">
        <w:rPr>
          <w:rFonts w:ascii="Times New Roman" w:eastAsia="Times New Roman" w:hAnsi="Times New Roman" w:cs="Times New Roman"/>
          <w:i/>
          <w:color w:val="000000"/>
          <w:sz w:val="21"/>
          <w:szCs w:val="21"/>
        </w:rPr>
        <w:t xml:space="preserve"> no HC n. 716.072/SP, Ministro Rogerio </w:t>
      </w:r>
      <w:proofErr w:type="spellStart"/>
      <w:r w:rsidRPr="00AC2348">
        <w:rPr>
          <w:rFonts w:ascii="Times New Roman" w:eastAsia="Times New Roman" w:hAnsi="Times New Roman" w:cs="Times New Roman"/>
          <w:i/>
          <w:color w:val="000000"/>
          <w:sz w:val="21"/>
          <w:szCs w:val="21"/>
        </w:rPr>
        <w:t>Schietti</w:t>
      </w:r>
      <w:proofErr w:type="spellEnd"/>
      <w:r w:rsidRPr="00AC2348">
        <w:rPr>
          <w:rFonts w:ascii="Times New Roman" w:eastAsia="Times New Roman" w:hAnsi="Times New Roman" w:cs="Times New Roman"/>
          <w:i/>
          <w:color w:val="000000"/>
          <w:sz w:val="21"/>
          <w:szCs w:val="21"/>
        </w:rPr>
        <w:t xml:space="preserve"> Cruz, Sexta Turma, </w:t>
      </w:r>
      <w:proofErr w:type="spellStart"/>
      <w:r w:rsidRPr="00AC2348">
        <w:rPr>
          <w:rFonts w:ascii="Times New Roman" w:eastAsia="Times New Roman" w:hAnsi="Times New Roman" w:cs="Times New Roman"/>
          <w:i/>
          <w:color w:val="000000"/>
          <w:sz w:val="21"/>
          <w:szCs w:val="21"/>
        </w:rPr>
        <w:t>DJe</w:t>
      </w:r>
      <w:proofErr w:type="spellEnd"/>
      <w:r w:rsidRPr="00AC2348">
        <w:rPr>
          <w:rFonts w:ascii="Times New Roman" w:eastAsia="Times New Roman" w:hAnsi="Times New Roman" w:cs="Times New Roman"/>
          <w:i/>
          <w:color w:val="000000"/>
          <w:sz w:val="21"/>
          <w:szCs w:val="21"/>
        </w:rPr>
        <w:t xml:space="preserve"> 28/3/2022). 2. Agravo regimental improvido. (</w:t>
      </w:r>
      <w:proofErr w:type="spellStart"/>
      <w:r w:rsidRPr="00AC2348">
        <w:rPr>
          <w:rFonts w:ascii="Times New Roman" w:eastAsia="Times New Roman" w:hAnsi="Times New Roman" w:cs="Times New Roman"/>
          <w:i/>
          <w:color w:val="000000"/>
          <w:sz w:val="21"/>
          <w:szCs w:val="21"/>
        </w:rPr>
        <w:t>AgRg</w:t>
      </w:r>
      <w:proofErr w:type="spellEnd"/>
      <w:r w:rsidRPr="00AC2348">
        <w:rPr>
          <w:rFonts w:ascii="Times New Roman" w:eastAsia="Times New Roman" w:hAnsi="Times New Roman" w:cs="Times New Roman"/>
          <w:i/>
          <w:color w:val="000000"/>
          <w:sz w:val="21"/>
          <w:szCs w:val="21"/>
        </w:rPr>
        <w:t xml:space="preserve"> nos </w:t>
      </w:r>
      <w:proofErr w:type="spellStart"/>
      <w:r w:rsidRPr="00AC2348">
        <w:rPr>
          <w:rFonts w:ascii="Times New Roman" w:eastAsia="Times New Roman" w:hAnsi="Times New Roman" w:cs="Times New Roman"/>
          <w:i/>
          <w:color w:val="000000"/>
          <w:sz w:val="21"/>
          <w:szCs w:val="21"/>
        </w:rPr>
        <w:t>EDcl</w:t>
      </w:r>
      <w:proofErr w:type="spellEnd"/>
      <w:r w:rsidRPr="00AC2348">
        <w:rPr>
          <w:rFonts w:ascii="Times New Roman" w:eastAsia="Times New Roman" w:hAnsi="Times New Roman" w:cs="Times New Roman"/>
          <w:i/>
          <w:color w:val="000000"/>
          <w:sz w:val="21"/>
          <w:szCs w:val="21"/>
        </w:rPr>
        <w:t xml:space="preserve"> no RHC n. 162.574/SC, relator Ministro Sebastião Reis Júnior, Sexta Turma, julgado em 14/6/2022, </w:t>
      </w:r>
      <w:proofErr w:type="spellStart"/>
      <w:r w:rsidRPr="00AC2348">
        <w:rPr>
          <w:rFonts w:ascii="Times New Roman" w:eastAsia="Times New Roman" w:hAnsi="Times New Roman" w:cs="Times New Roman"/>
          <w:i/>
          <w:color w:val="000000"/>
          <w:sz w:val="21"/>
          <w:szCs w:val="21"/>
        </w:rPr>
        <w:t>DJe</w:t>
      </w:r>
      <w:proofErr w:type="spellEnd"/>
      <w:r w:rsidRPr="00AC2348">
        <w:rPr>
          <w:rFonts w:ascii="Times New Roman" w:eastAsia="Times New Roman" w:hAnsi="Times New Roman" w:cs="Times New Roman"/>
          <w:i/>
          <w:color w:val="000000"/>
          <w:sz w:val="21"/>
          <w:szCs w:val="21"/>
        </w:rPr>
        <w:t xml:space="preserve"> de 23/6/2022.)</w:t>
      </w:r>
    </w:p>
    <w:p w14:paraId="0594370A" w14:textId="77777777" w:rsidR="00DC2DD3" w:rsidRDefault="00DC2DD3" w:rsidP="00DC2DD3">
      <w:pPr>
        <w:spacing w:before="280" w:after="165"/>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Ademais, embora ciente que</w:t>
      </w:r>
      <w:r w:rsidRPr="00A3336E">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o Superior Tribunal de Justiça tenha admitido</w:t>
      </w:r>
      <w:r w:rsidRPr="00A3336E">
        <w:rPr>
          <w:rFonts w:ascii="Times New Roman" w:eastAsia="Times New Roman" w:hAnsi="Times New Roman" w:cs="Times New Roman"/>
          <w:sz w:val="21"/>
          <w:szCs w:val="21"/>
        </w:rPr>
        <w:t xml:space="preserve"> a remição pelo ENEM mesmo após conclusão prévia do ensino médio </w:t>
      </w:r>
      <w:r>
        <w:rPr>
          <w:rFonts w:ascii="Times New Roman" w:eastAsia="Times New Roman" w:hAnsi="Times New Roman" w:cs="Times New Roman"/>
          <w:sz w:val="21"/>
          <w:szCs w:val="21"/>
        </w:rPr>
        <w:t>e também o TJRN admita em alguns casos isolados, há de se vislumbrar que</w:t>
      </w:r>
      <w:r w:rsidRPr="00A3336E">
        <w:rPr>
          <w:rFonts w:ascii="Times New Roman" w:eastAsia="Times New Roman" w:hAnsi="Times New Roman" w:cs="Times New Roman"/>
          <w:sz w:val="21"/>
          <w:szCs w:val="21"/>
        </w:rPr>
        <w:t xml:space="preserve"> tal entendimento: </w:t>
      </w:r>
      <w:r w:rsidRPr="00A3336E">
        <w:rPr>
          <w:rFonts w:ascii="Times New Roman" w:eastAsia="Times New Roman" w:hAnsi="Times New Roman" w:cs="Times New Roman"/>
          <w:b/>
          <w:bCs/>
          <w:sz w:val="21"/>
          <w:szCs w:val="21"/>
        </w:rPr>
        <w:t>(i)</w:t>
      </w:r>
      <w:r w:rsidRPr="00A3336E">
        <w:rPr>
          <w:rFonts w:ascii="Times New Roman" w:eastAsia="Times New Roman" w:hAnsi="Times New Roman" w:cs="Times New Roman"/>
          <w:sz w:val="21"/>
          <w:szCs w:val="21"/>
        </w:rPr>
        <w:t xml:space="preserve"> não vincula este juízo; </w:t>
      </w:r>
      <w:r w:rsidRPr="00A3336E">
        <w:rPr>
          <w:rFonts w:ascii="Times New Roman" w:eastAsia="Times New Roman" w:hAnsi="Times New Roman" w:cs="Times New Roman"/>
          <w:b/>
          <w:bCs/>
          <w:sz w:val="21"/>
          <w:szCs w:val="21"/>
        </w:rPr>
        <w:t>(</w:t>
      </w:r>
      <w:proofErr w:type="spellStart"/>
      <w:r w:rsidRPr="00A3336E">
        <w:rPr>
          <w:rFonts w:ascii="Times New Roman" w:eastAsia="Times New Roman" w:hAnsi="Times New Roman" w:cs="Times New Roman"/>
          <w:b/>
          <w:bCs/>
          <w:sz w:val="21"/>
          <w:szCs w:val="21"/>
        </w:rPr>
        <w:t>ii</w:t>
      </w:r>
      <w:proofErr w:type="spellEnd"/>
      <w:r w:rsidRPr="00A3336E">
        <w:rPr>
          <w:rFonts w:ascii="Times New Roman" w:eastAsia="Times New Roman" w:hAnsi="Times New Roman" w:cs="Times New Roman"/>
          <w:b/>
          <w:bCs/>
          <w:sz w:val="21"/>
          <w:szCs w:val="21"/>
        </w:rPr>
        <w:t>)</w:t>
      </w:r>
      <w:r w:rsidRPr="00A3336E">
        <w:rPr>
          <w:rFonts w:ascii="Times New Roman" w:eastAsia="Times New Roman" w:hAnsi="Times New Roman" w:cs="Times New Roman"/>
          <w:sz w:val="21"/>
          <w:szCs w:val="21"/>
        </w:rPr>
        <w:t xml:space="preserve"> conflita com a impossibilidade de certificação pelo ENEM desde 2017; e </w:t>
      </w:r>
      <w:r w:rsidRPr="00A3336E">
        <w:rPr>
          <w:rFonts w:ascii="Times New Roman" w:eastAsia="Times New Roman" w:hAnsi="Times New Roman" w:cs="Times New Roman"/>
          <w:b/>
          <w:bCs/>
          <w:sz w:val="21"/>
          <w:szCs w:val="21"/>
        </w:rPr>
        <w:t>(</w:t>
      </w:r>
      <w:proofErr w:type="spellStart"/>
      <w:r w:rsidRPr="00A3336E">
        <w:rPr>
          <w:rFonts w:ascii="Times New Roman" w:eastAsia="Times New Roman" w:hAnsi="Times New Roman" w:cs="Times New Roman"/>
          <w:b/>
          <w:bCs/>
          <w:sz w:val="21"/>
          <w:szCs w:val="21"/>
        </w:rPr>
        <w:t>iii</w:t>
      </w:r>
      <w:proofErr w:type="spellEnd"/>
      <w:r w:rsidRPr="00A3336E">
        <w:rPr>
          <w:rFonts w:ascii="Times New Roman" w:eastAsia="Times New Roman" w:hAnsi="Times New Roman" w:cs="Times New Roman"/>
          <w:b/>
          <w:bCs/>
          <w:sz w:val="21"/>
          <w:szCs w:val="21"/>
        </w:rPr>
        <w:t>)</w:t>
      </w:r>
      <w:r w:rsidRPr="00A3336E">
        <w:rPr>
          <w:rFonts w:ascii="Times New Roman" w:eastAsia="Times New Roman" w:hAnsi="Times New Roman" w:cs="Times New Roman"/>
          <w:sz w:val="21"/>
          <w:szCs w:val="21"/>
        </w:rPr>
        <w:t xml:space="preserve"> possibilita distorções como concessão anual indiscriminada de remição e aprovações parciais reiteradas</w:t>
      </w:r>
      <w:r>
        <w:rPr>
          <w:rFonts w:ascii="Times New Roman" w:eastAsia="Times New Roman" w:hAnsi="Times New Roman" w:cs="Times New Roman"/>
          <w:sz w:val="21"/>
          <w:szCs w:val="21"/>
        </w:rPr>
        <w:t>.</w:t>
      </w:r>
    </w:p>
    <w:p w14:paraId="22102DD0" w14:textId="77777777" w:rsidR="00DC2DD3" w:rsidRDefault="00DC2DD3" w:rsidP="00DC2DD3">
      <w:pPr>
        <w:spacing w:before="280" w:after="165"/>
        <w:ind w:firstLine="1418"/>
        <w:jc w:val="both"/>
        <w:rPr>
          <w:rFonts w:ascii="Times New Roman" w:eastAsia="Times New Roman" w:hAnsi="Times New Roman" w:cs="Times New Roman"/>
          <w:color w:val="000000"/>
          <w:sz w:val="21"/>
          <w:szCs w:val="21"/>
        </w:rPr>
      </w:pPr>
      <w:r>
        <w:rPr>
          <w:rFonts w:ascii="Times New Roman" w:eastAsia="Times New Roman" w:hAnsi="Times New Roman" w:cs="Times New Roman"/>
          <w:sz w:val="21"/>
          <w:szCs w:val="21"/>
        </w:rPr>
        <w:t>Frise-se, inclusive, que resta evidente que o Superior Tribunal de Justiça ainda não definiu a situação, que aguarda o julgamento do Tema Repetitivo nº 1.270, o que sugere divergência naquela Corte, permanecendo a posição consolidada no Supremo Tribunal Federal, pela não concessão de remição em tal hipótese</w:t>
      </w:r>
      <w:r w:rsidRPr="00A3336E">
        <w:rPr>
          <w:rFonts w:ascii="Times New Roman" w:eastAsia="Times New Roman" w:hAnsi="Times New Roman" w:cs="Times New Roman"/>
          <w:sz w:val="21"/>
          <w:szCs w:val="21"/>
        </w:rPr>
        <w:t>.</w:t>
      </w:r>
    </w:p>
    <w:p w14:paraId="61BA3A5C" w14:textId="77777777" w:rsidR="00DC2DD3" w:rsidRPr="00AC2348" w:rsidRDefault="00DC2DD3" w:rsidP="00DC2DD3">
      <w:pPr>
        <w:pBdr>
          <w:top w:val="nil"/>
          <w:left w:val="nil"/>
          <w:bottom w:val="nil"/>
          <w:right w:val="nil"/>
          <w:between w:val="nil"/>
        </w:pBdr>
        <w:spacing w:after="135" w:line="288" w:lineRule="auto"/>
        <w:ind w:firstLine="1416"/>
        <w:jc w:val="both"/>
        <w:rPr>
          <w:rFonts w:ascii="Times New Roman" w:eastAsia="Times New Roman" w:hAnsi="Times New Roman" w:cs="Times New Roman"/>
          <w:color w:val="000000"/>
          <w:sz w:val="21"/>
          <w:szCs w:val="21"/>
        </w:rPr>
      </w:pPr>
      <w:r w:rsidRPr="00AC2348">
        <w:rPr>
          <w:rFonts w:ascii="Times New Roman" w:eastAsia="Times New Roman" w:hAnsi="Times New Roman" w:cs="Times New Roman"/>
          <w:color w:val="000000"/>
          <w:sz w:val="21"/>
          <w:szCs w:val="21"/>
        </w:rPr>
        <w:t xml:space="preserve">Em assim sendo, por seus próprios fundamentos, mantenho a decisão do evento </w:t>
      </w:r>
      <w:r>
        <w:rPr>
          <w:rFonts w:ascii="Times New Roman" w:eastAsia="Times New Roman" w:hAnsi="Times New Roman" w:cs="Times New Roman"/>
          <w:color w:val="000000"/>
          <w:sz w:val="21"/>
          <w:szCs w:val="21"/>
        </w:rPr>
        <w:fldChar w:fldCharType="begin"/>
      </w:r>
      <w:r>
        <w:rPr>
          <w:rFonts w:ascii="Times New Roman" w:eastAsia="Times New Roman" w:hAnsi="Times New Roman" w:cs="Times New Roman"/>
          <w:color w:val="000000"/>
          <w:sz w:val="21"/>
          <w:szCs w:val="21"/>
        </w:rPr>
        <w:instrText xml:space="preserve"> REF  evento_decisao_anterior </w:instrText>
      </w:r>
      <w:r>
        <w:rPr>
          <w:rFonts w:ascii="Times New Roman" w:eastAsia="Times New Roman" w:hAnsi="Times New Roman" w:cs="Times New Roman"/>
          <w:color w:val="000000"/>
          <w:sz w:val="21"/>
          <w:szCs w:val="21"/>
        </w:rPr>
        <w:fldChar w:fldCharType="separate"/>
      </w:r>
      <w:r>
        <w:rPr>
          <w:rFonts w:ascii="Times New Roman" w:eastAsia="Times New Roman" w:hAnsi="Times New Roman" w:cs="Times New Roman"/>
          <w:color w:val="000000"/>
          <w:sz w:val="21"/>
          <w:szCs w:val="21"/>
        </w:rPr>
        <w:t>403.1</w:t>
      </w:r>
      <w:r>
        <w:rPr>
          <w:rFonts w:ascii="Times New Roman" w:eastAsia="Times New Roman" w:hAnsi="Times New Roman" w:cs="Times New Roman"/>
          <w:color w:val="000000"/>
          <w:sz w:val="21"/>
          <w:szCs w:val="21"/>
        </w:rPr>
        <w:fldChar w:fldCharType="end"/>
      </w:r>
      <w:r w:rsidRPr="00AC2348">
        <w:rPr>
          <w:rFonts w:ascii="Times New Roman" w:eastAsia="Times New Roman" w:hAnsi="Times New Roman" w:cs="Times New Roman"/>
          <w:color w:val="000000"/>
          <w:sz w:val="21"/>
          <w:szCs w:val="21"/>
        </w:rPr>
        <w:t>.</w:t>
      </w:r>
    </w:p>
    <w:p w14:paraId="405DC54C" w14:textId="77777777" w:rsidR="00DC2DD3" w:rsidRPr="00AC2348" w:rsidRDefault="00DC2DD3" w:rsidP="00DC2DD3">
      <w:pPr>
        <w:pBdr>
          <w:top w:val="nil"/>
          <w:left w:val="nil"/>
          <w:bottom w:val="nil"/>
          <w:right w:val="nil"/>
          <w:between w:val="nil"/>
        </w:pBdr>
        <w:spacing w:after="135" w:line="288" w:lineRule="auto"/>
        <w:ind w:firstLine="1416"/>
        <w:jc w:val="both"/>
        <w:rPr>
          <w:rFonts w:ascii="Times New Roman" w:eastAsia="Times New Roman" w:hAnsi="Times New Roman" w:cs="Times New Roman"/>
          <w:color w:val="000000"/>
          <w:sz w:val="21"/>
          <w:szCs w:val="21"/>
        </w:rPr>
      </w:pPr>
      <w:r w:rsidRPr="00AC2348">
        <w:rPr>
          <w:rFonts w:ascii="Times New Roman" w:eastAsia="Times New Roman" w:hAnsi="Times New Roman" w:cs="Times New Roman"/>
          <w:color w:val="000000"/>
          <w:sz w:val="21"/>
          <w:szCs w:val="21"/>
        </w:rPr>
        <w:lastRenderedPageBreak/>
        <w:t xml:space="preserve">P. R. I. Intime-se o agravante para, nos termos o art. 2º, I, da Portaria nº 316-TJRN, de 29.05.2020, selecionar e gravar os arquivos das peças necessárias à formação do instrumento de agravo, que deverá protocolar diretamente no </w:t>
      </w:r>
      <w:proofErr w:type="spellStart"/>
      <w:r w:rsidRPr="00AC2348">
        <w:rPr>
          <w:rFonts w:ascii="Times New Roman" w:eastAsia="Times New Roman" w:hAnsi="Times New Roman" w:cs="Times New Roman"/>
          <w:color w:val="000000"/>
          <w:sz w:val="21"/>
          <w:szCs w:val="21"/>
        </w:rPr>
        <w:t>PJe</w:t>
      </w:r>
      <w:proofErr w:type="spellEnd"/>
      <w:r w:rsidRPr="00AC2348">
        <w:rPr>
          <w:rFonts w:ascii="Times New Roman" w:eastAsia="Times New Roman" w:hAnsi="Times New Roman" w:cs="Times New Roman"/>
          <w:color w:val="000000"/>
          <w:sz w:val="21"/>
          <w:szCs w:val="21"/>
        </w:rPr>
        <w:t xml:space="preserve"> de 2º grau.</w:t>
      </w:r>
    </w:p>
    <w:p w14:paraId="77FA85E6" w14:textId="77777777" w:rsidR="00DC2DD3" w:rsidRDefault="00DC2DD3"/>
    <w:sectPr w:rsidR="00DC2DD3" w:rsidSect="00DC2DD3">
      <w:headerReference w:type="default" r:id="rId7"/>
      <w:headerReference w:type="first" r:id="rId8"/>
      <w:pgSz w:w="11906" w:h="16838"/>
      <w:pgMar w:top="1244" w:right="1134" w:bottom="1134" w:left="1134"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F0716" w14:textId="77777777" w:rsidR="004A56D4" w:rsidRDefault="004A56D4" w:rsidP="00C64769">
      <w:pPr>
        <w:rPr>
          <w:rFonts w:hint="eastAsia"/>
        </w:rPr>
      </w:pPr>
      <w:r>
        <w:separator/>
      </w:r>
    </w:p>
  </w:endnote>
  <w:endnote w:type="continuationSeparator" w:id="0">
    <w:p w14:paraId="056A0A2C" w14:textId="77777777" w:rsidR="004A56D4" w:rsidRDefault="004A56D4" w:rsidP="00C647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EA69C" w14:textId="77777777" w:rsidR="004A56D4" w:rsidRDefault="004A56D4" w:rsidP="00C64769">
      <w:pPr>
        <w:rPr>
          <w:rFonts w:hint="eastAsia"/>
        </w:rPr>
      </w:pPr>
      <w:r>
        <w:separator/>
      </w:r>
    </w:p>
  </w:footnote>
  <w:footnote w:type="continuationSeparator" w:id="0">
    <w:p w14:paraId="59125592" w14:textId="77777777" w:rsidR="004A56D4" w:rsidRDefault="004A56D4" w:rsidP="00C6476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2294E" w14:textId="77777777" w:rsidR="00000000" w:rsidRDefault="00000000">
    <w:pPr>
      <w:jc w:val="center"/>
      <w:rPr>
        <w:rFonts w:ascii="Arial" w:eastAsia="Arial" w:hAnsi="Arial"/>
        <w:color w:val="5B9BD5"/>
        <w:sz w:val="80"/>
        <w:szCs w:val="80"/>
      </w:rPr>
    </w:pPr>
  </w:p>
  <w:p w14:paraId="7D17485C" w14:textId="77777777" w:rsidR="00000000" w:rsidRDefault="00000000">
    <w:pPr>
      <w:pBdr>
        <w:top w:val="nil"/>
        <w:left w:val="nil"/>
        <w:bottom w:val="nil"/>
        <w:right w:val="nil"/>
        <w:between w:val="nil"/>
      </w:pBdr>
      <w:tabs>
        <w:tab w:val="center" w:pos="4252"/>
        <w:tab w:val="right" w:pos="8504"/>
      </w:tabs>
      <w:rPr>
        <w:rFonts w:eastAsia="Liberation Serif" w:cs="Liberation Serif"/>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21E3" w14:textId="77777777" w:rsidR="00000000" w:rsidRDefault="00000000">
    <w:pPr>
      <w:pBdr>
        <w:top w:val="nil"/>
        <w:left w:val="nil"/>
        <w:bottom w:val="nil"/>
        <w:right w:val="nil"/>
        <w:between w:val="nil"/>
      </w:pBdr>
      <w:tabs>
        <w:tab w:val="center" w:pos="4252"/>
        <w:tab w:val="right" w:pos="8504"/>
      </w:tabs>
      <w:rPr>
        <w:rFonts w:eastAsia="Liberation Serif" w:cs="Liberation Serif"/>
        <w:color w:val="000000"/>
      </w:rPr>
    </w:pPr>
  </w:p>
  <w:p w14:paraId="7C36CFFD" w14:textId="77777777" w:rsidR="00000000" w:rsidRDefault="00000000">
    <w:pPr>
      <w:pBdr>
        <w:top w:val="nil"/>
        <w:left w:val="nil"/>
        <w:bottom w:val="nil"/>
        <w:right w:val="nil"/>
        <w:between w:val="nil"/>
      </w:pBdr>
      <w:tabs>
        <w:tab w:val="center" w:pos="4252"/>
        <w:tab w:val="right" w:pos="8504"/>
      </w:tabs>
      <w:rPr>
        <w:rFonts w:eastAsia="Liberation Serif" w:cs="Liberation Serif"/>
        <w:color w:val="000000"/>
      </w:rPr>
    </w:pPr>
  </w:p>
  <w:p w14:paraId="5DD60489" w14:textId="3C64558B" w:rsidR="00000000" w:rsidRDefault="00C64769">
    <w:pPr>
      <w:pBdr>
        <w:top w:val="nil"/>
        <w:left w:val="nil"/>
        <w:bottom w:val="nil"/>
        <w:right w:val="nil"/>
        <w:between w:val="nil"/>
      </w:pBdr>
      <w:tabs>
        <w:tab w:val="center" w:pos="4252"/>
        <w:tab w:val="right" w:pos="8504"/>
      </w:tabs>
      <w:jc w:val="center"/>
      <w:rPr>
        <w:rFonts w:eastAsia="Liberation Serif" w:cs="Liberation Serif"/>
        <w:color w:val="000000"/>
      </w:rPr>
    </w:pPr>
    <w:r>
      <w:rPr>
        <w:rFonts w:eastAsia="Liberation Serif" w:cs="Liberation Serif"/>
        <w:noProof/>
        <w:color w:val="000000"/>
      </w:rPr>
      <w:drawing>
        <wp:inline distT="0" distB="0" distL="0" distR="0" wp14:anchorId="703287EA" wp14:editId="5D9514B7">
          <wp:extent cx="4953000" cy="523875"/>
          <wp:effectExtent l="0" t="0" r="0" b="0"/>
          <wp:docPr id="467914995"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
                  <a:srcRect/>
                  <a:stretch>
                    <a:fillRect/>
                  </a:stretch>
                </pic:blipFill>
                <pic:spPr>
                  <a:xfrm>
                    <a:off x="0" y="0"/>
                    <a:ext cx="4953000" cy="523875"/>
                  </a:xfrm>
                  <a:prstGeom prst="rect">
                    <a:avLst/>
                  </a:prstGeom>
                  <a:ln/>
                </pic:spPr>
              </pic:pic>
            </a:graphicData>
          </a:graphic>
        </wp:inline>
      </w:drawing>
    </w:r>
  </w:p>
  <w:p w14:paraId="7678DDB3" w14:textId="77777777" w:rsidR="00000000" w:rsidRDefault="00000000">
    <w:pPr>
      <w:pBdr>
        <w:top w:val="nil"/>
        <w:left w:val="nil"/>
        <w:bottom w:val="nil"/>
        <w:right w:val="nil"/>
        <w:between w:val="nil"/>
      </w:pBdr>
      <w:tabs>
        <w:tab w:val="center" w:pos="4252"/>
        <w:tab w:val="right" w:pos="8504"/>
      </w:tabs>
      <w:jc w:val="center"/>
      <w:rPr>
        <w:rFonts w:eastAsia="Liberation Serif" w:cs="Liberation Serif"/>
        <w:color w:val="000000"/>
      </w:rPr>
    </w:pPr>
    <w:r>
      <w:rPr>
        <w:rFonts w:eastAsia="Liberation Serif" w:cs="Liberation Serif"/>
        <w:color w:val="000000"/>
      </w:rPr>
      <w:t>AGRAVO ENEM</w:t>
    </w:r>
  </w:p>
  <w:p w14:paraId="15DE0561" w14:textId="77777777" w:rsidR="00000000" w:rsidRDefault="00000000">
    <w:pPr>
      <w:pBdr>
        <w:top w:val="nil"/>
        <w:left w:val="nil"/>
        <w:bottom w:val="nil"/>
        <w:right w:val="nil"/>
        <w:between w:val="nil"/>
      </w:pBdr>
      <w:tabs>
        <w:tab w:val="center" w:pos="4252"/>
        <w:tab w:val="right" w:pos="8504"/>
      </w:tabs>
      <w:jc w:val="center"/>
      <w:rPr>
        <w:rFonts w:ascii="Arial Black" w:eastAsia="Arial Black" w:hAnsi="Arial Black" w:cs="Arial Black"/>
        <w:b/>
        <w:color w:val="000000"/>
        <w:sz w:val="28"/>
        <w:szCs w:val="28"/>
      </w:rPr>
    </w:pPr>
    <w:r>
      <w:rPr>
        <w:rFonts w:ascii="Arial Black" w:eastAsia="Arial Black" w:hAnsi="Arial Black" w:cs="Arial Black"/>
        <w:b/>
        <w:color w:val="000000"/>
        <w:sz w:val="28"/>
        <w:szCs w:val="28"/>
        <w:u w:val="single"/>
      </w:rPr>
      <w:t>INSTRUÇÕES</w:t>
    </w:r>
    <w:r>
      <w:rPr>
        <w:rFonts w:ascii="Arial Black" w:eastAsia="Arial Black" w:hAnsi="Arial Black" w:cs="Arial Black"/>
        <w:b/>
        <w:color w:val="000000"/>
        <w:sz w:val="28"/>
        <w:szCs w:val="28"/>
      </w:rPr>
      <w:t xml:space="preserve"> (TEM QUE ABRIR NO WORD PRA FUNCIONAR):</w:t>
    </w:r>
  </w:p>
  <w:p w14:paraId="01811CB4" w14:textId="77777777" w:rsidR="00000000" w:rsidRDefault="00000000">
    <w:pPr>
      <w:numPr>
        <w:ilvl w:val="0"/>
        <w:numId w:val="1"/>
      </w:numPr>
      <w:pBdr>
        <w:top w:val="nil"/>
        <w:left w:val="nil"/>
        <w:bottom w:val="nil"/>
        <w:right w:val="nil"/>
        <w:between w:val="nil"/>
      </w:pBdr>
      <w:tabs>
        <w:tab w:val="center" w:pos="4252"/>
        <w:tab w:val="right" w:pos="8504"/>
      </w:tabs>
      <w:jc w:val="center"/>
      <w:rPr>
        <w:rFonts w:ascii="Arial" w:eastAsia="Arial" w:hAnsi="Arial"/>
        <w:b/>
        <w:color w:val="000000"/>
        <w:sz w:val="28"/>
        <w:szCs w:val="28"/>
      </w:rPr>
    </w:pPr>
    <w:r>
      <w:rPr>
        <w:rFonts w:ascii="Arial" w:eastAsia="Arial" w:hAnsi="Arial"/>
        <w:b/>
        <w:color w:val="000000"/>
        <w:sz w:val="28"/>
        <w:szCs w:val="28"/>
      </w:rPr>
      <w:t xml:space="preserve">APERTE CTRL + T (PARA SELECIONAR TUDO) </w:t>
    </w:r>
  </w:p>
  <w:p w14:paraId="5136DD49" w14:textId="77777777" w:rsidR="00000000" w:rsidRDefault="00000000">
    <w:pPr>
      <w:numPr>
        <w:ilvl w:val="0"/>
        <w:numId w:val="1"/>
      </w:numPr>
      <w:pBdr>
        <w:top w:val="nil"/>
        <w:left w:val="nil"/>
        <w:bottom w:val="nil"/>
        <w:right w:val="nil"/>
        <w:between w:val="nil"/>
      </w:pBdr>
      <w:tabs>
        <w:tab w:val="center" w:pos="4252"/>
        <w:tab w:val="right" w:pos="8504"/>
      </w:tabs>
      <w:jc w:val="center"/>
      <w:rPr>
        <w:rFonts w:ascii="Arial" w:eastAsia="Arial" w:hAnsi="Arial"/>
        <w:b/>
        <w:color w:val="000000"/>
        <w:sz w:val="28"/>
        <w:szCs w:val="28"/>
      </w:rPr>
    </w:pPr>
    <w:r>
      <w:rPr>
        <w:rFonts w:ascii="Arial" w:eastAsia="Arial" w:hAnsi="Arial"/>
        <w:b/>
        <w:color w:val="000000"/>
        <w:sz w:val="28"/>
        <w:szCs w:val="28"/>
      </w:rPr>
      <w:t>DEPOIS APERTE F9 E VÁ PREENCHENDO</w:t>
    </w:r>
  </w:p>
  <w:p w14:paraId="40D426B1" w14:textId="77777777" w:rsidR="00000000" w:rsidRDefault="00000000">
    <w:pPr>
      <w:numPr>
        <w:ilvl w:val="0"/>
        <w:numId w:val="1"/>
      </w:numPr>
      <w:pBdr>
        <w:top w:val="nil"/>
        <w:left w:val="nil"/>
        <w:bottom w:val="nil"/>
        <w:right w:val="nil"/>
        <w:between w:val="nil"/>
      </w:pBdr>
      <w:tabs>
        <w:tab w:val="center" w:pos="4252"/>
        <w:tab w:val="right" w:pos="8504"/>
      </w:tabs>
      <w:jc w:val="center"/>
      <w:rPr>
        <w:rFonts w:ascii="Arial" w:eastAsia="Arial" w:hAnsi="Arial"/>
        <w:b/>
        <w:color w:val="000000"/>
        <w:sz w:val="28"/>
        <w:szCs w:val="28"/>
      </w:rPr>
    </w:pPr>
    <w:r>
      <w:rPr>
        <w:rFonts w:ascii="Arial" w:eastAsia="Arial" w:hAnsi="Arial"/>
        <w:b/>
        <w:color w:val="000000"/>
        <w:sz w:val="28"/>
        <w:szCs w:val="28"/>
      </w:rPr>
      <w:t>PRONTO! É SÓ COPIAR E COLAR!</w:t>
    </w:r>
  </w:p>
  <w:p w14:paraId="25DD2C32" w14:textId="77777777" w:rsidR="00000000" w:rsidRDefault="00000000">
    <w:pPr>
      <w:pBdr>
        <w:top w:val="nil"/>
        <w:left w:val="nil"/>
        <w:bottom w:val="nil"/>
        <w:right w:val="nil"/>
        <w:between w:val="nil"/>
      </w:pBdr>
      <w:tabs>
        <w:tab w:val="center" w:pos="4252"/>
        <w:tab w:val="right" w:pos="8504"/>
      </w:tabs>
      <w:ind w:left="360"/>
      <w:rPr>
        <w:rFonts w:ascii="Arial" w:eastAsia="Arial" w:hAnsi="Arial"/>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E5BE7"/>
    <w:multiLevelType w:val="multilevel"/>
    <w:tmpl w:val="F92238C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1629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D3"/>
    <w:rsid w:val="000F0AFE"/>
    <w:rsid w:val="004A56D4"/>
    <w:rsid w:val="00C64769"/>
    <w:rsid w:val="00DC2D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05FD"/>
  <w15:chartTrackingRefBased/>
  <w15:docId w15:val="{CA6EEB0B-0D91-487E-863B-44F7F5C4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DD3"/>
    <w:pPr>
      <w:suppressAutoHyphens/>
      <w:spacing w:after="0" w:line="240" w:lineRule="auto"/>
    </w:pPr>
    <w:rPr>
      <w:rFonts w:ascii="Liberation Serif" w:eastAsia="SimSun" w:hAnsi="Liberation Serif" w:cs="Arial"/>
      <w:kern w:val="0"/>
      <w:lang w:eastAsia="zh-CN" w:bidi="hi-IN"/>
      <w14:ligatures w14:val="none"/>
    </w:rPr>
  </w:style>
  <w:style w:type="paragraph" w:styleId="Ttulo1">
    <w:name w:val="heading 1"/>
    <w:basedOn w:val="Normal"/>
    <w:next w:val="Normal"/>
    <w:link w:val="Ttulo1Char"/>
    <w:uiPriority w:val="9"/>
    <w:qFormat/>
    <w:rsid w:val="00DC2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C2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C2D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C2D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2D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2DD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2DD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2DD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2DD3"/>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2DD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C2DD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C2DD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2DD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2DD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2DD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2DD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2DD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2DD3"/>
    <w:rPr>
      <w:rFonts w:eastAsiaTheme="majorEastAsia" w:cstheme="majorBidi"/>
      <w:color w:val="272727" w:themeColor="text1" w:themeTint="D8"/>
    </w:rPr>
  </w:style>
  <w:style w:type="paragraph" w:styleId="Ttulo">
    <w:name w:val="Title"/>
    <w:basedOn w:val="Normal"/>
    <w:next w:val="Normal"/>
    <w:link w:val="TtuloChar"/>
    <w:uiPriority w:val="10"/>
    <w:qFormat/>
    <w:rsid w:val="00DC2DD3"/>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2D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2DD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2DD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2DD3"/>
    <w:pPr>
      <w:spacing w:before="160"/>
      <w:jc w:val="center"/>
    </w:pPr>
    <w:rPr>
      <w:i/>
      <w:iCs/>
      <w:color w:val="404040" w:themeColor="text1" w:themeTint="BF"/>
    </w:rPr>
  </w:style>
  <w:style w:type="character" w:customStyle="1" w:styleId="CitaoChar">
    <w:name w:val="Citação Char"/>
    <w:basedOn w:val="Fontepargpadro"/>
    <w:link w:val="Citao"/>
    <w:uiPriority w:val="29"/>
    <w:rsid w:val="00DC2DD3"/>
    <w:rPr>
      <w:i/>
      <w:iCs/>
      <w:color w:val="404040" w:themeColor="text1" w:themeTint="BF"/>
    </w:rPr>
  </w:style>
  <w:style w:type="paragraph" w:styleId="PargrafodaLista">
    <w:name w:val="List Paragraph"/>
    <w:basedOn w:val="Normal"/>
    <w:uiPriority w:val="34"/>
    <w:qFormat/>
    <w:rsid w:val="00DC2DD3"/>
    <w:pPr>
      <w:ind w:left="720"/>
      <w:contextualSpacing/>
    </w:pPr>
  </w:style>
  <w:style w:type="character" w:styleId="nfaseIntensa">
    <w:name w:val="Intense Emphasis"/>
    <w:basedOn w:val="Fontepargpadro"/>
    <w:uiPriority w:val="21"/>
    <w:qFormat/>
    <w:rsid w:val="00DC2DD3"/>
    <w:rPr>
      <w:i/>
      <w:iCs/>
      <w:color w:val="0F4761" w:themeColor="accent1" w:themeShade="BF"/>
    </w:rPr>
  </w:style>
  <w:style w:type="paragraph" w:styleId="CitaoIntensa">
    <w:name w:val="Intense Quote"/>
    <w:basedOn w:val="Normal"/>
    <w:next w:val="Normal"/>
    <w:link w:val="CitaoIntensaChar"/>
    <w:uiPriority w:val="30"/>
    <w:qFormat/>
    <w:rsid w:val="00DC2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2DD3"/>
    <w:rPr>
      <w:i/>
      <w:iCs/>
      <w:color w:val="0F4761" w:themeColor="accent1" w:themeShade="BF"/>
    </w:rPr>
  </w:style>
  <w:style w:type="character" w:styleId="RefernciaIntensa">
    <w:name w:val="Intense Reference"/>
    <w:basedOn w:val="Fontepargpadro"/>
    <w:uiPriority w:val="32"/>
    <w:qFormat/>
    <w:rsid w:val="00DC2DD3"/>
    <w:rPr>
      <w:b/>
      <w:bCs/>
      <w:smallCaps/>
      <w:color w:val="0F4761" w:themeColor="accent1" w:themeShade="BF"/>
      <w:spacing w:val="5"/>
    </w:rPr>
  </w:style>
  <w:style w:type="paragraph" w:styleId="Cabealho">
    <w:name w:val="header"/>
    <w:basedOn w:val="Normal"/>
    <w:link w:val="CabealhoChar"/>
    <w:uiPriority w:val="99"/>
    <w:unhideWhenUsed/>
    <w:rsid w:val="00DC2DD3"/>
    <w:pPr>
      <w:tabs>
        <w:tab w:val="center" w:pos="4252"/>
        <w:tab w:val="right" w:pos="8504"/>
      </w:tabs>
    </w:pPr>
    <w:rPr>
      <w:rFonts w:cs="Mangal"/>
      <w:szCs w:val="21"/>
    </w:rPr>
  </w:style>
  <w:style w:type="character" w:customStyle="1" w:styleId="CabealhoChar">
    <w:name w:val="Cabeçalho Char"/>
    <w:basedOn w:val="Fontepargpadro"/>
    <w:link w:val="Cabealho"/>
    <w:uiPriority w:val="99"/>
    <w:rsid w:val="00DC2DD3"/>
    <w:rPr>
      <w:rFonts w:ascii="Liberation Serif" w:eastAsia="SimSun" w:hAnsi="Liberation Serif" w:cs="Mangal"/>
      <w:kern w:val="0"/>
      <w:szCs w:val="21"/>
      <w:lang w:eastAsia="zh-CN" w:bidi="hi-IN"/>
      <w14:ligatures w14:val="none"/>
    </w:rPr>
  </w:style>
  <w:style w:type="paragraph" w:styleId="Rodap">
    <w:name w:val="footer"/>
    <w:basedOn w:val="Normal"/>
    <w:link w:val="RodapChar"/>
    <w:uiPriority w:val="99"/>
    <w:unhideWhenUsed/>
    <w:rsid w:val="00DC2DD3"/>
    <w:pPr>
      <w:tabs>
        <w:tab w:val="center" w:pos="4252"/>
        <w:tab w:val="right" w:pos="8504"/>
      </w:tabs>
    </w:pPr>
    <w:rPr>
      <w:rFonts w:cs="Mangal"/>
      <w:szCs w:val="21"/>
    </w:rPr>
  </w:style>
  <w:style w:type="character" w:customStyle="1" w:styleId="RodapChar">
    <w:name w:val="Rodapé Char"/>
    <w:basedOn w:val="Fontepargpadro"/>
    <w:link w:val="Rodap"/>
    <w:uiPriority w:val="99"/>
    <w:rsid w:val="00DC2DD3"/>
    <w:rPr>
      <w:rFonts w:ascii="Liberation Serif" w:eastAsia="SimSun" w:hAnsi="Liberation Serif" w:cs="Mangal"/>
      <w:kern w:val="0"/>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2770</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Nóbrega Carlos Gomes</dc:creator>
  <cp:keywords/>
  <dc:description/>
  <cp:lastModifiedBy>Victor Nóbrega Carlos Gomes</cp:lastModifiedBy>
  <cp:revision>2</cp:revision>
  <dcterms:created xsi:type="dcterms:W3CDTF">2025-11-12T18:34:00Z</dcterms:created>
  <dcterms:modified xsi:type="dcterms:W3CDTF">2025-11-12T18:36:00Z</dcterms:modified>
</cp:coreProperties>
</file>