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22222" w14:textId="77777777" w:rsidR="00EE5F96" w:rsidRPr="00EE5F96" w:rsidRDefault="00EE5F96" w:rsidP="00EE5F96">
      <w:pPr>
        <w:ind w:firstLine="1418"/>
        <w:jc w:val="both"/>
        <w:rPr>
          <w:rFonts w:ascii="Times New Roman" w:eastAsia="Times New Roman" w:hAnsi="Times New Roman" w:cs="Times New Roman"/>
          <w:sz w:val="21"/>
          <w:szCs w:val="21"/>
        </w:rPr>
      </w:pPr>
      <w:proofErr w:type="gramStart"/>
      <w:r w:rsidRPr="00EE5F96">
        <w:rPr>
          <w:rFonts w:ascii="Times New Roman" w:eastAsia="Times New Roman" w:hAnsi="Times New Roman" w:cs="Times New Roman"/>
          <w:sz w:val="21"/>
          <w:szCs w:val="21"/>
        </w:rPr>
        <w:t>Vistos, etc.</w:t>
      </w:r>
      <w:proofErr w:type="gramEnd"/>
    </w:p>
    <w:p w14:paraId="6CE42D51" w14:textId="4773986E"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 xml:space="preserve">Executando-se pena privativa de liberdade em regime fechado, vieram-me conclusos os autos para análise de remição por estudo, em virtude ter o apenado prestado o </w:t>
      </w:r>
      <w:bookmarkStart w:id="0" w:name="Concurso_Realizado"/>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FILLIN  "Nome do concurso prestado (ENEM, ENCCEJA, etc)"  \* MERGEFORMAT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ENCCEJA</w:t>
      </w:r>
      <w:r>
        <w:rPr>
          <w:rFonts w:ascii="Times New Roman" w:eastAsia="Times New Roman" w:hAnsi="Times New Roman" w:cs="Times New Roman"/>
          <w:sz w:val="21"/>
          <w:szCs w:val="21"/>
        </w:rPr>
        <w:fldChar w:fldCharType="end"/>
      </w:r>
      <w:bookmarkEnd w:id="0"/>
      <w:r w:rsidRPr="00EE5F96">
        <w:rPr>
          <w:rFonts w:ascii="Times New Roman" w:eastAsia="Times New Roman" w:hAnsi="Times New Roman" w:cs="Times New Roman"/>
          <w:sz w:val="21"/>
          <w:szCs w:val="21"/>
        </w:rPr>
        <w:t xml:space="preserve"> do ano de </w:t>
      </w:r>
      <w:bookmarkStart w:id="1" w:name="Ano_do_Concurso"/>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FILLIN  "Ano do concurso prestado:"  \* MERGEFORMAT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2023</w:t>
      </w:r>
      <w:r>
        <w:rPr>
          <w:rFonts w:ascii="Times New Roman" w:eastAsia="Times New Roman" w:hAnsi="Times New Roman" w:cs="Times New Roman"/>
          <w:sz w:val="21"/>
          <w:szCs w:val="21"/>
        </w:rPr>
        <w:fldChar w:fldCharType="end"/>
      </w:r>
      <w:bookmarkEnd w:id="1"/>
      <w:r w:rsidRPr="00EE5F96">
        <w:rPr>
          <w:rFonts w:ascii="Times New Roman" w:eastAsia="Times New Roman" w:hAnsi="Times New Roman" w:cs="Times New Roman"/>
          <w:sz w:val="21"/>
          <w:szCs w:val="21"/>
        </w:rPr>
        <w:t xml:space="preserve"> (evento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FILLIN  "Evento do pedido proposto pelo apenado:"  \* MERGEFORMAT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84.2</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w:t>
      </w:r>
    </w:p>
    <w:p w14:paraId="08AB7AC3" w14:textId="2B1DA41C"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 xml:space="preserve">Instado a se manifestar, o Ministério Público opinou pelo indeferimento do pedido, em razão de já ter sido concedida remição anteriormente em razão do mesmo fato gerador (evento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FILLIN  "Evento da manifestação do Ministério Público (caso o MP tenha opinado favoravelmente, lembrar de mudar a redação)"  \* MERGEFORMAT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87.1</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w:t>
      </w:r>
    </w:p>
    <w:p w14:paraId="35912F55" w14:textId="2EF23BA5"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 xml:space="preserve">Anoto que o apenado já obteve concessão de remição em razão de sua participação no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Concurso_Realizado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ENCCEJA</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 xml:space="preserve"> do ano de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Ano_do_Concurso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2023</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 xml:space="preserve"> (evento </w:t>
      </w:r>
      <w:bookmarkStart w:id="2" w:name="Evento_da_Decisao_Anterio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FILLIN  "Decisão anterior que já concedeu a remição ao apenado em virtude do mesmo fato gerador:"  \* MERGEFORMAT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66.1</w:t>
      </w:r>
      <w:r>
        <w:rPr>
          <w:rFonts w:ascii="Times New Roman" w:eastAsia="Times New Roman" w:hAnsi="Times New Roman" w:cs="Times New Roman"/>
          <w:sz w:val="21"/>
          <w:szCs w:val="21"/>
        </w:rPr>
        <w:fldChar w:fldCharType="end"/>
      </w:r>
      <w:bookmarkEnd w:id="2"/>
      <w:r w:rsidRPr="00EE5F96">
        <w:rPr>
          <w:rFonts w:ascii="Times New Roman" w:eastAsia="Times New Roman" w:hAnsi="Times New Roman" w:cs="Times New Roman"/>
          <w:sz w:val="21"/>
          <w:szCs w:val="21"/>
        </w:rPr>
        <w:t>).</w:t>
      </w:r>
    </w:p>
    <w:p w14:paraId="1DD194F7" w14:textId="77777777"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Relatados.</w:t>
      </w:r>
    </w:p>
    <w:p w14:paraId="0C4C8D58" w14:textId="4E9ADED7"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 xml:space="preserve">Cinge-se a presente demanda no reconhecimento para fins de remição por estudo, em razão da participação do apenado no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Concurso_Realizado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ENCCEJA</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 xml:space="preserve"> do ano de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Ano_do_Concurso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2023</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 em que restou comprovado que já obteve concedida remição em seu favor, vinculada ao mesmo estudo.</w:t>
      </w:r>
    </w:p>
    <w:p w14:paraId="6FD712A0" w14:textId="77777777"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A respeito do tema, a jurisprudência dos tribunais superiores inadmite a concessão de remição em duplicidade em razão do mesmo fato, por não restar configurado qualquer acréscimo intelectual ao reeducando:</w:t>
      </w:r>
    </w:p>
    <w:p w14:paraId="28F28408" w14:textId="77777777" w:rsidR="00EE5F96" w:rsidRPr="00EE5F96" w:rsidRDefault="00EE5F96" w:rsidP="00EE5F96">
      <w:pPr>
        <w:ind w:left="2127"/>
        <w:jc w:val="both"/>
        <w:rPr>
          <w:rFonts w:ascii="Times New Roman" w:eastAsia="Times New Roman" w:hAnsi="Times New Roman" w:cs="Times New Roman"/>
          <w:i/>
          <w:iCs/>
          <w:sz w:val="21"/>
          <w:szCs w:val="21"/>
        </w:rPr>
      </w:pPr>
      <w:r w:rsidRPr="00EE5F96">
        <w:rPr>
          <w:rFonts w:ascii="Times New Roman" w:eastAsia="Times New Roman" w:hAnsi="Times New Roman" w:cs="Times New Roman"/>
          <w:i/>
          <w:iCs/>
          <w:sz w:val="21"/>
          <w:szCs w:val="21"/>
        </w:rPr>
        <w:t>AGRAVO REGIMENTAL NO HABEAS CORPUS. REMIÇÃO POR ESTUDO FORMAL EM ATIVIDADES REGULARES OFERECIDAS PELO ESTABELECIMENTO PRISIONAL. REEDUCANDA PREMIADA ANTERIORMENTE PELA APROVAÇÃO NO ENCCEJA COM CONCLUSÃO DO ENSINO FUNDAMENTAL. DUPLICIDADE DO BENEFÍCIO. IMPOSSIBILIDADE. AUSÊNCIA DE ILEGALIDADE. AGRAVO REGIMENTAL DESPROVIDO. 1. A jurisprudência do Superior Tribunal de Justiça se consolidou no sentido de que, em situações como a dos autos, haveria "mera reiteração da realização de uma prova para abatimento de pena, o que, obviamente, constitui concessão em duplicidade do benefício pelo mesmo fato, não restando configurado qualquer acréscimo intelectual" (</w:t>
      </w:r>
      <w:proofErr w:type="spellStart"/>
      <w:r w:rsidRPr="00EE5F96">
        <w:rPr>
          <w:rFonts w:ascii="Times New Roman" w:eastAsia="Times New Roman" w:hAnsi="Times New Roman" w:cs="Times New Roman"/>
          <w:i/>
          <w:iCs/>
          <w:sz w:val="21"/>
          <w:szCs w:val="21"/>
        </w:rPr>
        <w:t>AgRg</w:t>
      </w:r>
      <w:proofErr w:type="spellEnd"/>
      <w:r w:rsidRPr="00EE5F96">
        <w:rPr>
          <w:rFonts w:ascii="Times New Roman" w:eastAsia="Times New Roman" w:hAnsi="Times New Roman" w:cs="Times New Roman"/>
          <w:i/>
          <w:iCs/>
          <w:sz w:val="21"/>
          <w:szCs w:val="21"/>
        </w:rPr>
        <w:t xml:space="preserve"> no HC n. 592.511/SC, relator Ministro Felix Fischer, Quinta Turma, julgado em 8/9/2020, </w:t>
      </w:r>
      <w:proofErr w:type="spellStart"/>
      <w:r w:rsidRPr="00EE5F96">
        <w:rPr>
          <w:rFonts w:ascii="Times New Roman" w:eastAsia="Times New Roman" w:hAnsi="Times New Roman" w:cs="Times New Roman"/>
          <w:i/>
          <w:iCs/>
          <w:sz w:val="21"/>
          <w:szCs w:val="21"/>
        </w:rPr>
        <w:t>DJe</w:t>
      </w:r>
      <w:proofErr w:type="spellEnd"/>
      <w:r w:rsidRPr="00EE5F96">
        <w:rPr>
          <w:rFonts w:ascii="Times New Roman" w:eastAsia="Times New Roman" w:hAnsi="Times New Roman" w:cs="Times New Roman"/>
          <w:i/>
          <w:iCs/>
          <w:sz w:val="21"/>
          <w:szCs w:val="21"/>
        </w:rPr>
        <w:t xml:space="preserve"> 15/9/2020). 2. In </w:t>
      </w:r>
      <w:proofErr w:type="spellStart"/>
      <w:r w:rsidRPr="00EE5F96">
        <w:rPr>
          <w:rFonts w:ascii="Times New Roman" w:eastAsia="Times New Roman" w:hAnsi="Times New Roman" w:cs="Times New Roman"/>
          <w:i/>
          <w:iCs/>
          <w:sz w:val="21"/>
          <w:szCs w:val="21"/>
        </w:rPr>
        <w:t>casu</w:t>
      </w:r>
      <w:proofErr w:type="spellEnd"/>
      <w:r w:rsidRPr="00EE5F96">
        <w:rPr>
          <w:rFonts w:ascii="Times New Roman" w:eastAsia="Times New Roman" w:hAnsi="Times New Roman" w:cs="Times New Roman"/>
          <w:i/>
          <w:iCs/>
          <w:sz w:val="21"/>
          <w:szCs w:val="21"/>
        </w:rPr>
        <w:t>, tendo a apenada anteriormente sido aprovada em exame de certificação do ensino fundamental e beneficiada com a remição de pena pelo estudo, o fato de ter cursado o ensino fundamental no estabelecimento prisional não gera novo direito ao benefício, por inexistir evolução no nível de aprendizagem e por caracterizar duplicidade na concessão da remição. 3. Agravo regimental desprovido. (</w:t>
      </w:r>
      <w:proofErr w:type="spellStart"/>
      <w:r w:rsidRPr="00EE5F96">
        <w:rPr>
          <w:rFonts w:ascii="Times New Roman" w:eastAsia="Times New Roman" w:hAnsi="Times New Roman" w:cs="Times New Roman"/>
          <w:i/>
          <w:iCs/>
          <w:sz w:val="21"/>
          <w:szCs w:val="21"/>
        </w:rPr>
        <w:t>AgRg</w:t>
      </w:r>
      <w:proofErr w:type="spellEnd"/>
      <w:r w:rsidRPr="00EE5F96">
        <w:rPr>
          <w:rFonts w:ascii="Times New Roman" w:eastAsia="Times New Roman" w:hAnsi="Times New Roman" w:cs="Times New Roman"/>
          <w:i/>
          <w:iCs/>
          <w:sz w:val="21"/>
          <w:szCs w:val="21"/>
        </w:rPr>
        <w:t xml:space="preserve"> no HC n. 942.548/SP, relator Ministro </w:t>
      </w:r>
      <w:proofErr w:type="spellStart"/>
      <w:r w:rsidRPr="00EE5F96">
        <w:rPr>
          <w:rFonts w:ascii="Times New Roman" w:eastAsia="Times New Roman" w:hAnsi="Times New Roman" w:cs="Times New Roman"/>
          <w:i/>
          <w:iCs/>
          <w:sz w:val="21"/>
          <w:szCs w:val="21"/>
        </w:rPr>
        <w:t>Antonio</w:t>
      </w:r>
      <w:proofErr w:type="spellEnd"/>
      <w:r w:rsidRPr="00EE5F96">
        <w:rPr>
          <w:rFonts w:ascii="Times New Roman" w:eastAsia="Times New Roman" w:hAnsi="Times New Roman" w:cs="Times New Roman"/>
          <w:i/>
          <w:iCs/>
          <w:sz w:val="21"/>
          <w:szCs w:val="21"/>
        </w:rPr>
        <w:t xml:space="preserve"> Saldanha Palheiro, Sexta Turma, julgado em 23/10/2024, </w:t>
      </w:r>
      <w:proofErr w:type="spellStart"/>
      <w:r w:rsidRPr="00EE5F96">
        <w:rPr>
          <w:rFonts w:ascii="Times New Roman" w:eastAsia="Times New Roman" w:hAnsi="Times New Roman" w:cs="Times New Roman"/>
          <w:i/>
          <w:iCs/>
          <w:sz w:val="21"/>
          <w:szCs w:val="21"/>
        </w:rPr>
        <w:t>DJe</w:t>
      </w:r>
      <w:proofErr w:type="spellEnd"/>
      <w:r w:rsidRPr="00EE5F96">
        <w:rPr>
          <w:rFonts w:ascii="Times New Roman" w:eastAsia="Times New Roman" w:hAnsi="Times New Roman" w:cs="Times New Roman"/>
          <w:i/>
          <w:iCs/>
          <w:sz w:val="21"/>
          <w:szCs w:val="21"/>
        </w:rPr>
        <w:t xml:space="preserve"> de 28/10/2024.)</w:t>
      </w:r>
    </w:p>
    <w:p w14:paraId="7ABFDCC7" w14:textId="77777777"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Na mesma linha de raciocínio, o TJRN:</w:t>
      </w:r>
    </w:p>
    <w:p w14:paraId="2D85AF23" w14:textId="792DD8CF" w:rsidR="00EE5F96" w:rsidRPr="00EE5F96" w:rsidRDefault="00EE5F96" w:rsidP="00EE5F96">
      <w:pPr>
        <w:ind w:left="2127"/>
        <w:jc w:val="both"/>
        <w:rPr>
          <w:rFonts w:ascii="Times New Roman" w:eastAsia="Times New Roman" w:hAnsi="Times New Roman" w:cs="Times New Roman"/>
          <w:i/>
          <w:iCs/>
          <w:sz w:val="21"/>
          <w:szCs w:val="21"/>
        </w:rPr>
      </w:pPr>
      <w:r w:rsidRPr="00EE5F96">
        <w:rPr>
          <w:rFonts w:ascii="Times New Roman" w:eastAsia="Times New Roman" w:hAnsi="Times New Roman" w:cs="Times New Roman"/>
          <w:i/>
          <w:iCs/>
          <w:sz w:val="21"/>
          <w:szCs w:val="21"/>
        </w:rPr>
        <w:t xml:space="preserve">Agravo em Execução Criminal nº 0810870-05.2024.8.20.0000. Origem: 1ª Vara Regional de Execução Penal. Agravante: Kleber Silva de </w:t>
      </w:r>
      <w:r w:rsidR="00A96A57" w:rsidRPr="00EE5F96">
        <w:rPr>
          <w:rFonts w:ascii="Times New Roman" w:eastAsia="Times New Roman" w:hAnsi="Times New Roman" w:cs="Times New Roman"/>
          <w:i/>
          <w:iCs/>
          <w:sz w:val="21"/>
          <w:szCs w:val="21"/>
        </w:rPr>
        <w:t xml:space="preserve">Lima. </w:t>
      </w:r>
      <w:r w:rsidR="00A96A57" w:rsidRPr="00EE5F96">
        <w:rPr>
          <w:rFonts w:ascii="Times New Roman" w:eastAsia="Times New Roman" w:hAnsi="Times New Roman" w:cs="Times New Roman"/>
          <w:i/>
          <w:iCs/>
          <w:sz w:val="21"/>
          <w:szCs w:val="21"/>
        </w:rPr>
        <w:lastRenderedPageBreak/>
        <w:t>Representante</w:t>
      </w:r>
      <w:r w:rsidRPr="00EE5F96">
        <w:rPr>
          <w:rFonts w:ascii="Times New Roman" w:eastAsia="Times New Roman" w:hAnsi="Times New Roman" w:cs="Times New Roman"/>
          <w:i/>
          <w:iCs/>
          <w:sz w:val="21"/>
          <w:szCs w:val="21"/>
        </w:rPr>
        <w:t xml:space="preserve">: Defensoria Pública do estado do Rio Grande do </w:t>
      </w:r>
      <w:r w:rsidR="00A96A57" w:rsidRPr="00EE5F96">
        <w:rPr>
          <w:rFonts w:ascii="Times New Roman" w:eastAsia="Times New Roman" w:hAnsi="Times New Roman" w:cs="Times New Roman"/>
          <w:i/>
          <w:iCs/>
          <w:sz w:val="21"/>
          <w:szCs w:val="21"/>
        </w:rPr>
        <w:t>Norte. Agravado</w:t>
      </w:r>
      <w:r w:rsidRPr="00EE5F96">
        <w:rPr>
          <w:rFonts w:ascii="Times New Roman" w:eastAsia="Times New Roman" w:hAnsi="Times New Roman" w:cs="Times New Roman"/>
          <w:i/>
          <w:iCs/>
          <w:sz w:val="21"/>
          <w:szCs w:val="21"/>
        </w:rPr>
        <w:t xml:space="preserve">: Ministério </w:t>
      </w:r>
      <w:r w:rsidR="00A96A57" w:rsidRPr="00EE5F96">
        <w:rPr>
          <w:rFonts w:ascii="Times New Roman" w:eastAsia="Times New Roman" w:hAnsi="Times New Roman" w:cs="Times New Roman"/>
          <w:i/>
          <w:iCs/>
          <w:sz w:val="21"/>
          <w:szCs w:val="21"/>
        </w:rPr>
        <w:t>Público. Relator</w:t>
      </w:r>
      <w:r w:rsidRPr="00EE5F96">
        <w:rPr>
          <w:rFonts w:ascii="Times New Roman" w:eastAsia="Times New Roman" w:hAnsi="Times New Roman" w:cs="Times New Roman"/>
          <w:i/>
          <w:iCs/>
          <w:sz w:val="21"/>
          <w:szCs w:val="21"/>
        </w:rPr>
        <w:t>: Desembargador Glauber Rêgo. Ementa: Penal e Processual Penal. Agravo em Execução Criminal. Remição. Aprovação no ENCCEJA em 2023 e no EJA. Recurso desprovido. I. Caso em exame 1. Agravo em Execução interposto pela defesa em face da decisão que indeferiu o pedido de remição da pena pela aprovação no ENCCEJA em 2023 e no EJA. II. Questão em discussão 2. A questão em análise centra-se na possibilidade de remição da pena com base na aprovação no ENCCEJA em 2023 e no EJA. III. Razões de decidir 3. O STJ orienta que: “em hipótese de aprovação no Exame Nacional do Ensino Médio - Enem, não é possível o novo abatimento das penas a reeducando já premiado anteriormente pelo aprendizado de idêntico nível de escolaridade”; (</w:t>
      </w:r>
      <w:proofErr w:type="spellStart"/>
      <w:r w:rsidRPr="00EE5F96">
        <w:rPr>
          <w:rFonts w:ascii="Times New Roman" w:eastAsia="Times New Roman" w:hAnsi="Times New Roman" w:cs="Times New Roman"/>
          <w:i/>
          <w:iCs/>
          <w:sz w:val="21"/>
          <w:szCs w:val="21"/>
        </w:rPr>
        <w:t>AgRg</w:t>
      </w:r>
      <w:proofErr w:type="spellEnd"/>
      <w:r w:rsidRPr="00EE5F96">
        <w:rPr>
          <w:rFonts w:ascii="Times New Roman" w:eastAsia="Times New Roman" w:hAnsi="Times New Roman" w:cs="Times New Roman"/>
          <w:i/>
          <w:iCs/>
          <w:sz w:val="21"/>
          <w:szCs w:val="21"/>
        </w:rPr>
        <w:t xml:space="preserve"> no HC n. 753.813/SC, relator Ministro Rogerio </w:t>
      </w:r>
      <w:proofErr w:type="spellStart"/>
      <w:r w:rsidRPr="00EE5F96">
        <w:rPr>
          <w:rFonts w:ascii="Times New Roman" w:eastAsia="Times New Roman" w:hAnsi="Times New Roman" w:cs="Times New Roman"/>
          <w:i/>
          <w:iCs/>
          <w:sz w:val="21"/>
          <w:szCs w:val="21"/>
        </w:rPr>
        <w:t>Schietti</w:t>
      </w:r>
      <w:proofErr w:type="spellEnd"/>
      <w:r w:rsidRPr="00EE5F96">
        <w:rPr>
          <w:rFonts w:ascii="Times New Roman" w:eastAsia="Times New Roman" w:hAnsi="Times New Roman" w:cs="Times New Roman"/>
          <w:i/>
          <w:iCs/>
          <w:sz w:val="21"/>
          <w:szCs w:val="21"/>
        </w:rPr>
        <w:t xml:space="preserve"> Cruz, Sexta Turma, julgado em 13/3/2023, </w:t>
      </w:r>
      <w:proofErr w:type="spellStart"/>
      <w:r w:rsidRPr="00EE5F96">
        <w:rPr>
          <w:rFonts w:ascii="Times New Roman" w:eastAsia="Times New Roman" w:hAnsi="Times New Roman" w:cs="Times New Roman"/>
          <w:i/>
          <w:iCs/>
          <w:sz w:val="21"/>
          <w:szCs w:val="21"/>
        </w:rPr>
        <w:t>DJe</w:t>
      </w:r>
      <w:proofErr w:type="spellEnd"/>
      <w:r w:rsidRPr="00EE5F96">
        <w:rPr>
          <w:rFonts w:ascii="Times New Roman" w:eastAsia="Times New Roman" w:hAnsi="Times New Roman" w:cs="Times New Roman"/>
          <w:i/>
          <w:iCs/>
          <w:sz w:val="21"/>
          <w:szCs w:val="21"/>
        </w:rPr>
        <w:t xml:space="preserve"> de 16/3/2023). 4. No caso, considerando a remição obtida pela conclusão do ensino fundamental por meio da aprovação no ENCCEJA em 2022, conclui-se que o apenado não tem direito à remição de pena pela aprovação no ENCCEJA em 2023 e no EJA, sendo inviável o reconhecimento de ambos os benefícios, uma vez que se referem ao mesmo nível de ensino. IV. Dispositivo e tese. 5. Recurso conhecido e </w:t>
      </w:r>
      <w:r w:rsidR="00A96A57" w:rsidRPr="00EE5F96">
        <w:rPr>
          <w:rFonts w:ascii="Times New Roman" w:eastAsia="Times New Roman" w:hAnsi="Times New Roman" w:cs="Times New Roman"/>
          <w:i/>
          <w:iCs/>
          <w:sz w:val="21"/>
          <w:szCs w:val="21"/>
        </w:rPr>
        <w:t>desprovido. Tese</w:t>
      </w:r>
      <w:r w:rsidRPr="00EE5F96">
        <w:rPr>
          <w:rFonts w:ascii="Times New Roman" w:eastAsia="Times New Roman" w:hAnsi="Times New Roman" w:cs="Times New Roman"/>
          <w:i/>
          <w:iCs/>
          <w:sz w:val="21"/>
          <w:szCs w:val="21"/>
        </w:rPr>
        <w:t xml:space="preserve"> de julgamento: Impossibilidade de cumulação de remição de pena por estudo relativa ao mesmo fato gerador. Dispositivos relevantes citados: LEP, art. 126, caput; art. 126, § 1º, i; art. 126, 5º.Jurisprudência relevante citada: STJ, HC 390.721/RS, Rel. Ministro Reynaldo Soares da Fonseca, Quinta Turma, j. 08/08/2017; REsp 1854391/DF, Rel. Ministra Laurita Vaz, Sexta Turma, j. 22/09/2020; </w:t>
      </w:r>
      <w:proofErr w:type="spellStart"/>
      <w:r w:rsidRPr="00EE5F96">
        <w:rPr>
          <w:rFonts w:ascii="Times New Roman" w:eastAsia="Times New Roman" w:hAnsi="Times New Roman" w:cs="Times New Roman"/>
          <w:i/>
          <w:iCs/>
          <w:sz w:val="21"/>
          <w:szCs w:val="21"/>
        </w:rPr>
        <w:t>EDcl</w:t>
      </w:r>
      <w:proofErr w:type="spellEnd"/>
      <w:r w:rsidRPr="00EE5F96">
        <w:rPr>
          <w:rFonts w:ascii="Times New Roman" w:eastAsia="Times New Roman" w:hAnsi="Times New Roman" w:cs="Times New Roman"/>
          <w:i/>
          <w:iCs/>
          <w:sz w:val="21"/>
          <w:szCs w:val="21"/>
        </w:rPr>
        <w:t xml:space="preserve"> no </w:t>
      </w:r>
      <w:proofErr w:type="spellStart"/>
      <w:r w:rsidRPr="00EE5F96">
        <w:rPr>
          <w:rFonts w:ascii="Times New Roman" w:eastAsia="Times New Roman" w:hAnsi="Times New Roman" w:cs="Times New Roman"/>
          <w:i/>
          <w:iCs/>
          <w:sz w:val="21"/>
          <w:szCs w:val="21"/>
        </w:rPr>
        <w:t>AgRg</w:t>
      </w:r>
      <w:proofErr w:type="spellEnd"/>
      <w:r w:rsidRPr="00EE5F96">
        <w:rPr>
          <w:rFonts w:ascii="Times New Roman" w:eastAsia="Times New Roman" w:hAnsi="Times New Roman" w:cs="Times New Roman"/>
          <w:i/>
          <w:iCs/>
          <w:sz w:val="21"/>
          <w:szCs w:val="21"/>
        </w:rPr>
        <w:t xml:space="preserve"> no HC 593.168/SC, Rel. Ministro Joel Ilan Paciornik, Quinta Turma, j. 15/06/2021; </w:t>
      </w:r>
      <w:proofErr w:type="spellStart"/>
      <w:r w:rsidRPr="00EE5F96">
        <w:rPr>
          <w:rFonts w:ascii="Times New Roman" w:eastAsia="Times New Roman" w:hAnsi="Times New Roman" w:cs="Times New Roman"/>
          <w:i/>
          <w:iCs/>
          <w:sz w:val="21"/>
          <w:szCs w:val="21"/>
        </w:rPr>
        <w:t>AgRg</w:t>
      </w:r>
      <w:proofErr w:type="spellEnd"/>
      <w:r w:rsidRPr="00EE5F96">
        <w:rPr>
          <w:rFonts w:ascii="Times New Roman" w:eastAsia="Times New Roman" w:hAnsi="Times New Roman" w:cs="Times New Roman"/>
          <w:i/>
          <w:iCs/>
          <w:sz w:val="21"/>
          <w:szCs w:val="21"/>
        </w:rPr>
        <w:t xml:space="preserve"> no HC n. 842.165/SP, relator Ministro Jesuíno </w:t>
      </w:r>
      <w:proofErr w:type="spellStart"/>
      <w:r w:rsidRPr="00EE5F96">
        <w:rPr>
          <w:rFonts w:ascii="Times New Roman" w:eastAsia="Times New Roman" w:hAnsi="Times New Roman" w:cs="Times New Roman"/>
          <w:i/>
          <w:iCs/>
          <w:sz w:val="21"/>
          <w:szCs w:val="21"/>
        </w:rPr>
        <w:t>Rissato</w:t>
      </w:r>
      <w:proofErr w:type="spellEnd"/>
      <w:r w:rsidRPr="00EE5F96">
        <w:rPr>
          <w:rFonts w:ascii="Times New Roman" w:eastAsia="Times New Roman" w:hAnsi="Times New Roman" w:cs="Times New Roman"/>
          <w:i/>
          <w:iCs/>
          <w:sz w:val="21"/>
          <w:szCs w:val="21"/>
        </w:rPr>
        <w:t xml:space="preserve"> (Desembargador Convocado do TJDFT), Sexta Turma, j. 4/3/2024; </w:t>
      </w:r>
      <w:proofErr w:type="spellStart"/>
      <w:r w:rsidRPr="00EE5F96">
        <w:rPr>
          <w:rFonts w:ascii="Times New Roman" w:eastAsia="Times New Roman" w:hAnsi="Times New Roman" w:cs="Times New Roman"/>
          <w:i/>
          <w:iCs/>
          <w:sz w:val="21"/>
          <w:szCs w:val="21"/>
        </w:rPr>
        <w:t>AgRg</w:t>
      </w:r>
      <w:proofErr w:type="spellEnd"/>
      <w:r w:rsidRPr="00EE5F96">
        <w:rPr>
          <w:rFonts w:ascii="Times New Roman" w:eastAsia="Times New Roman" w:hAnsi="Times New Roman" w:cs="Times New Roman"/>
          <w:i/>
          <w:iCs/>
          <w:sz w:val="21"/>
          <w:szCs w:val="21"/>
        </w:rPr>
        <w:t xml:space="preserve"> nos </w:t>
      </w:r>
      <w:proofErr w:type="spellStart"/>
      <w:r w:rsidRPr="00EE5F96">
        <w:rPr>
          <w:rFonts w:ascii="Times New Roman" w:eastAsia="Times New Roman" w:hAnsi="Times New Roman" w:cs="Times New Roman"/>
          <w:i/>
          <w:iCs/>
          <w:sz w:val="21"/>
          <w:szCs w:val="21"/>
        </w:rPr>
        <w:t>EDcl</w:t>
      </w:r>
      <w:proofErr w:type="spellEnd"/>
      <w:r w:rsidRPr="00EE5F96">
        <w:rPr>
          <w:rFonts w:ascii="Times New Roman" w:eastAsia="Times New Roman" w:hAnsi="Times New Roman" w:cs="Times New Roman"/>
          <w:i/>
          <w:iCs/>
          <w:sz w:val="21"/>
          <w:szCs w:val="21"/>
        </w:rPr>
        <w:t xml:space="preserve"> no HC n. 763.585/SP, relator Ministro </w:t>
      </w:r>
      <w:proofErr w:type="spellStart"/>
      <w:r w:rsidRPr="00EE5F96">
        <w:rPr>
          <w:rFonts w:ascii="Times New Roman" w:eastAsia="Times New Roman" w:hAnsi="Times New Roman" w:cs="Times New Roman"/>
          <w:i/>
          <w:iCs/>
          <w:sz w:val="21"/>
          <w:szCs w:val="21"/>
        </w:rPr>
        <w:t>Antonio</w:t>
      </w:r>
      <w:proofErr w:type="spellEnd"/>
      <w:r w:rsidRPr="00EE5F96">
        <w:rPr>
          <w:rFonts w:ascii="Times New Roman" w:eastAsia="Times New Roman" w:hAnsi="Times New Roman" w:cs="Times New Roman"/>
          <w:i/>
          <w:iCs/>
          <w:sz w:val="21"/>
          <w:szCs w:val="21"/>
        </w:rPr>
        <w:t xml:space="preserve"> Saldanha Palheiro, Sexta Turma, j. 29/5/2023; </w:t>
      </w:r>
      <w:proofErr w:type="spellStart"/>
      <w:r w:rsidRPr="00EE5F96">
        <w:rPr>
          <w:rFonts w:ascii="Times New Roman" w:eastAsia="Times New Roman" w:hAnsi="Times New Roman" w:cs="Times New Roman"/>
          <w:i/>
          <w:iCs/>
          <w:sz w:val="21"/>
          <w:szCs w:val="21"/>
        </w:rPr>
        <w:t>AgRg</w:t>
      </w:r>
      <w:proofErr w:type="spellEnd"/>
      <w:r w:rsidRPr="00EE5F96">
        <w:rPr>
          <w:rFonts w:ascii="Times New Roman" w:eastAsia="Times New Roman" w:hAnsi="Times New Roman" w:cs="Times New Roman"/>
          <w:i/>
          <w:iCs/>
          <w:sz w:val="21"/>
          <w:szCs w:val="21"/>
        </w:rPr>
        <w:t xml:space="preserve"> no HC n. 797.331/SC, relator Ministro Ribeiro Dantas, Quinta Turma, j. 17/4/2023; </w:t>
      </w:r>
      <w:proofErr w:type="spellStart"/>
      <w:r w:rsidRPr="00EE5F96">
        <w:rPr>
          <w:rFonts w:ascii="Times New Roman" w:eastAsia="Times New Roman" w:hAnsi="Times New Roman" w:cs="Times New Roman"/>
          <w:i/>
          <w:iCs/>
          <w:sz w:val="21"/>
          <w:szCs w:val="21"/>
        </w:rPr>
        <w:t>AgRg</w:t>
      </w:r>
      <w:proofErr w:type="spellEnd"/>
      <w:r w:rsidRPr="00EE5F96">
        <w:rPr>
          <w:rFonts w:ascii="Times New Roman" w:eastAsia="Times New Roman" w:hAnsi="Times New Roman" w:cs="Times New Roman"/>
          <w:i/>
          <w:iCs/>
          <w:sz w:val="21"/>
          <w:szCs w:val="21"/>
        </w:rPr>
        <w:t xml:space="preserve"> no HC n. 753.813/SC, relator Ministro Rogerio </w:t>
      </w:r>
      <w:proofErr w:type="spellStart"/>
      <w:r w:rsidRPr="00EE5F96">
        <w:rPr>
          <w:rFonts w:ascii="Times New Roman" w:eastAsia="Times New Roman" w:hAnsi="Times New Roman" w:cs="Times New Roman"/>
          <w:i/>
          <w:iCs/>
          <w:sz w:val="21"/>
          <w:szCs w:val="21"/>
        </w:rPr>
        <w:t>Schietti</w:t>
      </w:r>
      <w:proofErr w:type="spellEnd"/>
      <w:r w:rsidRPr="00EE5F96">
        <w:rPr>
          <w:rFonts w:ascii="Times New Roman" w:eastAsia="Times New Roman" w:hAnsi="Times New Roman" w:cs="Times New Roman"/>
          <w:i/>
          <w:iCs/>
          <w:sz w:val="21"/>
          <w:szCs w:val="21"/>
        </w:rPr>
        <w:t xml:space="preserve"> Cruz, Sexta Turma, j. 13/3/2023; TJRN, Agravo De Execução Penal, 0814563-31.2023.8.20.0000, Des. Gilson Barbosa (Juiz Convocado Ricardo Tinoco), Câmara Criminal, j. 19/02/2024; Agravo De Execução Penal, 0810883-38.2023.8.20.0000, Des. Saraiva Sobrinho, Câmara Criminal, J. 18/12/2023; Agravo De Execução Penal, 0807196-53.2023.8.20.0000, Des. Glauber Rêgo, Câmara Criminal, j. 24/07/2023. </w:t>
      </w:r>
      <w:proofErr w:type="gramStart"/>
      <w:r w:rsidRPr="00EE5F96">
        <w:rPr>
          <w:rFonts w:ascii="Times New Roman" w:eastAsia="Times New Roman" w:hAnsi="Times New Roman" w:cs="Times New Roman"/>
          <w:i/>
          <w:iCs/>
          <w:sz w:val="21"/>
          <w:szCs w:val="21"/>
        </w:rPr>
        <w:t>ACÓRDÃO  A</w:t>
      </w:r>
      <w:proofErr w:type="gramEnd"/>
      <w:r w:rsidRPr="00EE5F96">
        <w:rPr>
          <w:rFonts w:ascii="Times New Roman" w:eastAsia="Times New Roman" w:hAnsi="Times New Roman" w:cs="Times New Roman"/>
          <w:i/>
          <w:iCs/>
          <w:sz w:val="21"/>
          <w:szCs w:val="21"/>
        </w:rPr>
        <w:t xml:space="preserve"> Câmara Criminal do Egrégio Tribunal de Justiça do Estado do Rio Grande do Norte, à UNANIMIDADE de votos, em consonância com o parecer da 1ª Procuradoria de Justiça, conheceu e negou provimento ao presente agravo em execução, nos termos do voto do Relator, Desembargador GLAUBER RÊGO, sendo acompanhado pelos Desembargadores RICARDO PROCÓPIO e SARAIVA SOBRINHO. (AGRAVO DE EXECUÇÃO PENAL, 0810870-05.2024.8.20.0000, Des. Glauber Rêgo, Câmara Criminal, JULGADO em 11/11/2024, PUBLICADO em 12/11/2024)</w:t>
      </w:r>
    </w:p>
    <w:p w14:paraId="7C9C9A78" w14:textId="53D74C20"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 xml:space="preserve">No caso dos autos, observou-se que o apenado realizou o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Concurso_Realizado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ENCCEJA</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 xml:space="preserve"> do ano de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Ano_do_Concurso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2023</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 xml:space="preserve">, não obstante, já obteve concessão de remição em razão do mesmo fato gerador, conforme se constata na decisão do evento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Evento_da_Decisao_Anterior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66.1</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w:t>
      </w:r>
    </w:p>
    <w:p w14:paraId="1EDED5BF" w14:textId="68BD12B7"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t xml:space="preserve">Isso posto, indefiro o pedido de remição em razão da participação do apenado no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Concurso_Realizado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ENCCEJA</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 xml:space="preserve"> do ano de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 REF  Ano_do_Concurso </w:instrText>
      </w:r>
      <w:r>
        <w:rPr>
          <w:rFonts w:ascii="Times New Roman" w:eastAsia="Times New Roman" w:hAnsi="Times New Roman" w:cs="Times New Roman"/>
          <w:sz w:val="21"/>
          <w:szCs w:val="21"/>
        </w:rPr>
        <w:fldChar w:fldCharType="separate"/>
      </w:r>
      <w:r w:rsidR="007C1969">
        <w:rPr>
          <w:rFonts w:ascii="Times New Roman" w:eastAsia="Times New Roman" w:hAnsi="Times New Roman" w:cs="Times New Roman"/>
          <w:sz w:val="21"/>
          <w:szCs w:val="21"/>
        </w:rPr>
        <w:t>2023</w:t>
      </w:r>
      <w:r>
        <w:rPr>
          <w:rFonts w:ascii="Times New Roman" w:eastAsia="Times New Roman" w:hAnsi="Times New Roman" w:cs="Times New Roman"/>
          <w:sz w:val="21"/>
          <w:szCs w:val="21"/>
        </w:rPr>
        <w:fldChar w:fldCharType="end"/>
      </w:r>
      <w:r w:rsidRPr="00EE5F96">
        <w:rPr>
          <w:rFonts w:ascii="Times New Roman" w:eastAsia="Times New Roman" w:hAnsi="Times New Roman" w:cs="Times New Roman"/>
          <w:sz w:val="21"/>
          <w:szCs w:val="21"/>
        </w:rPr>
        <w:t>.</w:t>
      </w:r>
    </w:p>
    <w:p w14:paraId="65BAC671" w14:textId="77777777" w:rsidR="00EE5F96" w:rsidRPr="00EE5F96" w:rsidRDefault="00EE5F96" w:rsidP="00EE5F96">
      <w:pPr>
        <w:ind w:firstLine="1418"/>
        <w:jc w:val="both"/>
        <w:rPr>
          <w:rFonts w:ascii="Times New Roman" w:eastAsia="Times New Roman" w:hAnsi="Times New Roman" w:cs="Times New Roman"/>
          <w:sz w:val="21"/>
          <w:szCs w:val="21"/>
        </w:rPr>
      </w:pPr>
      <w:r w:rsidRPr="00EE5F96">
        <w:rPr>
          <w:rFonts w:ascii="Times New Roman" w:eastAsia="Times New Roman" w:hAnsi="Times New Roman" w:cs="Times New Roman"/>
          <w:sz w:val="21"/>
          <w:szCs w:val="21"/>
        </w:rPr>
        <w:lastRenderedPageBreak/>
        <w:t>P.R.I.</w:t>
      </w:r>
    </w:p>
    <w:p w14:paraId="51F69624" w14:textId="7743D2FD" w:rsidR="00C81787" w:rsidRPr="00EE5F96" w:rsidRDefault="00C81787" w:rsidP="00EE5F96">
      <w:pPr>
        <w:ind w:firstLine="1418"/>
        <w:jc w:val="both"/>
      </w:pPr>
    </w:p>
    <w:sectPr w:rsidR="00C81787" w:rsidRPr="00EE5F96">
      <w:headerReference w:type="first" r:id="rId9"/>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733B9" w14:textId="77777777" w:rsidR="00E462D6" w:rsidRDefault="00E462D6">
      <w:pPr>
        <w:spacing w:after="0" w:line="240" w:lineRule="auto"/>
      </w:pPr>
      <w:r>
        <w:separator/>
      </w:r>
    </w:p>
  </w:endnote>
  <w:endnote w:type="continuationSeparator" w:id="0">
    <w:p w14:paraId="29E4B516" w14:textId="77777777" w:rsidR="00E462D6" w:rsidRDefault="00E46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29DEE" w14:textId="77777777" w:rsidR="00E462D6" w:rsidRDefault="00E462D6">
      <w:pPr>
        <w:spacing w:after="0" w:line="240" w:lineRule="auto"/>
      </w:pPr>
      <w:r>
        <w:separator/>
      </w:r>
    </w:p>
  </w:footnote>
  <w:footnote w:type="continuationSeparator" w:id="0">
    <w:p w14:paraId="02D6A987" w14:textId="77777777" w:rsidR="00E462D6" w:rsidRDefault="00E46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CFF4" w14:textId="471197F9" w:rsidR="00C81787" w:rsidRDefault="00A96A57">
    <w:pPr>
      <w:pBdr>
        <w:top w:val="nil"/>
        <w:left w:val="nil"/>
        <w:bottom w:val="nil"/>
        <w:right w:val="nil"/>
        <w:between w:val="nil"/>
      </w:pBdr>
      <w:tabs>
        <w:tab w:val="center" w:pos="4252"/>
        <w:tab w:val="right" w:pos="8504"/>
        <w:tab w:val="left" w:pos="3045"/>
      </w:tabs>
      <w:spacing w:after="0" w:line="240" w:lineRule="auto"/>
      <w:jc w:val="center"/>
      <w:rPr>
        <w:color w:val="000000"/>
      </w:rPr>
    </w:pPr>
    <w:r>
      <w:rPr>
        <w:noProof/>
        <w:color w:val="000000"/>
      </w:rPr>
      <w:drawing>
        <wp:inline distT="0" distB="0" distL="0" distR="0" wp14:anchorId="09000AC5" wp14:editId="65B794E2">
          <wp:extent cx="4953000" cy="52387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
                    <a:extLst>
                      <a:ext uri="{28A0092B-C50C-407E-A947-70E740481C1C}">
                        <a14:useLocalDpi xmlns:a14="http://schemas.microsoft.com/office/drawing/2010/main" val="0"/>
                      </a:ext>
                    </a:extLst>
                  </a:blip>
                  <a:stretch>
                    <a:fillRect/>
                  </a:stretch>
                </pic:blipFill>
                <pic:spPr>
                  <a:xfrm>
                    <a:off x="0" y="0"/>
                    <a:ext cx="4953000" cy="523875"/>
                  </a:xfrm>
                  <a:prstGeom prst="rect">
                    <a:avLst/>
                  </a:prstGeom>
                </pic:spPr>
              </pic:pic>
            </a:graphicData>
          </a:graphic>
        </wp:inline>
      </w:drawing>
    </w:r>
  </w:p>
  <w:p w14:paraId="29C4B815" w14:textId="6D4BBF6E" w:rsidR="00C81787" w:rsidRDefault="00A96A57">
    <w:pPr>
      <w:pBdr>
        <w:top w:val="nil"/>
        <w:left w:val="nil"/>
        <w:bottom w:val="nil"/>
        <w:right w:val="nil"/>
        <w:between w:val="nil"/>
      </w:pBdr>
      <w:tabs>
        <w:tab w:val="center" w:pos="4252"/>
        <w:tab w:val="right" w:pos="8504"/>
        <w:tab w:val="left" w:pos="3045"/>
      </w:tabs>
      <w:spacing w:after="0" w:line="240" w:lineRule="auto"/>
      <w:jc w:val="center"/>
      <w:rPr>
        <w:color w:val="000000"/>
      </w:rPr>
    </w:pPr>
    <w:r>
      <w:rPr>
        <w:noProof/>
        <w:color w:val="000000"/>
      </w:rPr>
      <w:drawing>
        <wp:inline distT="0" distB="0" distL="0" distR="0" wp14:anchorId="0DFBD04B" wp14:editId="6D3ADF8B">
          <wp:extent cx="5400040" cy="378460"/>
          <wp:effectExtent l="0" t="0" r="0" b="254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2">
                    <a:extLst>
                      <a:ext uri="{28A0092B-C50C-407E-A947-70E740481C1C}">
                        <a14:useLocalDpi xmlns:a14="http://schemas.microsoft.com/office/drawing/2010/main" val="0"/>
                      </a:ext>
                    </a:extLst>
                  </a:blip>
                  <a:stretch>
                    <a:fillRect/>
                  </a:stretch>
                </pic:blipFill>
                <pic:spPr>
                  <a:xfrm>
                    <a:off x="0" y="0"/>
                    <a:ext cx="5400040" cy="378460"/>
                  </a:xfrm>
                  <a:prstGeom prst="rect">
                    <a:avLst/>
                  </a:prstGeom>
                </pic:spPr>
              </pic:pic>
            </a:graphicData>
          </a:graphic>
        </wp:inline>
      </w:drawing>
    </w:r>
  </w:p>
  <w:p w14:paraId="1AE1D8A3" w14:textId="77777777" w:rsidR="00C81787" w:rsidRDefault="00000000">
    <w:pPr>
      <w:pBdr>
        <w:top w:val="nil"/>
        <w:left w:val="nil"/>
        <w:bottom w:val="nil"/>
        <w:right w:val="nil"/>
        <w:between w:val="nil"/>
      </w:pBdr>
      <w:tabs>
        <w:tab w:val="center" w:pos="4252"/>
        <w:tab w:val="right" w:pos="8504"/>
      </w:tabs>
      <w:spacing w:after="0" w:line="240" w:lineRule="auto"/>
      <w:jc w:val="center"/>
      <w:rPr>
        <w:rFonts w:ascii="Arial Black" w:eastAsia="Arial Black" w:hAnsi="Arial Black" w:cs="Arial Black"/>
        <w:b/>
        <w:color w:val="000000"/>
        <w:sz w:val="24"/>
        <w:szCs w:val="24"/>
      </w:rPr>
    </w:pPr>
    <w:r>
      <w:rPr>
        <w:rFonts w:ascii="Arial Black" w:eastAsia="Arial Black" w:hAnsi="Arial Black" w:cs="Arial Black"/>
        <w:b/>
        <w:color w:val="000000"/>
        <w:sz w:val="24"/>
        <w:szCs w:val="24"/>
        <w:u w:val="single"/>
      </w:rPr>
      <w:t>INSTRUÇÕES</w:t>
    </w:r>
    <w:r>
      <w:rPr>
        <w:rFonts w:ascii="Arial Black" w:eastAsia="Arial Black" w:hAnsi="Arial Black" w:cs="Arial Black"/>
        <w:b/>
        <w:color w:val="000000"/>
        <w:sz w:val="24"/>
        <w:szCs w:val="24"/>
      </w:rPr>
      <w:t xml:space="preserve"> (TEM QUE ABRIR NO WORD </w:t>
    </w:r>
    <w:proofErr w:type="gramStart"/>
    <w:r>
      <w:rPr>
        <w:rFonts w:ascii="Arial Black" w:eastAsia="Arial Black" w:hAnsi="Arial Black" w:cs="Arial Black"/>
        <w:b/>
        <w:color w:val="000000"/>
        <w:sz w:val="24"/>
        <w:szCs w:val="24"/>
      </w:rPr>
      <w:t>PRA</w:t>
    </w:r>
    <w:proofErr w:type="gramEnd"/>
    <w:r>
      <w:rPr>
        <w:rFonts w:ascii="Arial Black" w:eastAsia="Arial Black" w:hAnsi="Arial Black" w:cs="Arial Black"/>
        <w:b/>
        <w:color w:val="000000"/>
        <w:sz w:val="24"/>
        <w:szCs w:val="24"/>
      </w:rPr>
      <w:t xml:space="preserve"> FUNCIONAR):</w:t>
    </w:r>
  </w:p>
  <w:p w14:paraId="65409EFC"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APERTE CTRL + T (PARA SELECIONAR TUDO)</w:t>
    </w:r>
  </w:p>
  <w:p w14:paraId="7B20051B"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DEPOIS APERTE F9 E VÁ PREENCHENDO</w:t>
    </w:r>
  </w:p>
  <w:p w14:paraId="1670DBAA"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PRONTO! É SÓ COPIAR E COLAR!</w:t>
    </w:r>
  </w:p>
  <w:p w14:paraId="02A7D02B" w14:textId="77777777" w:rsidR="00C81787" w:rsidRDefault="00C81787">
    <w:pPr>
      <w:pBdr>
        <w:top w:val="nil"/>
        <w:left w:val="nil"/>
        <w:bottom w:val="nil"/>
        <w:right w:val="nil"/>
        <w:between w:val="nil"/>
      </w:pBdr>
      <w:tabs>
        <w:tab w:val="center" w:pos="4252"/>
        <w:tab w:val="right" w:pos="8504"/>
      </w:tabs>
      <w:spacing w:after="0" w:line="240" w:lineRule="auto"/>
      <w:ind w:left="360"/>
      <w:rPr>
        <w:rFonts w:ascii="Arial" w:eastAsia="Arial" w:hAnsi="Arial" w:cs="Arial"/>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3FD5"/>
    <w:multiLevelType w:val="multilevel"/>
    <w:tmpl w:val="14D8F58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916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87"/>
    <w:rsid w:val="00005AB1"/>
    <w:rsid w:val="00191F26"/>
    <w:rsid w:val="00260B43"/>
    <w:rsid w:val="002D3A80"/>
    <w:rsid w:val="003229FB"/>
    <w:rsid w:val="00490FC3"/>
    <w:rsid w:val="0050452A"/>
    <w:rsid w:val="007B2BF6"/>
    <w:rsid w:val="007C1969"/>
    <w:rsid w:val="00824CFF"/>
    <w:rsid w:val="008B11BD"/>
    <w:rsid w:val="009867DF"/>
    <w:rsid w:val="00A67EE7"/>
    <w:rsid w:val="00A96A57"/>
    <w:rsid w:val="00AC78A0"/>
    <w:rsid w:val="00C81787"/>
    <w:rsid w:val="00E24C6B"/>
    <w:rsid w:val="00E4121F"/>
    <w:rsid w:val="00E462D6"/>
    <w:rsid w:val="00E82BD5"/>
    <w:rsid w:val="00EE5F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0A006"/>
  <w15:docId w15:val="{859AE9DE-BC2D-413E-AB28-A6B00801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82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D482F"/>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0D482F"/>
    <w:rPr>
      <w:i/>
      <w:iCs/>
    </w:rPr>
  </w:style>
  <w:style w:type="paragraph" w:styleId="Cabealho">
    <w:name w:val="header"/>
    <w:basedOn w:val="Normal"/>
    <w:link w:val="CabealhoChar"/>
    <w:uiPriority w:val="99"/>
    <w:unhideWhenUsed/>
    <w:rsid w:val="003214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14E8"/>
    <w:rPr>
      <w:kern w:val="0"/>
    </w:rPr>
  </w:style>
  <w:style w:type="paragraph" w:styleId="Rodap">
    <w:name w:val="footer"/>
    <w:basedOn w:val="Normal"/>
    <w:link w:val="RodapChar"/>
    <w:uiPriority w:val="99"/>
    <w:unhideWhenUsed/>
    <w:rsid w:val="003214E8"/>
    <w:pPr>
      <w:tabs>
        <w:tab w:val="center" w:pos="4252"/>
        <w:tab w:val="right" w:pos="8504"/>
      </w:tabs>
      <w:spacing w:after="0" w:line="240" w:lineRule="auto"/>
    </w:pPr>
  </w:style>
  <w:style w:type="character" w:customStyle="1" w:styleId="RodapChar">
    <w:name w:val="Rodapé Char"/>
    <w:basedOn w:val="Fontepargpadro"/>
    <w:link w:val="Rodap"/>
    <w:uiPriority w:val="99"/>
    <w:rsid w:val="003214E8"/>
    <w:rPr>
      <w:kern w:val="0"/>
    </w:rPr>
  </w:style>
  <w:style w:type="paragraph" w:styleId="Corpodetexto">
    <w:name w:val="Body Text"/>
    <w:basedOn w:val="Normal"/>
    <w:link w:val="CorpodetextoChar"/>
    <w:rsid w:val="0084689B"/>
    <w:pPr>
      <w:suppressAutoHyphens/>
      <w:spacing w:after="140" w:line="288" w:lineRule="auto"/>
    </w:pPr>
    <w:rPr>
      <w:rFonts w:ascii="Liberation Serif" w:eastAsia="SimSun" w:hAnsi="Liberation Serif" w:cs="Arial"/>
      <w:sz w:val="24"/>
      <w:szCs w:val="24"/>
      <w:lang w:eastAsia="zh-CN" w:bidi="hi-IN"/>
    </w:rPr>
  </w:style>
  <w:style w:type="character" w:customStyle="1" w:styleId="CorpodetextoChar">
    <w:name w:val="Corpo de texto Char"/>
    <w:basedOn w:val="Fontepargpadro"/>
    <w:link w:val="Corpodetexto"/>
    <w:rsid w:val="0084689B"/>
    <w:rPr>
      <w:rFonts w:ascii="Liberation Serif" w:eastAsia="SimSun" w:hAnsi="Liberation Serif" w:cs="Arial"/>
      <w:kern w:val="0"/>
      <w:sz w:val="24"/>
      <w:szCs w:val="24"/>
      <w:lang w:eastAsia="zh-CN" w:bidi="hi-I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4314">
      <w:bodyDiv w:val="1"/>
      <w:marLeft w:val="0"/>
      <w:marRight w:val="0"/>
      <w:marTop w:val="0"/>
      <w:marBottom w:val="0"/>
      <w:divBdr>
        <w:top w:val="none" w:sz="0" w:space="0" w:color="auto"/>
        <w:left w:val="none" w:sz="0" w:space="0" w:color="auto"/>
        <w:bottom w:val="none" w:sz="0" w:space="0" w:color="auto"/>
        <w:right w:val="none" w:sz="0" w:space="0" w:color="auto"/>
      </w:divBdr>
    </w:div>
    <w:div w:id="78723780">
      <w:bodyDiv w:val="1"/>
      <w:marLeft w:val="0"/>
      <w:marRight w:val="0"/>
      <w:marTop w:val="0"/>
      <w:marBottom w:val="0"/>
      <w:divBdr>
        <w:top w:val="none" w:sz="0" w:space="0" w:color="auto"/>
        <w:left w:val="none" w:sz="0" w:space="0" w:color="auto"/>
        <w:bottom w:val="none" w:sz="0" w:space="0" w:color="auto"/>
        <w:right w:val="none" w:sz="0" w:space="0" w:color="auto"/>
      </w:divBdr>
    </w:div>
    <w:div w:id="230315223">
      <w:bodyDiv w:val="1"/>
      <w:marLeft w:val="0"/>
      <w:marRight w:val="0"/>
      <w:marTop w:val="0"/>
      <w:marBottom w:val="0"/>
      <w:divBdr>
        <w:top w:val="none" w:sz="0" w:space="0" w:color="auto"/>
        <w:left w:val="none" w:sz="0" w:space="0" w:color="auto"/>
        <w:bottom w:val="none" w:sz="0" w:space="0" w:color="auto"/>
        <w:right w:val="none" w:sz="0" w:space="0" w:color="auto"/>
      </w:divBdr>
    </w:div>
    <w:div w:id="355618676">
      <w:bodyDiv w:val="1"/>
      <w:marLeft w:val="0"/>
      <w:marRight w:val="0"/>
      <w:marTop w:val="0"/>
      <w:marBottom w:val="0"/>
      <w:divBdr>
        <w:top w:val="none" w:sz="0" w:space="0" w:color="auto"/>
        <w:left w:val="none" w:sz="0" w:space="0" w:color="auto"/>
        <w:bottom w:val="none" w:sz="0" w:space="0" w:color="auto"/>
        <w:right w:val="none" w:sz="0" w:space="0" w:color="auto"/>
      </w:divBdr>
    </w:div>
    <w:div w:id="397636268">
      <w:bodyDiv w:val="1"/>
      <w:marLeft w:val="0"/>
      <w:marRight w:val="0"/>
      <w:marTop w:val="0"/>
      <w:marBottom w:val="0"/>
      <w:divBdr>
        <w:top w:val="none" w:sz="0" w:space="0" w:color="auto"/>
        <w:left w:val="none" w:sz="0" w:space="0" w:color="auto"/>
        <w:bottom w:val="none" w:sz="0" w:space="0" w:color="auto"/>
        <w:right w:val="none" w:sz="0" w:space="0" w:color="auto"/>
      </w:divBdr>
    </w:div>
    <w:div w:id="995766473">
      <w:bodyDiv w:val="1"/>
      <w:marLeft w:val="0"/>
      <w:marRight w:val="0"/>
      <w:marTop w:val="0"/>
      <w:marBottom w:val="0"/>
      <w:divBdr>
        <w:top w:val="none" w:sz="0" w:space="0" w:color="auto"/>
        <w:left w:val="none" w:sz="0" w:space="0" w:color="auto"/>
        <w:bottom w:val="none" w:sz="0" w:space="0" w:color="auto"/>
        <w:right w:val="none" w:sz="0" w:space="0" w:color="auto"/>
      </w:divBdr>
    </w:div>
    <w:div w:id="1083263754">
      <w:bodyDiv w:val="1"/>
      <w:marLeft w:val="0"/>
      <w:marRight w:val="0"/>
      <w:marTop w:val="0"/>
      <w:marBottom w:val="0"/>
      <w:divBdr>
        <w:top w:val="none" w:sz="0" w:space="0" w:color="auto"/>
        <w:left w:val="none" w:sz="0" w:space="0" w:color="auto"/>
        <w:bottom w:val="none" w:sz="0" w:space="0" w:color="auto"/>
        <w:right w:val="none" w:sz="0" w:space="0" w:color="auto"/>
      </w:divBdr>
    </w:div>
    <w:div w:id="1278295581">
      <w:bodyDiv w:val="1"/>
      <w:marLeft w:val="0"/>
      <w:marRight w:val="0"/>
      <w:marTop w:val="0"/>
      <w:marBottom w:val="0"/>
      <w:divBdr>
        <w:top w:val="none" w:sz="0" w:space="0" w:color="auto"/>
        <w:left w:val="none" w:sz="0" w:space="0" w:color="auto"/>
        <w:bottom w:val="none" w:sz="0" w:space="0" w:color="auto"/>
        <w:right w:val="none" w:sz="0" w:space="0" w:color="auto"/>
      </w:divBdr>
    </w:div>
    <w:div w:id="1777628651">
      <w:bodyDiv w:val="1"/>
      <w:marLeft w:val="0"/>
      <w:marRight w:val="0"/>
      <w:marTop w:val="0"/>
      <w:marBottom w:val="0"/>
      <w:divBdr>
        <w:top w:val="none" w:sz="0" w:space="0" w:color="auto"/>
        <w:left w:val="none" w:sz="0" w:space="0" w:color="auto"/>
        <w:bottom w:val="none" w:sz="0" w:space="0" w:color="auto"/>
        <w:right w:val="none" w:sz="0" w:space="0" w:color="auto"/>
      </w:divBdr>
    </w:div>
    <w:div w:id="1982692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enw4lXKYeZ77Qee/qRnraXzkw==">CgMxLjAyCWlkLmdqZGd4czgAciExWGVTYWlDM3ZXLXpPY2w3aExYQUpRTEpveVRGY3JZV0Y=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64649B-89D9-40A6-AC3E-76697F295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1026</Words>
  <Characters>5543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Nóbrega Carlos Gomes</dc:creator>
  <cp:lastModifiedBy>Victor Gomes</cp:lastModifiedBy>
  <cp:revision>5</cp:revision>
  <dcterms:created xsi:type="dcterms:W3CDTF">2024-12-11T03:18:00Z</dcterms:created>
  <dcterms:modified xsi:type="dcterms:W3CDTF">2024-12-11T10:32:00Z</dcterms:modified>
</cp:coreProperties>
</file>