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87588" w14:textId="4AE639CC" w:rsidR="00C81787" w:rsidRDefault="00A73955">
      <w:pPr>
        <w:spacing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Vistos</w:t>
      </w:r>
      <w:r w:rsidR="00752F40">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etc.</w:t>
      </w:r>
    </w:p>
    <w:p w14:paraId="4321A35F" w14:textId="40BB85F2" w:rsidR="00C81787" w:rsidRDefault="00A73955">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Executando-se pena privativa de liberdade em regime fechado, vieram-me conclusos os autos para análise de remição por estudo, em virtude ter o apenado prestado o ENEM do ano de </w:t>
      </w:r>
      <w:bookmarkStart w:id="0" w:name="Ano_Do_ENEM"/>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"Ano do ENEM"  \* MERGEFORMAT </w:instrText>
      </w:r>
      <w:r w:rsidR="008B11BD">
        <w:rPr>
          <w:rFonts w:ascii="Times New Roman" w:eastAsia="Times New Roman" w:hAnsi="Times New Roman" w:cs="Times New Roman"/>
          <w:sz w:val="21"/>
          <w:szCs w:val="21"/>
        </w:rPr>
        <w:fldChar w:fldCharType="separate"/>
      </w:r>
      <w:r w:rsidR="00132D7E">
        <w:rPr>
          <w:rFonts w:ascii="Times New Roman" w:eastAsia="Times New Roman" w:hAnsi="Times New Roman" w:cs="Times New Roman"/>
          <w:sz w:val="21"/>
          <w:szCs w:val="21"/>
        </w:rPr>
        <w:t>2024</w:t>
      </w:r>
      <w:r w:rsidR="008B11BD">
        <w:rPr>
          <w:rFonts w:ascii="Times New Roman" w:eastAsia="Times New Roman" w:hAnsi="Times New Roman" w:cs="Times New Roman"/>
          <w:sz w:val="21"/>
          <w:szCs w:val="21"/>
        </w:rPr>
        <w:fldChar w:fldCharType="end"/>
      </w:r>
      <w:bookmarkEnd w:id="0"/>
      <w:r>
        <w:rPr>
          <w:rFonts w:ascii="Times New Roman" w:eastAsia="Times New Roman" w:hAnsi="Times New Roman" w:cs="Times New Roman"/>
          <w:sz w:val="21"/>
          <w:szCs w:val="21"/>
        </w:rPr>
        <w:t xml:space="preserve"> (evento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"Evento em que está o comprovante do ENEM"  \* MERGEFORMAT </w:instrText>
      </w:r>
      <w:r w:rsidR="008B11BD">
        <w:rPr>
          <w:rFonts w:ascii="Times New Roman" w:eastAsia="Times New Roman" w:hAnsi="Times New Roman" w:cs="Times New Roman"/>
          <w:sz w:val="21"/>
          <w:szCs w:val="21"/>
        </w:rPr>
        <w:fldChar w:fldCharType="separate"/>
      </w:r>
      <w:r w:rsidR="00132D7E">
        <w:rPr>
          <w:rFonts w:ascii="Times New Roman" w:eastAsia="Times New Roman" w:hAnsi="Times New Roman" w:cs="Times New Roman"/>
          <w:sz w:val="21"/>
          <w:szCs w:val="21"/>
        </w:rPr>
        <w:t>165.2</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w:t>
      </w:r>
    </w:p>
    <w:p w14:paraId="7C85397E" w14:textId="35BCBC86" w:rsidR="00C81787" w:rsidRDefault="00A73955">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Instado a se manifestar</w:t>
      </w:r>
      <w:r w:rsidR="00183B47">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o Ministério Público opinou pela concessão de remição de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"O Ministério Público opinou pela concessão de quantos dias ? (escrever entre parênteses também por extenso)"  \* MERGEFORMAT </w:instrText>
      </w:r>
      <w:r w:rsidR="008B11BD">
        <w:rPr>
          <w:rFonts w:ascii="Times New Roman" w:eastAsia="Times New Roman" w:hAnsi="Times New Roman" w:cs="Times New Roman"/>
          <w:sz w:val="21"/>
          <w:szCs w:val="21"/>
        </w:rPr>
        <w:fldChar w:fldCharType="separate"/>
      </w:r>
      <w:r w:rsidR="00132D7E">
        <w:rPr>
          <w:rFonts w:ascii="Times New Roman" w:eastAsia="Times New Roman" w:hAnsi="Times New Roman" w:cs="Times New Roman"/>
          <w:sz w:val="21"/>
          <w:szCs w:val="21"/>
        </w:rPr>
        <w:t>60 (sessenta)</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 xml:space="preserve"> dias da pena em favor do apenado (evento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"Evento do Parecer do MP"  \* MERGEFORMAT </w:instrText>
      </w:r>
      <w:r w:rsidR="008B11BD">
        <w:rPr>
          <w:rFonts w:ascii="Times New Roman" w:eastAsia="Times New Roman" w:hAnsi="Times New Roman" w:cs="Times New Roman"/>
          <w:sz w:val="21"/>
          <w:szCs w:val="21"/>
        </w:rPr>
        <w:fldChar w:fldCharType="separate"/>
      </w:r>
      <w:r w:rsidR="00132D7E">
        <w:rPr>
          <w:rFonts w:ascii="Times New Roman" w:eastAsia="Times New Roman" w:hAnsi="Times New Roman" w:cs="Times New Roman"/>
          <w:sz w:val="21"/>
          <w:szCs w:val="21"/>
        </w:rPr>
        <w:t>168.1</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w:t>
      </w:r>
    </w:p>
    <w:p w14:paraId="1DFB89A4" w14:textId="77777777" w:rsidR="00C81787" w:rsidRDefault="00A73955">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Relatados.</w:t>
      </w:r>
    </w:p>
    <w:p w14:paraId="1289F44D" w14:textId="77777777" w:rsidR="00A3336E" w:rsidRPr="00183B47" w:rsidRDefault="00A3336E"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A remição por estudo mediante aprovação em exames nacionais está atualmente em discussão no Tema Repetitivo nº 1.270 do Superior Tribunal de Justiça, pendente de definição.</w:t>
      </w:r>
    </w:p>
    <w:p w14:paraId="516DF993" w14:textId="77777777" w:rsidR="00A3336E" w:rsidRPr="00183B47" w:rsidRDefault="00A3336E"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A controvérsia surgiu quando o CNJ editou a Resolução nº 391/2021, mantendo redação da Recomendação nº 44/2013 que mencionava o ENEM como meio de certificação do ensino médio. Ocorre que, desde 2017, o Ministério da Educação não mais utiliza o ENEM para certificar conclusão de ensino médio (Portaria MEC nº 468/2017), função hoje exercida exclusivamente pelo ENCCEJA para ambos os níveis (fundamental e médio).</w:t>
      </w:r>
    </w:p>
    <w:p w14:paraId="030C60CF" w14:textId="77777777" w:rsidR="00A3336E" w:rsidRPr="00183B47" w:rsidRDefault="00A3336E"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A Resolução nº 391/2021 do CNJ estabelece, em seu art. 3º, parágrafo único, que o apenado não vinculado a atividades regulares de ensino e que estude por conta própria pode obter remição se lograr aprovação em exames certificadores. Para tanto, exige-se cumulativamente: (a) realização de estudos por conta própria (não estar vinculado ao ensino regular); e (b) certificação de conclusão do nível de ensino, o que não é mais possível pelo ENEM desde 2017.</w:t>
      </w:r>
    </w:p>
    <w:p w14:paraId="0CEAA7F7" w14:textId="77777777" w:rsidR="00A3336E" w:rsidRPr="00183B47" w:rsidRDefault="00A3336E"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O próprio STJ já pacificou que o ENEM deixou de ser utilizado para certificação a partir de 2017, servindo apenas para avaliar desempenho estudantil e ingresso no ensino superior (</w:t>
      </w:r>
      <w:proofErr w:type="spellStart"/>
      <w:r w:rsidRPr="00183B47">
        <w:rPr>
          <w:rFonts w:ascii="Times New Roman" w:eastAsia="Times New Roman" w:hAnsi="Times New Roman" w:cs="Times New Roman"/>
          <w:i/>
          <w:iCs/>
          <w:sz w:val="21"/>
          <w:szCs w:val="21"/>
        </w:rPr>
        <w:t>EDcl</w:t>
      </w:r>
      <w:proofErr w:type="spellEnd"/>
      <w:r w:rsidRPr="00183B47">
        <w:rPr>
          <w:rFonts w:ascii="Times New Roman" w:eastAsia="Times New Roman" w:hAnsi="Times New Roman" w:cs="Times New Roman"/>
          <w:i/>
          <w:iCs/>
          <w:sz w:val="21"/>
          <w:szCs w:val="21"/>
        </w:rPr>
        <w:t xml:space="preserve"> no HC 716.072/SP</w:t>
      </w:r>
      <w:r w:rsidRPr="00183B47">
        <w:rPr>
          <w:rFonts w:ascii="Times New Roman" w:eastAsia="Times New Roman" w:hAnsi="Times New Roman" w:cs="Times New Roman"/>
          <w:sz w:val="21"/>
          <w:szCs w:val="21"/>
        </w:rPr>
        <w:t xml:space="preserve">, Min. Rogerio </w:t>
      </w:r>
      <w:proofErr w:type="spellStart"/>
      <w:r w:rsidRPr="00183B47">
        <w:rPr>
          <w:rFonts w:ascii="Times New Roman" w:eastAsia="Times New Roman" w:hAnsi="Times New Roman" w:cs="Times New Roman"/>
          <w:sz w:val="21"/>
          <w:szCs w:val="21"/>
        </w:rPr>
        <w:t>Schietti</w:t>
      </w:r>
      <w:proofErr w:type="spellEnd"/>
      <w:r w:rsidRPr="00183B47">
        <w:rPr>
          <w:rFonts w:ascii="Times New Roman" w:eastAsia="Times New Roman" w:hAnsi="Times New Roman" w:cs="Times New Roman"/>
          <w:sz w:val="21"/>
          <w:szCs w:val="21"/>
        </w:rPr>
        <w:t xml:space="preserve"> Cruz). Nesse sentido: </w:t>
      </w:r>
      <w:r w:rsidRPr="00183B47">
        <w:rPr>
          <w:rFonts w:ascii="Times New Roman" w:eastAsia="Times New Roman" w:hAnsi="Times New Roman" w:cs="Times New Roman"/>
          <w:i/>
          <w:iCs/>
          <w:sz w:val="21"/>
          <w:szCs w:val="21"/>
        </w:rPr>
        <w:t>"realizar as provas do Enem não demonstra acréscimo de habilidades do ensino médio por dedicação própria"</w:t>
      </w:r>
      <w:r w:rsidRPr="00183B47">
        <w:rPr>
          <w:rFonts w:ascii="Times New Roman" w:eastAsia="Times New Roman" w:hAnsi="Times New Roman" w:cs="Times New Roman"/>
          <w:sz w:val="21"/>
          <w:szCs w:val="21"/>
        </w:rPr>
        <w:t xml:space="preserve"> (</w:t>
      </w:r>
      <w:proofErr w:type="spellStart"/>
      <w:r w:rsidRPr="00183B47">
        <w:rPr>
          <w:rFonts w:ascii="Times New Roman" w:eastAsia="Times New Roman" w:hAnsi="Times New Roman" w:cs="Times New Roman"/>
          <w:i/>
          <w:iCs/>
          <w:sz w:val="21"/>
          <w:szCs w:val="21"/>
        </w:rPr>
        <w:t>AgRg</w:t>
      </w:r>
      <w:proofErr w:type="spellEnd"/>
      <w:r w:rsidRPr="00183B47">
        <w:rPr>
          <w:rFonts w:ascii="Times New Roman" w:eastAsia="Times New Roman" w:hAnsi="Times New Roman" w:cs="Times New Roman"/>
          <w:i/>
          <w:iCs/>
          <w:sz w:val="21"/>
          <w:szCs w:val="21"/>
        </w:rPr>
        <w:t xml:space="preserve"> nos </w:t>
      </w:r>
      <w:proofErr w:type="spellStart"/>
      <w:r w:rsidRPr="00183B47">
        <w:rPr>
          <w:rFonts w:ascii="Times New Roman" w:eastAsia="Times New Roman" w:hAnsi="Times New Roman" w:cs="Times New Roman"/>
          <w:i/>
          <w:iCs/>
          <w:sz w:val="21"/>
          <w:szCs w:val="21"/>
        </w:rPr>
        <w:t>EDcl</w:t>
      </w:r>
      <w:proofErr w:type="spellEnd"/>
      <w:r w:rsidRPr="00183B47">
        <w:rPr>
          <w:rFonts w:ascii="Times New Roman" w:eastAsia="Times New Roman" w:hAnsi="Times New Roman" w:cs="Times New Roman"/>
          <w:i/>
          <w:iCs/>
          <w:sz w:val="21"/>
          <w:szCs w:val="21"/>
        </w:rPr>
        <w:t xml:space="preserve"> no RHC 162.574/SC</w:t>
      </w:r>
      <w:r w:rsidRPr="00183B47">
        <w:rPr>
          <w:rFonts w:ascii="Times New Roman" w:eastAsia="Times New Roman" w:hAnsi="Times New Roman" w:cs="Times New Roman"/>
          <w:sz w:val="21"/>
          <w:szCs w:val="21"/>
        </w:rPr>
        <w:t>).</w:t>
      </w:r>
    </w:p>
    <w:p w14:paraId="213A5C24" w14:textId="77777777" w:rsidR="00A3336E" w:rsidRPr="00183B47" w:rsidRDefault="00A3336E"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A remição por préstimo de exames exige que o reeducando não esteja vinculado a atividades regulares de ensino no interior do estabelecimento prisional, conforme orientação consolidada (</w:t>
      </w:r>
      <w:proofErr w:type="spellStart"/>
      <w:r w:rsidRPr="00183B47">
        <w:rPr>
          <w:rFonts w:ascii="Times New Roman" w:eastAsia="Times New Roman" w:hAnsi="Times New Roman" w:cs="Times New Roman"/>
          <w:i/>
          <w:iCs/>
          <w:sz w:val="21"/>
          <w:szCs w:val="21"/>
        </w:rPr>
        <w:t>AgRg</w:t>
      </w:r>
      <w:proofErr w:type="spellEnd"/>
      <w:r w:rsidRPr="00183B47">
        <w:rPr>
          <w:rFonts w:ascii="Times New Roman" w:eastAsia="Times New Roman" w:hAnsi="Times New Roman" w:cs="Times New Roman"/>
          <w:i/>
          <w:iCs/>
          <w:sz w:val="21"/>
          <w:szCs w:val="21"/>
        </w:rPr>
        <w:t xml:space="preserve"> no HC 571.366/PR</w:t>
      </w:r>
      <w:r w:rsidRPr="00183B47">
        <w:rPr>
          <w:rFonts w:ascii="Times New Roman" w:eastAsia="Times New Roman" w:hAnsi="Times New Roman" w:cs="Times New Roman"/>
          <w:sz w:val="21"/>
          <w:szCs w:val="21"/>
        </w:rPr>
        <w:t>, Min. Joel Ilan Paciornik). O ensino regular, disponível em todos os estabelecimentos prisionais deste estado, constitui a via adequada para remição por estudo.</w:t>
      </w:r>
    </w:p>
    <w:p w14:paraId="56ED9E65" w14:textId="77777777" w:rsidR="00A3336E" w:rsidRPr="00183B47" w:rsidRDefault="00A3336E"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 xml:space="preserve">Quanto à possibilidade de remição quando o apenado já concluiu o ensino médio antes da prisão, o Supremo Tribunal Federal fixou entendimento contrário à remição ficta: </w:t>
      </w:r>
      <w:r w:rsidRPr="00183B47">
        <w:rPr>
          <w:rFonts w:ascii="Times New Roman" w:eastAsia="Times New Roman" w:hAnsi="Times New Roman" w:cs="Times New Roman"/>
          <w:i/>
          <w:iCs/>
          <w:sz w:val="21"/>
          <w:szCs w:val="21"/>
        </w:rPr>
        <w:t>"A remição ficta ou virtual da pena por estudo, em virtude de aprovação no Exame Nacional do Ensino Médio (Enem), não se aplica em caso de conclusão do ensino médio em momento anterior ao início da execução penal"</w:t>
      </w:r>
      <w:r w:rsidRPr="00183B47">
        <w:rPr>
          <w:rFonts w:ascii="Times New Roman" w:eastAsia="Times New Roman" w:hAnsi="Times New Roman" w:cs="Times New Roman"/>
          <w:sz w:val="21"/>
          <w:szCs w:val="21"/>
        </w:rPr>
        <w:t xml:space="preserve"> (</w:t>
      </w:r>
      <w:r w:rsidRPr="00183B47">
        <w:rPr>
          <w:rFonts w:ascii="Times New Roman" w:eastAsia="Times New Roman" w:hAnsi="Times New Roman" w:cs="Times New Roman"/>
          <w:i/>
          <w:iCs/>
          <w:sz w:val="21"/>
          <w:szCs w:val="21"/>
        </w:rPr>
        <w:t xml:space="preserve">HC 235935 </w:t>
      </w:r>
      <w:proofErr w:type="spellStart"/>
      <w:r w:rsidRPr="00183B47">
        <w:rPr>
          <w:rFonts w:ascii="Times New Roman" w:eastAsia="Times New Roman" w:hAnsi="Times New Roman" w:cs="Times New Roman"/>
          <w:i/>
          <w:iCs/>
          <w:sz w:val="21"/>
          <w:szCs w:val="21"/>
        </w:rPr>
        <w:t>AgR</w:t>
      </w:r>
      <w:proofErr w:type="spellEnd"/>
      <w:r w:rsidRPr="00183B47">
        <w:rPr>
          <w:rFonts w:ascii="Times New Roman" w:eastAsia="Times New Roman" w:hAnsi="Times New Roman" w:cs="Times New Roman"/>
          <w:sz w:val="21"/>
          <w:szCs w:val="21"/>
        </w:rPr>
        <w:t xml:space="preserve">, Min. Nunes Marques; </w:t>
      </w:r>
      <w:r w:rsidRPr="00183B47">
        <w:rPr>
          <w:rFonts w:ascii="Times New Roman" w:eastAsia="Times New Roman" w:hAnsi="Times New Roman" w:cs="Times New Roman"/>
          <w:i/>
          <w:iCs/>
          <w:sz w:val="21"/>
          <w:szCs w:val="21"/>
        </w:rPr>
        <w:t xml:space="preserve">RHC 181787 </w:t>
      </w:r>
      <w:proofErr w:type="spellStart"/>
      <w:r w:rsidRPr="00183B47">
        <w:rPr>
          <w:rFonts w:ascii="Times New Roman" w:eastAsia="Times New Roman" w:hAnsi="Times New Roman" w:cs="Times New Roman"/>
          <w:i/>
          <w:iCs/>
          <w:sz w:val="21"/>
          <w:szCs w:val="21"/>
        </w:rPr>
        <w:t>AgR</w:t>
      </w:r>
      <w:proofErr w:type="spellEnd"/>
      <w:r w:rsidRPr="00183B47">
        <w:rPr>
          <w:rFonts w:ascii="Times New Roman" w:eastAsia="Times New Roman" w:hAnsi="Times New Roman" w:cs="Times New Roman"/>
          <w:sz w:val="21"/>
          <w:szCs w:val="21"/>
        </w:rPr>
        <w:t xml:space="preserve">, Min. </w:t>
      </w:r>
      <w:proofErr w:type="spellStart"/>
      <w:r w:rsidRPr="00183B47">
        <w:rPr>
          <w:rFonts w:ascii="Times New Roman" w:eastAsia="Times New Roman" w:hAnsi="Times New Roman" w:cs="Times New Roman"/>
          <w:sz w:val="21"/>
          <w:szCs w:val="21"/>
        </w:rPr>
        <w:t>Cármen</w:t>
      </w:r>
      <w:proofErr w:type="spellEnd"/>
      <w:r w:rsidRPr="00183B47">
        <w:rPr>
          <w:rFonts w:ascii="Times New Roman" w:eastAsia="Times New Roman" w:hAnsi="Times New Roman" w:cs="Times New Roman"/>
          <w:sz w:val="21"/>
          <w:szCs w:val="21"/>
        </w:rPr>
        <w:t xml:space="preserve"> Lúcia).</w:t>
      </w:r>
    </w:p>
    <w:p w14:paraId="0039C078" w14:textId="1FC3C9BC" w:rsidR="00787D2F" w:rsidRPr="00183B47" w:rsidRDefault="00A3336E"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 xml:space="preserve">Embora </w:t>
      </w:r>
      <w:r w:rsidR="00E458D4" w:rsidRPr="00183B47">
        <w:rPr>
          <w:rFonts w:ascii="Times New Roman" w:eastAsia="Times New Roman" w:hAnsi="Times New Roman" w:cs="Times New Roman"/>
          <w:sz w:val="21"/>
          <w:szCs w:val="21"/>
        </w:rPr>
        <w:t>o Superior Tribunal de Justiça tenha admitido</w:t>
      </w:r>
      <w:r w:rsidRPr="00183B47">
        <w:rPr>
          <w:rFonts w:ascii="Times New Roman" w:eastAsia="Times New Roman" w:hAnsi="Times New Roman" w:cs="Times New Roman"/>
          <w:sz w:val="21"/>
          <w:szCs w:val="21"/>
        </w:rPr>
        <w:t xml:space="preserve"> a remição pelo ENEM mesmo após conclusão prévia do ensino médio (</w:t>
      </w:r>
      <w:r w:rsidRPr="00183B47">
        <w:rPr>
          <w:rFonts w:ascii="Times New Roman" w:eastAsia="Times New Roman" w:hAnsi="Times New Roman" w:cs="Times New Roman"/>
          <w:i/>
          <w:iCs/>
          <w:sz w:val="21"/>
          <w:szCs w:val="21"/>
        </w:rPr>
        <w:t>HC 786.844/SP</w:t>
      </w:r>
      <w:r w:rsidRPr="00183B47">
        <w:rPr>
          <w:rFonts w:ascii="Times New Roman" w:eastAsia="Times New Roman" w:hAnsi="Times New Roman" w:cs="Times New Roman"/>
          <w:sz w:val="21"/>
          <w:szCs w:val="21"/>
        </w:rPr>
        <w:t>)</w:t>
      </w:r>
      <w:r w:rsidR="006863DA" w:rsidRPr="00183B47">
        <w:rPr>
          <w:rFonts w:ascii="Times New Roman" w:eastAsia="Times New Roman" w:hAnsi="Times New Roman" w:cs="Times New Roman"/>
          <w:sz w:val="21"/>
          <w:szCs w:val="21"/>
        </w:rPr>
        <w:t xml:space="preserve"> e </w:t>
      </w:r>
      <w:r w:rsidR="00FE14BE">
        <w:rPr>
          <w:rFonts w:ascii="Times New Roman" w:eastAsia="Times New Roman" w:hAnsi="Times New Roman" w:cs="Times New Roman"/>
          <w:sz w:val="21"/>
          <w:szCs w:val="21"/>
        </w:rPr>
        <w:t>o</w:t>
      </w:r>
      <w:r w:rsidR="006863DA" w:rsidRPr="00183B47">
        <w:rPr>
          <w:rFonts w:ascii="Times New Roman" w:eastAsia="Times New Roman" w:hAnsi="Times New Roman" w:cs="Times New Roman"/>
          <w:sz w:val="21"/>
          <w:szCs w:val="21"/>
        </w:rPr>
        <w:t xml:space="preserve"> TJRN também admita em alguns casos </w:t>
      </w:r>
      <w:r w:rsidR="006863DA" w:rsidRPr="00183B47">
        <w:rPr>
          <w:rFonts w:ascii="Times New Roman" w:eastAsia="Times New Roman" w:hAnsi="Times New Roman" w:cs="Times New Roman"/>
          <w:sz w:val="21"/>
          <w:szCs w:val="21"/>
        </w:rPr>
        <w:lastRenderedPageBreak/>
        <w:t>isolados, há de se vislumbrar que</w:t>
      </w:r>
      <w:r w:rsidRPr="00183B47">
        <w:rPr>
          <w:rFonts w:ascii="Times New Roman" w:eastAsia="Times New Roman" w:hAnsi="Times New Roman" w:cs="Times New Roman"/>
          <w:sz w:val="21"/>
          <w:szCs w:val="21"/>
        </w:rPr>
        <w:t xml:space="preserve"> tal entendimento: (i) não vincula este juízo; (</w:t>
      </w:r>
      <w:proofErr w:type="spellStart"/>
      <w:r w:rsidRPr="00183B47">
        <w:rPr>
          <w:rFonts w:ascii="Times New Roman" w:eastAsia="Times New Roman" w:hAnsi="Times New Roman" w:cs="Times New Roman"/>
          <w:sz w:val="21"/>
          <w:szCs w:val="21"/>
        </w:rPr>
        <w:t>ii</w:t>
      </w:r>
      <w:proofErr w:type="spellEnd"/>
      <w:r w:rsidRPr="00183B47">
        <w:rPr>
          <w:rFonts w:ascii="Times New Roman" w:eastAsia="Times New Roman" w:hAnsi="Times New Roman" w:cs="Times New Roman"/>
          <w:sz w:val="21"/>
          <w:szCs w:val="21"/>
        </w:rPr>
        <w:t>) conflita com a impossibilidade de certificação pelo ENEM desde 2017; e (</w:t>
      </w:r>
      <w:proofErr w:type="spellStart"/>
      <w:r w:rsidRPr="00183B47">
        <w:rPr>
          <w:rFonts w:ascii="Times New Roman" w:eastAsia="Times New Roman" w:hAnsi="Times New Roman" w:cs="Times New Roman"/>
          <w:sz w:val="21"/>
          <w:szCs w:val="21"/>
        </w:rPr>
        <w:t>iii</w:t>
      </w:r>
      <w:proofErr w:type="spellEnd"/>
      <w:r w:rsidRPr="00183B47">
        <w:rPr>
          <w:rFonts w:ascii="Times New Roman" w:eastAsia="Times New Roman" w:hAnsi="Times New Roman" w:cs="Times New Roman"/>
          <w:sz w:val="21"/>
          <w:szCs w:val="21"/>
        </w:rPr>
        <w:t>) possibilita distorções como concessão anual indiscriminada de remição e aprovações parciais reiteradas</w:t>
      </w:r>
      <w:r w:rsidR="00787D2F" w:rsidRPr="00183B47">
        <w:rPr>
          <w:rFonts w:ascii="Times New Roman" w:eastAsia="Times New Roman" w:hAnsi="Times New Roman" w:cs="Times New Roman"/>
          <w:sz w:val="21"/>
          <w:szCs w:val="21"/>
        </w:rPr>
        <w:t>.</w:t>
      </w:r>
    </w:p>
    <w:p w14:paraId="74E264AA" w14:textId="0C5345DB" w:rsidR="00A3336E" w:rsidRPr="00183B47" w:rsidRDefault="00787D2F"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Ademais, como dito acima, o Superior Tribunal de Justiça ainda não definiu a situação, que aguarda o julgamento do Tema Repetitivo nº 1.270, o que sugere divergência naquela Corte</w:t>
      </w:r>
      <w:r w:rsidR="00E458D4" w:rsidRPr="00183B47">
        <w:rPr>
          <w:rFonts w:ascii="Times New Roman" w:eastAsia="Times New Roman" w:hAnsi="Times New Roman" w:cs="Times New Roman"/>
          <w:sz w:val="21"/>
          <w:szCs w:val="21"/>
        </w:rPr>
        <w:t>, permanecendo a posição consolidada no Supremo Tribunal Federal, pela não concessão de remição em tal hipótese</w:t>
      </w:r>
      <w:r w:rsidR="00A3336E" w:rsidRPr="00183B47">
        <w:rPr>
          <w:rFonts w:ascii="Times New Roman" w:eastAsia="Times New Roman" w:hAnsi="Times New Roman" w:cs="Times New Roman"/>
          <w:sz w:val="21"/>
          <w:szCs w:val="21"/>
        </w:rPr>
        <w:t>.</w:t>
      </w:r>
    </w:p>
    <w:p w14:paraId="2C3CB95B" w14:textId="7514247A" w:rsidR="00A3336E" w:rsidRPr="00183B47" w:rsidRDefault="00787D2F"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Ora, a</w:t>
      </w:r>
      <w:r w:rsidR="00A3336E" w:rsidRPr="00183B47">
        <w:rPr>
          <w:rFonts w:ascii="Times New Roman" w:eastAsia="Times New Roman" w:hAnsi="Times New Roman" w:cs="Times New Roman"/>
          <w:sz w:val="21"/>
          <w:szCs w:val="21"/>
        </w:rPr>
        <w:t xml:space="preserve"> finalidade do instituto </w:t>
      </w:r>
      <w:r w:rsidR="006863DA" w:rsidRPr="00183B47">
        <w:rPr>
          <w:rFonts w:ascii="Times New Roman" w:eastAsia="Times New Roman" w:hAnsi="Times New Roman" w:cs="Times New Roman"/>
          <w:sz w:val="21"/>
          <w:szCs w:val="21"/>
        </w:rPr>
        <w:t>deve ser</w:t>
      </w:r>
      <w:r w:rsidR="00A3336E" w:rsidRPr="00183B47">
        <w:rPr>
          <w:rFonts w:ascii="Times New Roman" w:eastAsia="Times New Roman" w:hAnsi="Times New Roman" w:cs="Times New Roman"/>
          <w:sz w:val="21"/>
          <w:szCs w:val="21"/>
        </w:rPr>
        <w:t xml:space="preserve"> incentivar a ressocialização, não premiar intelecção prévia. A concessão de remição deve evidenciar dedicação durante a execução penal, com efetivo aproveitamento escolar que contribua para reinserção social, conforme destacou o Min. </w:t>
      </w:r>
      <w:proofErr w:type="spellStart"/>
      <w:r w:rsidR="00A3336E" w:rsidRPr="00183B47">
        <w:rPr>
          <w:rFonts w:ascii="Times New Roman" w:eastAsia="Times New Roman" w:hAnsi="Times New Roman" w:cs="Times New Roman"/>
          <w:sz w:val="21"/>
          <w:szCs w:val="21"/>
        </w:rPr>
        <w:t>Messod</w:t>
      </w:r>
      <w:proofErr w:type="spellEnd"/>
      <w:r w:rsidR="00A3336E" w:rsidRPr="00183B47">
        <w:rPr>
          <w:rFonts w:ascii="Times New Roman" w:eastAsia="Times New Roman" w:hAnsi="Times New Roman" w:cs="Times New Roman"/>
          <w:sz w:val="21"/>
          <w:szCs w:val="21"/>
        </w:rPr>
        <w:t xml:space="preserve"> Azulay Neto </w:t>
      </w:r>
      <w:r w:rsidR="003B6DE3" w:rsidRPr="00183B47">
        <w:rPr>
          <w:rFonts w:ascii="Times New Roman" w:eastAsia="Times New Roman" w:hAnsi="Times New Roman" w:cs="Times New Roman"/>
          <w:sz w:val="21"/>
          <w:szCs w:val="21"/>
        </w:rPr>
        <w:t>em seu voto cirúrgico quando d</w:t>
      </w:r>
      <w:r w:rsidR="00A3336E" w:rsidRPr="00183B47">
        <w:rPr>
          <w:rFonts w:ascii="Times New Roman" w:eastAsia="Times New Roman" w:hAnsi="Times New Roman" w:cs="Times New Roman"/>
          <w:sz w:val="21"/>
          <w:szCs w:val="21"/>
        </w:rPr>
        <w:t xml:space="preserve">o julgamento do </w:t>
      </w:r>
      <w:r w:rsidR="00A3336E" w:rsidRPr="00183B47">
        <w:rPr>
          <w:rFonts w:ascii="Times New Roman" w:eastAsia="Times New Roman" w:hAnsi="Times New Roman" w:cs="Times New Roman"/>
          <w:i/>
          <w:iCs/>
          <w:sz w:val="21"/>
          <w:szCs w:val="21"/>
        </w:rPr>
        <w:t>REsp 2.082.471</w:t>
      </w:r>
      <w:r w:rsidR="006863DA" w:rsidRPr="00183B47">
        <w:rPr>
          <w:rFonts w:ascii="Times New Roman" w:eastAsia="Times New Roman" w:hAnsi="Times New Roman" w:cs="Times New Roman"/>
          <w:i/>
          <w:iCs/>
          <w:sz w:val="21"/>
          <w:szCs w:val="21"/>
        </w:rPr>
        <w:t xml:space="preserve">, </w:t>
      </w:r>
      <w:r w:rsidR="006863DA" w:rsidRPr="00183B47">
        <w:rPr>
          <w:rFonts w:ascii="Times New Roman" w:eastAsia="Times New Roman" w:hAnsi="Times New Roman" w:cs="Times New Roman"/>
          <w:sz w:val="21"/>
          <w:szCs w:val="21"/>
        </w:rPr>
        <w:t>de 20/11/2023</w:t>
      </w:r>
      <w:r w:rsidR="003B6DE3" w:rsidRPr="00183B47">
        <w:rPr>
          <w:rFonts w:ascii="Times New Roman" w:eastAsia="Times New Roman" w:hAnsi="Times New Roman" w:cs="Times New Roman"/>
          <w:sz w:val="21"/>
          <w:szCs w:val="21"/>
        </w:rPr>
        <w:t>:</w:t>
      </w:r>
    </w:p>
    <w:p w14:paraId="09BD0C1E" w14:textId="4A41F3AB" w:rsidR="006863DA" w:rsidRPr="00183B47" w:rsidRDefault="006863DA" w:rsidP="006863DA">
      <w:pPr>
        <w:spacing w:before="280" w:after="165" w:line="240" w:lineRule="auto"/>
        <w:ind w:left="1701"/>
        <w:jc w:val="both"/>
        <w:rPr>
          <w:rFonts w:ascii="Times New Roman" w:eastAsia="Times New Roman" w:hAnsi="Times New Roman" w:cs="Times New Roman"/>
          <w:i/>
          <w:iCs/>
          <w:sz w:val="21"/>
          <w:szCs w:val="21"/>
        </w:rPr>
      </w:pPr>
      <w:r w:rsidRPr="00183B47">
        <w:rPr>
          <w:rFonts w:ascii="Times New Roman" w:eastAsia="Times New Roman" w:hAnsi="Times New Roman" w:cs="Times New Roman"/>
          <w:i/>
          <w:iCs/>
          <w:sz w:val="21"/>
          <w:szCs w:val="21"/>
        </w:rPr>
        <w:t xml:space="preserve">“(...) É fato que a jurisprudência deste Superior Tribunal de Justiça - STJ apresenta variações que reclamam aprofundamento, no que diz respeito à possibilidade de remição de pena pelo estudo individual com conclusão de níveis de ensino pela submissão à exame de aferição de competências. Para tanto, é preciso identificar quais são as avaliações que, frequentemente, são objeto de pedido de remição pelo estudo individual. (...) Quando o recuperando conclui o ensino médio ou fundamental com participação em programa regular de aulas para a educação de jovens e adultos, não restavam dúvidas de que a remição ocorre pela carga horária efetivamente estudada, limitada à carga horária previamente estabelecida para cada nível de ensino.  Sendo este o entendimento de então, minha posição externada no julgamento do HC n° 786844, nesta Quinta Turma, foi no sentido de que o paciente não faria jus à remição pelo estudo individual, uma vez que, conforme ressaltado pelo agravante, ao iniciar o cumprimento da pena, o agravado já havia concluído o ensino médio. Naquela oportunidade, o fundamento adotado era o de que "a finalidade da remição pelo estudo não é simplesmente diminuir o tempo de encarceramento da pessoa presa, mas, facilitar a sua reintegração social por meio do aprendizado de novos conhecimentos". </w:t>
      </w:r>
    </w:p>
    <w:p w14:paraId="60473191" w14:textId="04469A02" w:rsidR="00A3336E" w:rsidRPr="00183B47" w:rsidRDefault="006863DA" w:rsidP="00A3336E">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Assim, d</w:t>
      </w:r>
      <w:r w:rsidR="00A3336E" w:rsidRPr="00183B47">
        <w:rPr>
          <w:rFonts w:ascii="Times New Roman" w:eastAsia="Times New Roman" w:hAnsi="Times New Roman" w:cs="Times New Roman"/>
          <w:sz w:val="21"/>
          <w:szCs w:val="21"/>
        </w:rPr>
        <w:t>iante d</w:t>
      </w:r>
      <w:r w:rsidR="00E458D4" w:rsidRPr="00183B47">
        <w:rPr>
          <w:rFonts w:ascii="Times New Roman" w:eastAsia="Times New Roman" w:hAnsi="Times New Roman" w:cs="Times New Roman"/>
          <w:sz w:val="21"/>
          <w:szCs w:val="21"/>
        </w:rPr>
        <w:t>o panorama acima delineado, bem como, diante da</w:t>
      </w:r>
      <w:r w:rsidR="00A3336E" w:rsidRPr="00183B47">
        <w:rPr>
          <w:rFonts w:ascii="Times New Roman" w:eastAsia="Times New Roman" w:hAnsi="Times New Roman" w:cs="Times New Roman"/>
          <w:sz w:val="21"/>
          <w:szCs w:val="21"/>
        </w:rPr>
        <w:t xml:space="preserve"> impossibilidade de certificação </w:t>
      </w:r>
      <w:r w:rsidRPr="00183B47">
        <w:rPr>
          <w:rFonts w:ascii="Times New Roman" w:eastAsia="Times New Roman" w:hAnsi="Times New Roman" w:cs="Times New Roman"/>
          <w:sz w:val="21"/>
          <w:szCs w:val="21"/>
        </w:rPr>
        <w:t xml:space="preserve">de nível de ensino </w:t>
      </w:r>
      <w:r w:rsidR="00A3336E" w:rsidRPr="00183B47">
        <w:rPr>
          <w:rFonts w:ascii="Times New Roman" w:eastAsia="Times New Roman" w:hAnsi="Times New Roman" w:cs="Times New Roman"/>
          <w:sz w:val="21"/>
          <w:szCs w:val="21"/>
        </w:rPr>
        <w:t xml:space="preserve">pelo ENEM desde 2017, este juízo mantém o entendimento de que o mencionado exame não é meio válido para remição nos termos da Resolução nº 391/2021 do CNJ. </w:t>
      </w:r>
    </w:p>
    <w:p w14:paraId="1940EB55" w14:textId="4B67FCBF" w:rsidR="00C81787" w:rsidRDefault="00A73955">
      <w:pPr>
        <w:spacing w:before="280" w:after="165" w:line="240" w:lineRule="auto"/>
        <w:ind w:firstLine="1418"/>
        <w:jc w:val="both"/>
        <w:rPr>
          <w:rFonts w:ascii="Times New Roman" w:eastAsia="Times New Roman" w:hAnsi="Times New Roman" w:cs="Times New Roman"/>
          <w:sz w:val="21"/>
          <w:szCs w:val="21"/>
        </w:rPr>
      </w:pPr>
      <w:r w:rsidRPr="00183B47">
        <w:rPr>
          <w:rFonts w:ascii="Times New Roman" w:eastAsia="Times New Roman" w:hAnsi="Times New Roman" w:cs="Times New Roman"/>
          <w:sz w:val="21"/>
          <w:szCs w:val="21"/>
        </w:rPr>
        <w:t>No caso dos autos, observou-se que o apenado realizou o E</w:t>
      </w:r>
      <w:r>
        <w:rPr>
          <w:rFonts w:ascii="Times New Roman" w:eastAsia="Times New Roman" w:hAnsi="Times New Roman" w:cs="Times New Roman"/>
          <w:sz w:val="21"/>
          <w:szCs w:val="21"/>
        </w:rPr>
        <w:t xml:space="preserve">NEM no ano de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REF  Ano_Do_ENEM </w:instrText>
      </w:r>
      <w:r w:rsidR="008B11BD">
        <w:rPr>
          <w:rFonts w:ascii="Times New Roman" w:eastAsia="Times New Roman" w:hAnsi="Times New Roman" w:cs="Times New Roman"/>
          <w:sz w:val="21"/>
          <w:szCs w:val="21"/>
        </w:rPr>
        <w:fldChar w:fldCharType="separate"/>
      </w:r>
      <w:r w:rsidR="00132D7E">
        <w:rPr>
          <w:rFonts w:ascii="Times New Roman" w:eastAsia="Times New Roman" w:hAnsi="Times New Roman" w:cs="Times New Roman"/>
          <w:sz w:val="21"/>
          <w:szCs w:val="21"/>
        </w:rPr>
        <w:t>2024</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 xml:space="preserve">, </w:t>
      </w:r>
      <w:r w:rsidR="00387E34">
        <w:rPr>
          <w:rFonts w:ascii="Times New Roman" w:eastAsia="Times New Roman" w:hAnsi="Times New Roman" w:cs="Times New Roman"/>
          <w:sz w:val="21"/>
          <w:szCs w:val="21"/>
        </w:rPr>
        <w:t>em que o exame não se mostrou suficiente para obter qualquer</w:t>
      </w:r>
      <w:r>
        <w:rPr>
          <w:rFonts w:ascii="Times New Roman" w:eastAsia="Times New Roman" w:hAnsi="Times New Roman" w:cs="Times New Roman"/>
          <w:sz w:val="21"/>
          <w:szCs w:val="21"/>
        </w:rPr>
        <w:t xml:space="preserve"> conclusão de nível de ensino</w:t>
      </w:r>
      <w:r w:rsidR="00387E34">
        <w:rPr>
          <w:rFonts w:ascii="Times New Roman" w:eastAsia="Times New Roman" w:hAnsi="Times New Roman" w:cs="Times New Roman"/>
          <w:sz w:val="21"/>
          <w:szCs w:val="21"/>
        </w:rPr>
        <w:t xml:space="preserve"> ou acréscimo intelectual</w:t>
      </w:r>
      <w:r>
        <w:rPr>
          <w:rFonts w:ascii="Times New Roman" w:eastAsia="Times New Roman" w:hAnsi="Times New Roman" w:cs="Times New Roman"/>
          <w:sz w:val="21"/>
          <w:szCs w:val="21"/>
        </w:rPr>
        <w:t>, requisito essencial para concessão de remição nos moldes pleiteados.</w:t>
      </w:r>
    </w:p>
    <w:p w14:paraId="6A90D98B" w14:textId="5BEF6AE8" w:rsidR="00C81787" w:rsidRDefault="00A73955">
      <w:pPr>
        <w:spacing w:before="280" w:after="165" w:line="240" w:lineRule="auto"/>
        <w:ind w:firstLine="1418"/>
        <w:jc w:val="both"/>
        <w:rPr>
          <w:rFonts w:ascii="Times New Roman" w:eastAsia="Times New Roman" w:hAnsi="Times New Roman" w:cs="Times New Roman"/>
          <w:sz w:val="24"/>
          <w:szCs w:val="24"/>
        </w:rPr>
      </w:pPr>
      <w:r>
        <w:rPr>
          <w:rFonts w:ascii="Times New Roman" w:eastAsia="Times New Roman" w:hAnsi="Times New Roman" w:cs="Times New Roman"/>
          <w:sz w:val="21"/>
          <w:szCs w:val="21"/>
        </w:rPr>
        <w:t xml:space="preserve">Isso posto, indefiro o pedido de remição em razão da participação do apenado no ENEM do ano de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REF  Ano_Do_ENEM </w:instrText>
      </w:r>
      <w:r w:rsidR="008B11BD">
        <w:rPr>
          <w:rFonts w:ascii="Times New Roman" w:eastAsia="Times New Roman" w:hAnsi="Times New Roman" w:cs="Times New Roman"/>
          <w:sz w:val="21"/>
          <w:szCs w:val="21"/>
        </w:rPr>
        <w:fldChar w:fldCharType="separate"/>
      </w:r>
      <w:r w:rsidR="00132D7E">
        <w:rPr>
          <w:rFonts w:ascii="Times New Roman" w:eastAsia="Times New Roman" w:hAnsi="Times New Roman" w:cs="Times New Roman"/>
          <w:sz w:val="21"/>
          <w:szCs w:val="21"/>
        </w:rPr>
        <w:t>2024</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w:t>
      </w:r>
    </w:p>
    <w:p w14:paraId="51F69624" w14:textId="77777777" w:rsidR="00C81787" w:rsidRDefault="00A73955">
      <w:pPr>
        <w:spacing w:before="280" w:after="165" w:line="240" w:lineRule="auto"/>
        <w:ind w:firstLine="1418"/>
        <w:jc w:val="both"/>
        <w:rPr>
          <w:rFonts w:ascii="Times New Roman" w:eastAsia="Times New Roman" w:hAnsi="Times New Roman" w:cs="Times New Roman"/>
          <w:sz w:val="24"/>
          <w:szCs w:val="24"/>
        </w:rPr>
      </w:pPr>
      <w:r>
        <w:rPr>
          <w:rFonts w:ascii="Times New Roman" w:eastAsia="Times New Roman" w:hAnsi="Times New Roman" w:cs="Times New Roman"/>
          <w:sz w:val="21"/>
          <w:szCs w:val="21"/>
        </w:rPr>
        <w:t xml:space="preserve">P.R.I. </w:t>
      </w:r>
    </w:p>
    <w:sectPr w:rsidR="00C81787">
      <w:headerReference w:type="first" r:id="rId9"/>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85C8F" w14:textId="77777777" w:rsidR="000528DB" w:rsidRDefault="000528DB">
      <w:pPr>
        <w:spacing w:after="0" w:line="240" w:lineRule="auto"/>
      </w:pPr>
      <w:r>
        <w:separator/>
      </w:r>
    </w:p>
  </w:endnote>
  <w:endnote w:type="continuationSeparator" w:id="0">
    <w:p w14:paraId="7560CD4C" w14:textId="77777777" w:rsidR="000528DB" w:rsidRDefault="00052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8AD39" w14:textId="77777777" w:rsidR="000528DB" w:rsidRDefault="000528DB">
      <w:pPr>
        <w:spacing w:after="0" w:line="240" w:lineRule="auto"/>
      </w:pPr>
      <w:r>
        <w:separator/>
      </w:r>
    </w:p>
  </w:footnote>
  <w:footnote w:type="continuationSeparator" w:id="0">
    <w:p w14:paraId="77F0867D" w14:textId="77777777" w:rsidR="000528DB" w:rsidRDefault="00052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CFF4" w14:textId="77777777" w:rsidR="00C81787" w:rsidRDefault="00A73955">
    <w:pPr>
      <w:pBdr>
        <w:top w:val="nil"/>
        <w:left w:val="nil"/>
        <w:bottom w:val="nil"/>
        <w:right w:val="nil"/>
        <w:between w:val="nil"/>
      </w:pBdr>
      <w:tabs>
        <w:tab w:val="center" w:pos="4252"/>
        <w:tab w:val="right" w:pos="8504"/>
        <w:tab w:val="left" w:pos="3045"/>
      </w:tabs>
      <w:spacing w:after="0" w:line="240" w:lineRule="auto"/>
      <w:jc w:val="center"/>
      <w:rPr>
        <w:color w:val="000000"/>
      </w:rPr>
    </w:pPr>
    <w:r>
      <w:rPr>
        <w:noProof/>
        <w:color w:val="000000"/>
      </w:rPr>
      <w:drawing>
        <wp:inline distT="0" distB="0" distL="0" distR="0" wp14:anchorId="514235B6" wp14:editId="74136034">
          <wp:extent cx="4953000" cy="523875"/>
          <wp:effectExtent l="0" t="0" r="0" b="0"/>
          <wp:docPr id="1679541612"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
                  <a:srcRect/>
                  <a:stretch>
                    <a:fillRect/>
                  </a:stretch>
                </pic:blipFill>
                <pic:spPr>
                  <a:xfrm>
                    <a:off x="0" y="0"/>
                    <a:ext cx="4953000" cy="523875"/>
                  </a:xfrm>
                  <a:prstGeom prst="rect">
                    <a:avLst/>
                  </a:prstGeom>
                  <a:ln/>
                </pic:spPr>
              </pic:pic>
            </a:graphicData>
          </a:graphic>
        </wp:inline>
      </w:drawing>
    </w:r>
  </w:p>
  <w:p w14:paraId="29C4B815" w14:textId="77777777" w:rsidR="00C81787" w:rsidRDefault="00A73955">
    <w:pPr>
      <w:pBdr>
        <w:top w:val="nil"/>
        <w:left w:val="nil"/>
        <w:bottom w:val="nil"/>
        <w:right w:val="nil"/>
        <w:between w:val="nil"/>
      </w:pBdr>
      <w:tabs>
        <w:tab w:val="center" w:pos="4252"/>
        <w:tab w:val="right" w:pos="8504"/>
        <w:tab w:val="left" w:pos="3045"/>
      </w:tabs>
      <w:spacing w:after="0" w:line="240" w:lineRule="auto"/>
      <w:jc w:val="center"/>
      <w:rPr>
        <w:color w:val="000000"/>
      </w:rPr>
    </w:pPr>
    <w:r>
      <w:rPr>
        <w:noProof/>
        <w:color w:val="000000"/>
      </w:rPr>
      <w:drawing>
        <wp:inline distT="0" distB="0" distL="0" distR="0" wp14:anchorId="265EA9F9" wp14:editId="18AB6B55">
          <wp:extent cx="3619500" cy="378682"/>
          <wp:effectExtent l="0" t="0" r="0" b="0"/>
          <wp:docPr id="1679541613"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2"/>
                  <a:srcRect/>
                  <a:stretch>
                    <a:fillRect/>
                  </a:stretch>
                </pic:blipFill>
                <pic:spPr>
                  <a:xfrm>
                    <a:off x="0" y="0"/>
                    <a:ext cx="3619500" cy="378682"/>
                  </a:xfrm>
                  <a:prstGeom prst="rect">
                    <a:avLst/>
                  </a:prstGeom>
                  <a:ln/>
                </pic:spPr>
              </pic:pic>
            </a:graphicData>
          </a:graphic>
        </wp:inline>
      </w:drawing>
    </w:r>
  </w:p>
  <w:p w14:paraId="7AD6BB71" w14:textId="77777777" w:rsidR="00C81787" w:rsidRDefault="00C81787">
    <w:pPr>
      <w:pBdr>
        <w:top w:val="nil"/>
        <w:left w:val="nil"/>
        <w:bottom w:val="nil"/>
        <w:right w:val="nil"/>
        <w:between w:val="nil"/>
      </w:pBdr>
      <w:tabs>
        <w:tab w:val="center" w:pos="4252"/>
        <w:tab w:val="right" w:pos="8504"/>
        <w:tab w:val="left" w:pos="3045"/>
      </w:tabs>
      <w:spacing w:after="0" w:line="240" w:lineRule="auto"/>
      <w:jc w:val="center"/>
      <w:rPr>
        <w:color w:val="000000"/>
      </w:rPr>
    </w:pPr>
  </w:p>
  <w:p w14:paraId="1AE1D8A3" w14:textId="77777777" w:rsidR="00C81787" w:rsidRDefault="00A73955">
    <w:pPr>
      <w:pBdr>
        <w:top w:val="nil"/>
        <w:left w:val="nil"/>
        <w:bottom w:val="nil"/>
        <w:right w:val="nil"/>
        <w:between w:val="nil"/>
      </w:pBdr>
      <w:tabs>
        <w:tab w:val="center" w:pos="4252"/>
        <w:tab w:val="right" w:pos="8504"/>
      </w:tabs>
      <w:spacing w:after="0" w:line="240" w:lineRule="auto"/>
      <w:jc w:val="center"/>
      <w:rPr>
        <w:rFonts w:ascii="Arial Black" w:eastAsia="Arial Black" w:hAnsi="Arial Black" w:cs="Arial Black"/>
        <w:b/>
        <w:color w:val="000000"/>
        <w:sz w:val="24"/>
        <w:szCs w:val="24"/>
      </w:rPr>
    </w:pPr>
    <w:r>
      <w:rPr>
        <w:rFonts w:ascii="Arial Black" w:eastAsia="Arial Black" w:hAnsi="Arial Black" w:cs="Arial Black"/>
        <w:b/>
        <w:color w:val="000000"/>
        <w:sz w:val="24"/>
        <w:szCs w:val="24"/>
        <w:u w:val="single"/>
      </w:rPr>
      <w:t>INSTRUÇÕES</w:t>
    </w:r>
    <w:r>
      <w:rPr>
        <w:rFonts w:ascii="Arial Black" w:eastAsia="Arial Black" w:hAnsi="Arial Black" w:cs="Arial Black"/>
        <w:b/>
        <w:color w:val="000000"/>
        <w:sz w:val="24"/>
        <w:szCs w:val="24"/>
      </w:rPr>
      <w:t xml:space="preserve"> (TEM QUE ABRIR NO WORD PRA FUNCIONAR):</w:t>
    </w:r>
  </w:p>
  <w:p w14:paraId="65409EFC" w14:textId="77777777" w:rsidR="00C81787" w:rsidRDefault="00A73955">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APERTE CTRL + T (PARA SELECIONAR TUDO)</w:t>
    </w:r>
  </w:p>
  <w:p w14:paraId="7B20051B" w14:textId="77777777" w:rsidR="00C81787" w:rsidRDefault="00A73955">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DEPOIS APERTE F9 E VÁ PREENCHENDO</w:t>
    </w:r>
  </w:p>
  <w:p w14:paraId="1670DBAA" w14:textId="77777777" w:rsidR="00C81787" w:rsidRDefault="00A73955">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PRONTO! É SÓ COPIAR E COLAR!</w:t>
    </w:r>
  </w:p>
  <w:p w14:paraId="02A7D02B" w14:textId="77777777" w:rsidR="00C81787" w:rsidRDefault="00C81787">
    <w:pPr>
      <w:pBdr>
        <w:top w:val="nil"/>
        <w:left w:val="nil"/>
        <w:bottom w:val="nil"/>
        <w:right w:val="nil"/>
        <w:between w:val="nil"/>
      </w:pBdr>
      <w:tabs>
        <w:tab w:val="center" w:pos="4252"/>
        <w:tab w:val="right" w:pos="8504"/>
      </w:tabs>
      <w:spacing w:after="0" w:line="240" w:lineRule="auto"/>
      <w:ind w:left="360"/>
      <w:rPr>
        <w:rFonts w:ascii="Arial" w:eastAsia="Arial" w:hAnsi="Arial" w:cs="Arial"/>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3FD5"/>
    <w:multiLevelType w:val="multilevel"/>
    <w:tmpl w:val="14D8F58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916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787"/>
    <w:rsid w:val="00005AB1"/>
    <w:rsid w:val="00051FD6"/>
    <w:rsid w:val="000528DB"/>
    <w:rsid w:val="000539BA"/>
    <w:rsid w:val="00080F34"/>
    <w:rsid w:val="000C288C"/>
    <w:rsid w:val="000C29FC"/>
    <w:rsid w:val="000D05F1"/>
    <w:rsid w:val="000F0AFE"/>
    <w:rsid w:val="00105055"/>
    <w:rsid w:val="00132D7E"/>
    <w:rsid w:val="00144467"/>
    <w:rsid w:val="0018047F"/>
    <w:rsid w:val="00183B47"/>
    <w:rsid w:val="001A167C"/>
    <w:rsid w:val="001A7DEA"/>
    <w:rsid w:val="001F3042"/>
    <w:rsid w:val="00227045"/>
    <w:rsid w:val="00243555"/>
    <w:rsid w:val="0026702D"/>
    <w:rsid w:val="002D2A21"/>
    <w:rsid w:val="002D3A80"/>
    <w:rsid w:val="002E7430"/>
    <w:rsid w:val="003229FB"/>
    <w:rsid w:val="00325C42"/>
    <w:rsid w:val="003342A9"/>
    <w:rsid w:val="00387E34"/>
    <w:rsid w:val="00393A3D"/>
    <w:rsid w:val="003B6DE3"/>
    <w:rsid w:val="003E6F53"/>
    <w:rsid w:val="00404467"/>
    <w:rsid w:val="00454CE9"/>
    <w:rsid w:val="00477CCB"/>
    <w:rsid w:val="00490FC3"/>
    <w:rsid w:val="00496C77"/>
    <w:rsid w:val="004A3F2E"/>
    <w:rsid w:val="004C149B"/>
    <w:rsid w:val="004C6A49"/>
    <w:rsid w:val="0050452A"/>
    <w:rsid w:val="005573B9"/>
    <w:rsid w:val="0056727C"/>
    <w:rsid w:val="005879FA"/>
    <w:rsid w:val="005C1DE0"/>
    <w:rsid w:val="005D123B"/>
    <w:rsid w:val="005F22FD"/>
    <w:rsid w:val="00605FFD"/>
    <w:rsid w:val="00615524"/>
    <w:rsid w:val="006162AE"/>
    <w:rsid w:val="00642AC0"/>
    <w:rsid w:val="00655127"/>
    <w:rsid w:val="006863DA"/>
    <w:rsid w:val="00702E68"/>
    <w:rsid w:val="00734037"/>
    <w:rsid w:val="00752F40"/>
    <w:rsid w:val="00787D2F"/>
    <w:rsid w:val="007B2BF6"/>
    <w:rsid w:val="007B53A9"/>
    <w:rsid w:val="007C3B76"/>
    <w:rsid w:val="007E25CA"/>
    <w:rsid w:val="00824CFF"/>
    <w:rsid w:val="008A06DE"/>
    <w:rsid w:val="008B11BD"/>
    <w:rsid w:val="008B11E4"/>
    <w:rsid w:val="008B7FBB"/>
    <w:rsid w:val="008C1CD3"/>
    <w:rsid w:val="009208F3"/>
    <w:rsid w:val="009220BC"/>
    <w:rsid w:val="009523D4"/>
    <w:rsid w:val="00953051"/>
    <w:rsid w:val="00953E76"/>
    <w:rsid w:val="0096511C"/>
    <w:rsid w:val="00977767"/>
    <w:rsid w:val="009B5D50"/>
    <w:rsid w:val="009C1191"/>
    <w:rsid w:val="009F11AC"/>
    <w:rsid w:val="00A112F4"/>
    <w:rsid w:val="00A13E04"/>
    <w:rsid w:val="00A32FF5"/>
    <w:rsid w:val="00A3336E"/>
    <w:rsid w:val="00A709C6"/>
    <w:rsid w:val="00A73955"/>
    <w:rsid w:val="00A83EAD"/>
    <w:rsid w:val="00AC01A1"/>
    <w:rsid w:val="00AD134E"/>
    <w:rsid w:val="00AE4D69"/>
    <w:rsid w:val="00AF3CAC"/>
    <w:rsid w:val="00B10D25"/>
    <w:rsid w:val="00B13165"/>
    <w:rsid w:val="00B21EED"/>
    <w:rsid w:val="00B40C42"/>
    <w:rsid w:val="00B61F4C"/>
    <w:rsid w:val="00B84692"/>
    <w:rsid w:val="00B852F5"/>
    <w:rsid w:val="00B9276E"/>
    <w:rsid w:val="00BB3067"/>
    <w:rsid w:val="00BD55E8"/>
    <w:rsid w:val="00BE5A3E"/>
    <w:rsid w:val="00C0378F"/>
    <w:rsid w:val="00C153CD"/>
    <w:rsid w:val="00C34BF6"/>
    <w:rsid w:val="00C42F1C"/>
    <w:rsid w:val="00C46673"/>
    <w:rsid w:val="00C637FC"/>
    <w:rsid w:val="00C81787"/>
    <w:rsid w:val="00C94932"/>
    <w:rsid w:val="00CA0CD2"/>
    <w:rsid w:val="00CA2C84"/>
    <w:rsid w:val="00CB5092"/>
    <w:rsid w:val="00CD68C7"/>
    <w:rsid w:val="00CF6010"/>
    <w:rsid w:val="00D14E84"/>
    <w:rsid w:val="00D45B0B"/>
    <w:rsid w:val="00D72988"/>
    <w:rsid w:val="00DE447E"/>
    <w:rsid w:val="00E00E39"/>
    <w:rsid w:val="00E11FEF"/>
    <w:rsid w:val="00E24C6B"/>
    <w:rsid w:val="00E26B21"/>
    <w:rsid w:val="00E40A2C"/>
    <w:rsid w:val="00E458D4"/>
    <w:rsid w:val="00EE6290"/>
    <w:rsid w:val="00EF5295"/>
    <w:rsid w:val="00F07D45"/>
    <w:rsid w:val="00F07DAE"/>
    <w:rsid w:val="00F12E70"/>
    <w:rsid w:val="00F644EF"/>
    <w:rsid w:val="00FB55EC"/>
    <w:rsid w:val="00FD6BA2"/>
    <w:rsid w:val="00FE14BE"/>
    <w:rsid w:val="00FF65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A006"/>
  <w15:docId w15:val="{1B5C6967-71F2-4B5D-BC4F-1D910792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82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0D482F"/>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0D482F"/>
    <w:rPr>
      <w:i/>
      <w:iCs/>
    </w:rPr>
  </w:style>
  <w:style w:type="paragraph" w:styleId="Cabealho">
    <w:name w:val="header"/>
    <w:basedOn w:val="Normal"/>
    <w:link w:val="CabealhoChar"/>
    <w:uiPriority w:val="99"/>
    <w:unhideWhenUsed/>
    <w:rsid w:val="003214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14E8"/>
    <w:rPr>
      <w:kern w:val="0"/>
    </w:rPr>
  </w:style>
  <w:style w:type="paragraph" w:styleId="Rodap">
    <w:name w:val="footer"/>
    <w:basedOn w:val="Normal"/>
    <w:link w:val="RodapChar"/>
    <w:uiPriority w:val="99"/>
    <w:unhideWhenUsed/>
    <w:rsid w:val="003214E8"/>
    <w:pPr>
      <w:tabs>
        <w:tab w:val="center" w:pos="4252"/>
        <w:tab w:val="right" w:pos="8504"/>
      </w:tabs>
      <w:spacing w:after="0" w:line="240" w:lineRule="auto"/>
    </w:pPr>
  </w:style>
  <w:style w:type="character" w:customStyle="1" w:styleId="RodapChar">
    <w:name w:val="Rodapé Char"/>
    <w:basedOn w:val="Fontepargpadro"/>
    <w:link w:val="Rodap"/>
    <w:uiPriority w:val="99"/>
    <w:rsid w:val="003214E8"/>
    <w:rPr>
      <w:kern w:val="0"/>
    </w:rPr>
  </w:style>
  <w:style w:type="paragraph" w:styleId="Corpodetexto">
    <w:name w:val="Body Text"/>
    <w:basedOn w:val="Normal"/>
    <w:link w:val="CorpodetextoChar"/>
    <w:rsid w:val="0084689B"/>
    <w:pPr>
      <w:suppressAutoHyphens/>
      <w:spacing w:after="140" w:line="288" w:lineRule="auto"/>
    </w:pPr>
    <w:rPr>
      <w:rFonts w:ascii="Liberation Serif" w:eastAsia="SimSun" w:hAnsi="Liberation Serif" w:cs="Arial"/>
      <w:sz w:val="24"/>
      <w:szCs w:val="24"/>
      <w:lang w:eastAsia="zh-CN" w:bidi="hi-IN"/>
    </w:rPr>
  </w:style>
  <w:style w:type="character" w:customStyle="1" w:styleId="CorpodetextoChar">
    <w:name w:val="Corpo de texto Char"/>
    <w:basedOn w:val="Fontepargpadro"/>
    <w:link w:val="Corpodetexto"/>
    <w:rsid w:val="0084689B"/>
    <w:rPr>
      <w:rFonts w:ascii="Liberation Serif" w:eastAsia="SimSun" w:hAnsi="Liberation Serif" w:cs="Arial"/>
      <w:kern w:val="0"/>
      <w:sz w:val="24"/>
      <w:szCs w:val="24"/>
      <w:lang w:eastAsia="zh-CN" w:bidi="hi-I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141511">
      <w:bodyDiv w:val="1"/>
      <w:marLeft w:val="0"/>
      <w:marRight w:val="0"/>
      <w:marTop w:val="0"/>
      <w:marBottom w:val="0"/>
      <w:divBdr>
        <w:top w:val="none" w:sz="0" w:space="0" w:color="auto"/>
        <w:left w:val="none" w:sz="0" w:space="0" w:color="auto"/>
        <w:bottom w:val="none" w:sz="0" w:space="0" w:color="auto"/>
        <w:right w:val="none" w:sz="0" w:space="0" w:color="auto"/>
      </w:divBdr>
    </w:div>
    <w:div w:id="1219442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3enw4lXKYeZ77Qee/qRnraXzkw==">CgMxLjAyCWlkLmdqZGd4czgAciExWGVTYWlDM3ZXLXpPY2w3aExYQUpRTEpveVRGY3JZV0Y=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64649B-89D9-40A6-AC3E-76697F295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1828</TotalTime>
  <Pages>1</Pages>
  <Words>940</Words>
  <Characters>5080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Nóbrega Carlos Gomes</dc:creator>
  <cp:keywords/>
  <dc:description/>
  <cp:lastModifiedBy>Victor Nóbrega Carlos Gomes</cp:lastModifiedBy>
  <cp:revision>15</cp:revision>
  <dcterms:created xsi:type="dcterms:W3CDTF">2023-07-13T21:06:00Z</dcterms:created>
  <dcterms:modified xsi:type="dcterms:W3CDTF">2026-01-08T14:37:00Z</dcterms:modified>
</cp:coreProperties>
</file>