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109"/>
      </w:tblGrid>
      <w:tr w:rsidR="008F2301" w:rsidRPr="008F2301" w:rsidTr="008F2301">
        <w:trPr>
          <w:tblCellSpacing w:w="15" w:type="dxa"/>
        </w:trPr>
        <w:tc>
          <w:tcPr>
            <w:tcW w:w="500" w:type="pct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A40B45">
              <w:rPr>
                <w:rFonts w:ascii="Times New Roman" w:hAnsi="Times New Roman" w:cs="Times New Roman"/>
              </w:rPr>
              <w:drawing>
                <wp:inline distT="0" distB="0" distL="0" distR="0">
                  <wp:extent cx="838200" cy="1043986"/>
                  <wp:effectExtent l="0" t="0" r="0" b="3810"/>
                  <wp:docPr id="968138184" name="Imagem 2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138184" name="Imagem 2" descr="Diagra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746" cy="1052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34"/>
            </w:tblGrid>
            <w:tr w:rsidR="008F2301" w:rsidRPr="008F23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F2301" w:rsidRPr="008F2301" w:rsidRDefault="008F2301" w:rsidP="008F2301">
                  <w:pPr>
                    <w:rPr>
                      <w:rFonts w:ascii="Times New Roman" w:hAnsi="Times New Roman" w:cs="Times New Roman"/>
                    </w:rPr>
                  </w:pPr>
                  <w:r w:rsidRPr="008F2301">
                    <w:rPr>
                      <w:rFonts w:ascii="Times New Roman" w:hAnsi="Times New Roman" w:cs="Times New Roman"/>
                      <w:b/>
                      <w:bCs/>
                    </w:rPr>
                    <w:t>PODER JUDICIÁRIO</w:t>
                  </w:r>
                </w:p>
              </w:tc>
            </w:tr>
            <w:tr w:rsidR="008F2301" w:rsidRPr="008F23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F2301" w:rsidRPr="008F2301" w:rsidRDefault="008F2301" w:rsidP="008F2301">
                  <w:pPr>
                    <w:rPr>
                      <w:rFonts w:ascii="Times New Roman" w:hAnsi="Times New Roman" w:cs="Times New Roman"/>
                    </w:rPr>
                  </w:pPr>
                  <w:r w:rsidRPr="008F2301">
                    <w:rPr>
                      <w:rFonts w:ascii="Times New Roman" w:hAnsi="Times New Roman" w:cs="Times New Roman"/>
                      <w:b/>
                      <w:bCs/>
                    </w:rPr>
                    <w:t>TJRN - COMARCA DE NATAL</w:t>
                  </w:r>
                </w:p>
                <w:p w:rsidR="008F2301" w:rsidRPr="008F2301" w:rsidRDefault="008F2301" w:rsidP="008F2301">
                  <w:pPr>
                    <w:rPr>
                      <w:rFonts w:ascii="Times New Roman" w:hAnsi="Times New Roman" w:cs="Times New Roman"/>
                    </w:rPr>
                  </w:pPr>
                  <w:r w:rsidRPr="008F2301">
                    <w:rPr>
                      <w:rFonts w:ascii="Times New Roman" w:hAnsi="Times New Roman" w:cs="Times New Roman"/>
                    </w:rPr>
                    <w:pict>
                      <v:rect id="_x0000_i1043" style="width:0;height:1.5pt" o:hralign="center" o:hrstd="t" o:hr="t" fillcolor="#a0a0a0" stroked="f"/>
                    </w:pict>
                  </w:r>
                </w:p>
              </w:tc>
            </w:tr>
            <w:tr w:rsidR="008F2301" w:rsidRPr="008F23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F2301" w:rsidRPr="008F2301" w:rsidRDefault="008F2301" w:rsidP="008F2301">
                  <w:pPr>
                    <w:rPr>
                      <w:rFonts w:ascii="Times New Roman" w:hAnsi="Times New Roman" w:cs="Times New Roman"/>
                    </w:rPr>
                  </w:pPr>
                  <w:r w:rsidRPr="008F2301">
                    <w:rPr>
                      <w:rFonts w:ascii="Times New Roman" w:hAnsi="Times New Roman" w:cs="Times New Roman"/>
                    </w:rPr>
                    <w:t>TJRN - 1ª VARA REGIONAL DE EXECUÇÃO PENAL</w:t>
                  </w:r>
                </w:p>
              </w:tc>
            </w:tr>
          </w:tbl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</w:p>
        </w:tc>
      </w:tr>
    </w:tbl>
    <w:p w:rsidR="008F2301" w:rsidRPr="008F2301" w:rsidRDefault="008F2301" w:rsidP="008F2301">
      <w:pPr>
        <w:rPr>
          <w:rFonts w:ascii="Times New Roman" w:hAnsi="Times New Roman" w:cs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75"/>
        <w:gridCol w:w="6649"/>
      </w:tblGrid>
      <w:tr w:rsidR="008F2301" w:rsidRPr="008F2301" w:rsidTr="008F2301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Processo nº:</w:t>
            </w:r>
          </w:p>
        </w:tc>
        <w:tc>
          <w:tcPr>
            <w:tcW w:w="75" w:type="dxa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5000005-47.2024.8.20.0103</w:t>
            </w:r>
          </w:p>
        </w:tc>
      </w:tr>
      <w:tr w:rsidR="008F2301" w:rsidRPr="008F2301" w:rsidTr="008F2301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Classe Processual:</w:t>
            </w:r>
          </w:p>
        </w:tc>
        <w:tc>
          <w:tcPr>
            <w:tcW w:w="75" w:type="dxa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Execução da Pena</w:t>
            </w:r>
          </w:p>
        </w:tc>
      </w:tr>
      <w:tr w:rsidR="008F2301" w:rsidRPr="008F2301" w:rsidTr="008F2301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Assunto Principal:</w:t>
            </w:r>
          </w:p>
        </w:tc>
        <w:tc>
          <w:tcPr>
            <w:tcW w:w="75" w:type="dxa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Pena Privativa de Liberdade</w:t>
            </w:r>
          </w:p>
        </w:tc>
      </w:tr>
      <w:tr w:rsidR="008F2301" w:rsidRPr="008F2301" w:rsidTr="008F2301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Autoridade(s):</w:t>
            </w:r>
          </w:p>
        </w:tc>
        <w:tc>
          <w:tcPr>
            <w:tcW w:w="75" w:type="dxa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F2301" w:rsidRPr="008F2301" w:rsidRDefault="008F2301" w:rsidP="008F230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O ESTADO DO RIO GRANDE DO NORTE </w:t>
            </w:r>
          </w:p>
        </w:tc>
      </w:tr>
      <w:tr w:rsidR="008F2301" w:rsidRPr="008F2301" w:rsidTr="008F2301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Executado(s):</w:t>
            </w:r>
          </w:p>
        </w:tc>
        <w:tc>
          <w:tcPr>
            <w:tcW w:w="75" w:type="dxa"/>
            <w:vAlign w:val="center"/>
            <w:hideMark/>
          </w:tcPr>
          <w:p w:rsidR="008F2301" w:rsidRPr="008F2301" w:rsidRDefault="008F2301" w:rsidP="008F23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F2301" w:rsidRPr="008F2301" w:rsidRDefault="008F2301" w:rsidP="008F230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F2301">
              <w:rPr>
                <w:rFonts w:ascii="Times New Roman" w:hAnsi="Times New Roman" w:cs="Times New Roman"/>
              </w:rPr>
              <w:t>RAIMUNDO PEREIRA DE FRANÇA</w:t>
            </w:r>
          </w:p>
        </w:tc>
      </w:tr>
    </w:tbl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pict>
          <v:rect id="_x0000_i1044" style="width:0;height:1.5pt" o:hralign="center" o:hrstd="t" o:hr="t" fillcolor="#a0a0a0" stroked="f"/>
        </w:pic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br/>
        <w:t>Trata-se de pedido formulado pelo Ministério Público, requerendo a retificação da Guia de Execução Penal (GEP) do apenado Raimundo Pereira de França, para que conste o percentual de 25% no cálculo da progressão de regime e a fração de 1/2 para o livramento condicional, para o crime vinculado aos autos do processo nº 0803238-13.2022.8.20.5103, fundamentado no art. 112, inciso III, da Lei de Execução Penal e no art. 83, inciso II, do Código Penal (evento 30.1).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Manifestação da defesa no evento 33.1 filiando-se ao parecer supra mencionado.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Acrescento ao relatório que, conforme informações do SEEU, a GEP do apenado encontra-se cadastrada com a fração de 40% para progressão de regime e 1/3 para o livramento condicional, tratando-se de condenação pela prática de crime capitulado pelo art. 121, §2º, incisos II, III e VI, do Código Penal.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Relatados.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Cinge-se a presente demanda na aplicação das frações corretas para progressão de regime e livramento condicional, considerando a natureza hedionda do crime cometido pelo apenado, que envolveu resultado morte.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Com efeito, o art. 112, inciso VI, da Lei de Execução Penal (LEP), que trata da progressão de regime em crimes hediondos com resultado morte, estabelece que:</w:t>
      </w:r>
    </w:p>
    <w:p w:rsidR="008F2301" w:rsidRPr="008F2301" w:rsidRDefault="008F2301" w:rsidP="008F2301">
      <w:pPr>
        <w:rPr>
          <w:rFonts w:ascii="Times New Roman" w:hAnsi="Times New Roman" w:cs="Times New Roman"/>
          <w:i/>
          <w:iCs/>
        </w:rPr>
      </w:pPr>
      <w:r w:rsidRPr="008F2301">
        <w:rPr>
          <w:rFonts w:ascii="Times New Roman" w:hAnsi="Times New Roman" w:cs="Times New Roman"/>
          <w:i/>
          <w:iCs/>
        </w:rPr>
        <w:t>"Art. 112. A pena privativa de liberdade será executada em forma progressiva com a transferência para regime menos rigoroso, a ser determinada pelo juiz, quando o preso tiver cumprido ao menos: [...] VI - 50% (cinquenta por cento) da pena, se o condenado for primário e o crime for hediondo com resultado morte, se for primário, vedado o livramento condicional."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lastRenderedPageBreak/>
        <w:t>Dessa forma, mesmo que o apenado seja primário, a fração correta a ser aplicada para progressão de regime é de 50%, conforme dispõe expressamente a Lei de Execução Penal, tendo em vista tratar-se de crime hediondo com resultado morte.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Todavia, o Ministério Público (acompanhado pela defesa) vem engendrar tese do reconhecimento da figura do homicídio qualificado-privilegiado, em razão da aplicação da causa de diminuição de pena prevista no §1º do art. 121 do Código Penal, com a retirada do caráter hediondo do crime praticado, com reflexos no percentual para fins de progressão de regime.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 xml:space="preserve">A questão, embora pareça de simples análise, </w:t>
      </w:r>
      <w:proofErr w:type="spellStart"/>
      <w:r w:rsidRPr="008F2301">
        <w:rPr>
          <w:rFonts w:ascii="Times New Roman" w:hAnsi="Times New Roman" w:cs="Times New Roman"/>
        </w:rPr>
        <w:t>exije</w:t>
      </w:r>
      <w:proofErr w:type="spellEnd"/>
      <w:r w:rsidRPr="008F2301">
        <w:rPr>
          <w:rFonts w:ascii="Times New Roman" w:hAnsi="Times New Roman" w:cs="Times New Roman"/>
        </w:rPr>
        <w:t xml:space="preserve"> profundo debate sobre o tema. É que, para analisar adequadamente a questão, é necessário examinar a natureza jurídica da qualificadora do feminicídio e sua compatibilidade com o homicídio privilegiado.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É bem verdade que a sentença expressamente aplicou a causa de diminuição de pena prevista no §1º do art. 121 (evento 1.8, fl. 6), reduzindo em 1/6 a reprimenda aplicada. Contudo, há de se verificar que o apenado foi condenado pelo crime de feminicídio, crime capitulado pelo art. 121 com a qualificadora do inciso VI do Código Penal e que a compatibilidade de tal conduta com o homicídio privilegiado (§1º do art. 121 do mesmo diploma) encontra profunda controvérsia na doutrina e jurisprudência.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A divergência se dá quanto à natureza da qualificadora do feminicídio, se objetiva ou subjetiva, o que tem implicações diretas na possibilidade de sua compatibilidade com o homicídio privilegiado.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Há de se reconhecer que os tribunais superiores, em caráter </w:t>
      </w:r>
      <w:r w:rsidRPr="008F2301">
        <w:rPr>
          <w:rFonts w:ascii="Times New Roman" w:hAnsi="Times New Roman" w:cs="Times New Roman"/>
          <w:i/>
          <w:iCs/>
        </w:rPr>
        <w:t xml:space="preserve">obter </w:t>
      </w:r>
      <w:proofErr w:type="spellStart"/>
      <w:r w:rsidRPr="008F2301">
        <w:rPr>
          <w:rFonts w:ascii="Times New Roman" w:hAnsi="Times New Roman" w:cs="Times New Roman"/>
          <w:i/>
          <w:iCs/>
        </w:rPr>
        <w:t>dictum</w:t>
      </w:r>
      <w:proofErr w:type="spellEnd"/>
      <w:r w:rsidRPr="008F2301">
        <w:rPr>
          <w:rFonts w:ascii="Times New Roman" w:hAnsi="Times New Roman" w:cs="Times New Roman"/>
          <w:i/>
          <w:iCs/>
        </w:rPr>
        <w:t>, </w:t>
      </w:r>
      <w:r w:rsidRPr="008F2301">
        <w:rPr>
          <w:rFonts w:ascii="Times New Roman" w:hAnsi="Times New Roman" w:cs="Times New Roman"/>
        </w:rPr>
        <w:t>têm se inclinado pelo reconhecimento da qualificadora do feminicídio como caráter objetivo, como por exemplo, por ocasião do julgamento do HC 161302 / MG - MINAS GERAIS de relatoria do Min. Roberto Barroso do STF e também o Superior Tribunal de Justiça:</w:t>
      </w:r>
    </w:p>
    <w:p w:rsidR="008F2301" w:rsidRPr="008F2301" w:rsidRDefault="008F2301" w:rsidP="008F2301">
      <w:pPr>
        <w:rPr>
          <w:rFonts w:ascii="Times New Roman" w:hAnsi="Times New Roman" w:cs="Times New Roman"/>
          <w:i/>
          <w:iCs/>
        </w:rPr>
      </w:pPr>
      <w:r w:rsidRPr="008F2301">
        <w:rPr>
          <w:rFonts w:ascii="Times New Roman" w:hAnsi="Times New Roman" w:cs="Times New Roman"/>
          <w:i/>
          <w:iCs/>
        </w:rPr>
        <w:t>DIREITO PENAL. AGRAVO REGIMENTAL NO HABEAS CORPUS. HOMICÍDIO QUALIFICADO TENTADO. DOSIMETRIA. FIXAÇÃO DA PENA-BASE ACIMA DO MÍNIMO LEGAL. POSSIBILIDADE. FUNDAMENTAÇÃO CONCRETA. QUANTIDADE DE AUMENTO PROPORCIONAL E RAZOÁVEL. AFASTAMENTO DAS QUALIFICADORAS DO MOTIVO FÚTIL E FEMINICÍDIO SOB A ALEGAÇÃO DE OCORRÊNCIA DE BIS IN IDEM. IMPOSSIBILIDADE. NATUREZA DIVERSA DAS CIRCUNSTÂNCIAS. AGRAVO REGIMENTAL DESPROVIDO. (...)IV - Ressalta-se, ainda, que "</w:t>
      </w:r>
      <w:proofErr w:type="spellStart"/>
      <w:r w:rsidRPr="008F2301">
        <w:rPr>
          <w:rFonts w:ascii="Times New Roman" w:hAnsi="Times New Roman" w:cs="Times New Roman"/>
          <w:i/>
          <w:iCs/>
        </w:rPr>
        <w:t>esta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Corte possui o entendimento segundo o qual as qualificadoras do motivo torpe e do feminicídio não possuem a mesma natureza, sendo certo que a primeira tem caráter subjetivo, ao passo que a segunda é objetiva, não havendo, assim, qualquer óbice à sua imputação simultânea" (HC n. 430.222/MG, Quinta Turma, Rel. Min. Jorge Mussi, </w:t>
      </w:r>
      <w:proofErr w:type="spellStart"/>
      <w:r w:rsidRPr="008F2301">
        <w:rPr>
          <w:rFonts w:ascii="Times New Roman" w:hAnsi="Times New Roman" w:cs="Times New Roman"/>
          <w:i/>
          <w:iCs/>
        </w:rPr>
        <w:t>DJe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22/3/2018, grifei). V - In </w:t>
      </w:r>
      <w:proofErr w:type="spellStart"/>
      <w:r w:rsidRPr="008F2301">
        <w:rPr>
          <w:rFonts w:ascii="Times New Roman" w:hAnsi="Times New Roman" w:cs="Times New Roman"/>
          <w:i/>
          <w:iCs/>
        </w:rPr>
        <w:t>casu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, como bem destacado pela Corte de origem "diferentemente do alegado pela defesa, a qualificadora do feminicídio possui natureza objetiva, na medida em que está relacionada à condição de gênero feminino, enquanto a qualificadora do motivo fútil é de natureza subjetiva, pois diz </w:t>
      </w:r>
      <w:r w:rsidRPr="008F2301">
        <w:rPr>
          <w:rFonts w:ascii="Times New Roman" w:hAnsi="Times New Roman" w:cs="Times New Roman"/>
          <w:i/>
          <w:iCs/>
        </w:rPr>
        <w:lastRenderedPageBreak/>
        <w:t>respeito à pessoa do agente" (fl. 439). Portanto, inexiste constrangimento legal a ser sanado no caso dos autos. Agravo regimental desprovido. (</w:t>
      </w:r>
      <w:proofErr w:type="spellStart"/>
      <w:r w:rsidRPr="008F2301">
        <w:rPr>
          <w:rFonts w:ascii="Times New Roman" w:hAnsi="Times New Roman" w:cs="Times New Roman"/>
          <w:i/>
          <w:iCs/>
        </w:rPr>
        <w:t>AgRg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no HC n. 822.149/SC, relator Ministro </w:t>
      </w:r>
      <w:proofErr w:type="spellStart"/>
      <w:r w:rsidRPr="008F2301">
        <w:rPr>
          <w:rFonts w:ascii="Times New Roman" w:hAnsi="Times New Roman" w:cs="Times New Roman"/>
          <w:i/>
          <w:iCs/>
        </w:rPr>
        <w:t>Messod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Azulay Neto, Quinta Turma, julgado em 25/9/2023, </w:t>
      </w:r>
      <w:proofErr w:type="spellStart"/>
      <w:r w:rsidRPr="008F2301">
        <w:rPr>
          <w:rFonts w:ascii="Times New Roman" w:hAnsi="Times New Roman" w:cs="Times New Roman"/>
          <w:i/>
          <w:iCs/>
        </w:rPr>
        <w:t>DJe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de 28/9/2023.)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A malgrado de tais posicionamentos, há de se observar que o tema tratado não foi especificamente a compatibilidade do feminicídio com a figura do homicídio-privilegiado, mormente o fato de que a </w:t>
      </w:r>
      <w:proofErr w:type="spellStart"/>
      <w:r w:rsidRPr="008F2301">
        <w:rPr>
          <w:rFonts w:ascii="Times New Roman" w:hAnsi="Times New Roman" w:cs="Times New Roman"/>
          <w:i/>
          <w:iCs/>
        </w:rPr>
        <w:t>ratio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2301">
        <w:rPr>
          <w:rFonts w:ascii="Times New Roman" w:hAnsi="Times New Roman" w:cs="Times New Roman"/>
          <w:i/>
          <w:iCs/>
        </w:rPr>
        <w:t>decidendi</w:t>
      </w:r>
      <w:proofErr w:type="spellEnd"/>
      <w:r w:rsidRPr="008F2301">
        <w:rPr>
          <w:rFonts w:ascii="Times New Roman" w:hAnsi="Times New Roman" w:cs="Times New Roman"/>
        </w:rPr>
        <w:t> em tais julgados dizia respeito à possibilidade de cumulação da qualificadora do motivo fútil com a qualificadora do feminicídio.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Porém, sob um prisma de reconhecimento de uma figura de controversa de feminicídio-privilegiado, beira à alucinação o reconhecimento da qualificadora do feminicídio à simples condição do gênero feminino da vítima, pois é sabido que o feminicídio ocorre quando o crime é praticado contra a mulher por razões da condição de sexo feminino, mais ainda, no contexto de violência doméstica e familiar ou menosprezo ou discriminação à condição de mulher (art. 121, §2º VI c/c § 2o-A I ou II).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 xml:space="preserve">Nesse ínterim, observa-se que essa motivação específica revela claramente o caráter subjetivo da qualificadora, pois se relaciona com o estado mental e as razões íntimas do agente ao cometer o crime. Do contrário, se fosse apenas uma condição da vítima, o tipo penal seria </w:t>
      </w:r>
      <w:proofErr w:type="spellStart"/>
      <w:r w:rsidRPr="008F2301">
        <w:rPr>
          <w:rFonts w:ascii="Times New Roman" w:hAnsi="Times New Roman" w:cs="Times New Roman"/>
        </w:rPr>
        <w:t>femicídio</w:t>
      </w:r>
      <w:proofErr w:type="spellEnd"/>
      <w:r w:rsidRPr="008F2301">
        <w:rPr>
          <w:rFonts w:ascii="Times New Roman" w:hAnsi="Times New Roman" w:cs="Times New Roman"/>
        </w:rPr>
        <w:t>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 xml:space="preserve">Compartilham do mesmo entendimento renomados doutrinadores, como Cezar Roberto Bitencourt, Alice Bianchini, Luiz Flávio Gomes, Eduardo Luiz Santos </w:t>
      </w:r>
      <w:proofErr w:type="spellStart"/>
      <w:r w:rsidRPr="008F2301">
        <w:rPr>
          <w:rFonts w:ascii="Times New Roman" w:hAnsi="Times New Roman" w:cs="Times New Roman"/>
        </w:rPr>
        <w:t>Cabette</w:t>
      </w:r>
      <w:proofErr w:type="spellEnd"/>
      <w:r w:rsidRPr="008F2301">
        <w:rPr>
          <w:rFonts w:ascii="Times New Roman" w:hAnsi="Times New Roman" w:cs="Times New Roman"/>
        </w:rPr>
        <w:t>, Rogério Sanches Cunha, Ronaldo Batista Pinto e Márcio André Lopes Cavalcante, entre outros, os quais argumentam que o feminicídio está intrinsecamente ligado à motivação do agente.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Ora, considerando a natureza subjetiva da qualificadora do feminicídio, emerge uma incompatibilidade lógica e jurídica com o homicídio privilegiado. O privilégio, previsto no §1º do art. 121 do Código Penal, também é de natureza subjetiva, baseando-se em motivações específicas do agente (relevante valor moral ou social, ou sob domínio de violenta emoção).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A jurisprudência dominante, inclusive do Supremo Tribunal Federal, admite a figura do homicídio qualificado-privilegiado apenas quando a qualificadora é de natureza objetiva. Nesse sentido, o HC 97.034/MG do STF estabelece que é possível o reconhecimento do privilégio apenas quando a qualificadora for de caráter objetivo. De igual forma, o Superior Tribunal de Justiça:</w:t>
      </w:r>
    </w:p>
    <w:p w:rsidR="008F2301" w:rsidRPr="008F2301" w:rsidRDefault="008F2301" w:rsidP="008F2301">
      <w:pPr>
        <w:rPr>
          <w:rFonts w:ascii="Times New Roman" w:hAnsi="Times New Roman" w:cs="Times New Roman"/>
          <w:i/>
          <w:iCs/>
        </w:rPr>
      </w:pPr>
      <w:r w:rsidRPr="008F2301">
        <w:rPr>
          <w:rFonts w:ascii="Times New Roman" w:hAnsi="Times New Roman" w:cs="Times New Roman"/>
          <w:i/>
          <w:iCs/>
        </w:rPr>
        <w:t xml:space="preserve">AGRAVO REGIMENTAL no RECURSO EM HABEAS CORPUS. DECISÃO MONOCRÁTICA. HOMICÍDIO QUALIFICADO. EXCLUSÃO DA QUALIFICADORA DO § 2º INCISO IV DO ART. 121 DO CÓDIGO PENAL. IMPOSSIBILIDADE. INEXISTÊNCIA DE INCOMPATIBILIDADE NA APLICAÇÃO CONCOMITANTE ENTRE A FIGURA PRIVILEGIADA E A QUALIFICADORA DE ORDEM OBJETIVA. PRECEDENTES. AUSÊNCIA DE NOVOS ARGUMENTOS APTOS A </w:t>
      </w:r>
      <w:r w:rsidRPr="008F2301">
        <w:rPr>
          <w:rFonts w:ascii="Times New Roman" w:hAnsi="Times New Roman" w:cs="Times New Roman"/>
          <w:i/>
          <w:iCs/>
        </w:rPr>
        <w:lastRenderedPageBreak/>
        <w:t>DESCONSTITUIR A DECISÃO IMPUGNADA AGRAVO REGIMENTAL DESPROVIDO.</w:t>
      </w:r>
      <w:r w:rsidRPr="008F2301">
        <w:rPr>
          <w:rFonts w:ascii="Times New Roman" w:hAnsi="Times New Roman" w:cs="Times New Roman"/>
          <w:i/>
          <w:iCs/>
        </w:rPr>
        <w:br/>
        <w:t xml:space="preserve">I - É assente nesta Corte Superior de Justiça que o agravo regimental deve trazer novos argumentos capazes de alterar o entendimento anteriormente firmado, sob pena de ser mantida a r. decisão vergastada pelos próprios fundamentos. II - "não há incompatibilidade, em tese, na coexistência de qualificadora objetiva (v.g. § 2º, inciso IV) com a forma privilegiada do homicídio, ainda que seja a referente à violenta emoção. (Precedentes desta Corte e do Pretório Excelso). [...] Assim, a resposta afirmativa ao quesito atinente a forma privilegiada do crime de homicídio não implica a prejudicialidade do quesito que indagaria aos jurados acerca da qualificadora inserta no art. 121, § 2º, inciso IV do CP (recurso que dificultou a defesa da vítima)." (REsp n. 922.932/SP, Quinta Turma, Rel. Min. Felix Fischer, </w:t>
      </w:r>
      <w:proofErr w:type="spellStart"/>
      <w:r w:rsidRPr="008F2301">
        <w:rPr>
          <w:rFonts w:ascii="Times New Roman" w:hAnsi="Times New Roman" w:cs="Times New Roman"/>
          <w:i/>
          <w:iCs/>
        </w:rPr>
        <w:t>DJe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de 03/03/2008). Agravo regimental desprovido. (</w:t>
      </w:r>
      <w:proofErr w:type="spellStart"/>
      <w:r w:rsidRPr="008F2301">
        <w:rPr>
          <w:rFonts w:ascii="Times New Roman" w:hAnsi="Times New Roman" w:cs="Times New Roman"/>
          <w:i/>
          <w:iCs/>
        </w:rPr>
        <w:t>AgRg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no RHC n. 115.910/PB, relator Ministro Leopoldo de Arruda Raposo (Desembargador Convocado do </w:t>
      </w:r>
      <w:proofErr w:type="spellStart"/>
      <w:r w:rsidRPr="008F2301">
        <w:rPr>
          <w:rFonts w:ascii="Times New Roman" w:hAnsi="Times New Roman" w:cs="Times New Roman"/>
          <w:i/>
          <w:iCs/>
        </w:rPr>
        <w:t>Tj</w:t>
      </w:r>
      <w:proofErr w:type="spellEnd"/>
      <w:r w:rsidRPr="008F2301">
        <w:rPr>
          <w:rFonts w:ascii="Times New Roman" w:hAnsi="Times New Roman" w:cs="Times New Roman"/>
          <w:i/>
          <w:iCs/>
        </w:rPr>
        <w:t>/</w:t>
      </w:r>
      <w:proofErr w:type="spellStart"/>
      <w:r w:rsidRPr="008F2301">
        <w:rPr>
          <w:rFonts w:ascii="Times New Roman" w:hAnsi="Times New Roman" w:cs="Times New Roman"/>
          <w:i/>
          <w:iCs/>
        </w:rPr>
        <w:t>pe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), Quinta Turma, julgado em 17/10/2019, </w:t>
      </w:r>
      <w:proofErr w:type="spellStart"/>
      <w:r w:rsidRPr="008F2301">
        <w:rPr>
          <w:rFonts w:ascii="Times New Roman" w:hAnsi="Times New Roman" w:cs="Times New Roman"/>
          <w:i/>
          <w:iCs/>
        </w:rPr>
        <w:t>DJe</w:t>
      </w:r>
      <w:proofErr w:type="spellEnd"/>
      <w:r w:rsidRPr="008F2301">
        <w:rPr>
          <w:rFonts w:ascii="Times New Roman" w:hAnsi="Times New Roman" w:cs="Times New Roman"/>
          <w:i/>
          <w:iCs/>
        </w:rPr>
        <w:t xml:space="preserve"> de 22/10/2019.)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Portanto, sendo o feminicídio uma qualificadora subjetiva, não é juridicamente possível sua cumulação com o privilégio. Aceitar tal cumulação resultaria em uma contradição lógica: não se pode admitir que o agente tenha agido simultaneamente por "relevante valor moral" e por "razões da condição de sexo feminino". A cumulação com "violenta emoção", por sua vez, conflitaria com todo o sistema de proteção à mulher em situação de violência doméstica e familiar e consectários da Lei nº 11.340/2006. É que, se uma "violenta emoção" passar a ser um "privilégio" para o cometimento de violência contra às mulheres, então perderia o sentido toda a </w:t>
      </w:r>
      <w:r w:rsidRPr="008F2301">
        <w:rPr>
          <w:rFonts w:ascii="Times New Roman" w:hAnsi="Times New Roman" w:cs="Times New Roman"/>
          <w:i/>
          <w:iCs/>
        </w:rPr>
        <w:t>mens legis </w:t>
      </w:r>
      <w:r w:rsidRPr="008F2301">
        <w:rPr>
          <w:rFonts w:ascii="Times New Roman" w:hAnsi="Times New Roman" w:cs="Times New Roman"/>
        </w:rPr>
        <w:t>de nosso ordenamento sobre o tema.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Ademais, a aceitação do "feminicídio privilegiado" poderia levar a uma situação paradoxal e socialmente inaceitável, onde o assassinato de uma mulher por sua condição de gênero seria, de alguma forma, "privilegiado". Tal interpretação vai de encontro ao próprio espírito da lei que instituiu o feminicídio, que visa justamente combater e punir mais severamente a violência de gênero.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É importante ressaltar que o feminicídio, por sua própria natureza, já traz em si um elevado grau de reprovabilidade social, sendo incompatível com as situações que justificariam o privilégio.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 xml:space="preserve">Assim, para o caso </w:t>
      </w:r>
      <w:r w:rsidRPr="008F2301">
        <w:rPr>
          <w:rFonts w:ascii="Times New Roman" w:hAnsi="Times New Roman" w:cs="Times New Roman"/>
          <w:i/>
          <w:iCs/>
        </w:rPr>
        <w:t>sub examine</w:t>
      </w:r>
      <w:r w:rsidRPr="008F2301">
        <w:rPr>
          <w:rFonts w:ascii="Times New Roman" w:hAnsi="Times New Roman" w:cs="Times New Roman"/>
        </w:rPr>
        <w:t>, não obstante a sentença ter aplicado a causa de diminuição de pena prevista no §1º do art. 121 do Código Penal, tal aplicação é juridicamente incompatível com a qualificadora do feminicídio reconhecida na mesma decisão. Esta incompatibilidade impede a descaracterização da natureza hedionda do crime, mantendo-se, portanto, os percentuais mais elevados para progressão de regime e a vedação ao livramento condicional, conforme previsto na Lei de Execução Penal para crimes hediondos com resultado morte.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Isso posto, i</w:t>
      </w:r>
      <w:r w:rsidRPr="008F2301">
        <w:rPr>
          <w:rFonts w:ascii="Times New Roman" w:hAnsi="Times New Roman" w:cs="Times New Roman"/>
          <w:b/>
          <w:bCs/>
        </w:rPr>
        <w:t>ndefiro o pedido formulado</w:t>
      </w:r>
      <w:r w:rsidRPr="008F2301">
        <w:rPr>
          <w:rFonts w:ascii="Times New Roman" w:hAnsi="Times New Roman" w:cs="Times New Roman"/>
        </w:rPr>
        <w:t xml:space="preserve"> e chamo o feito à ordem para determinar a retificação da GEP para aplicar a fração de 50% para progressão de regime para o crime </w:t>
      </w:r>
      <w:r w:rsidRPr="008F2301">
        <w:rPr>
          <w:rFonts w:ascii="Times New Roman" w:hAnsi="Times New Roman" w:cs="Times New Roman"/>
        </w:rPr>
        <w:lastRenderedPageBreak/>
        <w:t>do art. 121, §2º, incisos II, III e VI, do Código Penal, vinculado aos autos do processo nº 0803238-13.2022.8.20.5103, conforme o art. 112, inciso VI, da Lei de Execução Penal e excluir a possibilidade de livramento condicional.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P.R.I. Atualize-se o atestado de penas.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</w:rPr>
        <w:t>Natal, 18 de setembro de 2024.</w:t>
      </w:r>
    </w:p>
    <w:p w:rsidR="008F2301" w:rsidRPr="008F2301" w:rsidRDefault="008F2301" w:rsidP="008F2301">
      <w:pPr>
        <w:rPr>
          <w:rFonts w:ascii="Times New Roman" w:hAnsi="Times New Roman" w:cs="Times New Roman"/>
          <w:i/>
          <w:iCs/>
        </w:rPr>
      </w:pPr>
      <w:r w:rsidRPr="008F2301">
        <w:rPr>
          <w:rFonts w:ascii="Times New Roman" w:hAnsi="Times New Roman" w:cs="Times New Roman"/>
          <w:i/>
          <w:iCs/>
        </w:rPr>
        <w:t>Henrique Baltazar Vilar dos Santos</w:t>
      </w:r>
    </w:p>
    <w:p w:rsidR="008F2301" w:rsidRPr="008F2301" w:rsidRDefault="008F2301" w:rsidP="008F2301">
      <w:pPr>
        <w:rPr>
          <w:rFonts w:ascii="Times New Roman" w:hAnsi="Times New Roman" w:cs="Times New Roman"/>
          <w:i/>
          <w:iCs/>
        </w:rPr>
      </w:pPr>
      <w:r w:rsidRPr="008F2301">
        <w:rPr>
          <w:rFonts w:ascii="Times New Roman" w:hAnsi="Times New Roman" w:cs="Times New Roman"/>
          <w:i/>
          <w:iCs/>
        </w:rPr>
        <w:t>Juiz de Direito</w:t>
      </w:r>
    </w:p>
    <w:p w:rsidR="008F2301" w:rsidRPr="008F2301" w:rsidRDefault="008F2301" w:rsidP="008F2301">
      <w:pPr>
        <w:rPr>
          <w:rFonts w:ascii="Times New Roman" w:hAnsi="Times New Roman" w:cs="Times New Roman"/>
        </w:rPr>
      </w:pPr>
      <w:r w:rsidRPr="008F2301">
        <w:rPr>
          <w:rFonts w:ascii="Times New Roman" w:hAnsi="Times New Roman" w:cs="Times New Roman"/>
          <w:vanish/>
        </w:rPr>
        <w:t> </w:t>
      </w:r>
      <w:r w:rsidRPr="008F2301">
        <w:rPr>
          <w:rFonts w:ascii="Times New Roman" w:hAnsi="Times New Roman" w:cs="Times New Roman"/>
        </w:rPr>
        <w:t> </w:t>
      </w:r>
    </w:p>
    <w:p w:rsidR="009613B7" w:rsidRPr="00A40B45" w:rsidRDefault="009613B7" w:rsidP="008F2301">
      <w:pPr>
        <w:rPr>
          <w:rFonts w:ascii="Times New Roman" w:hAnsi="Times New Roman" w:cs="Times New Roman"/>
        </w:rPr>
      </w:pPr>
    </w:p>
    <w:sectPr w:rsidR="009613B7" w:rsidRPr="00A40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8523F"/>
    <w:multiLevelType w:val="multilevel"/>
    <w:tmpl w:val="24B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6A47"/>
    <w:multiLevelType w:val="multilevel"/>
    <w:tmpl w:val="094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151954">
    <w:abstractNumId w:val="0"/>
  </w:num>
  <w:num w:numId="2" w16cid:durableId="1178153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B7"/>
    <w:rsid w:val="001A5D4D"/>
    <w:rsid w:val="008F2301"/>
    <w:rsid w:val="009613B7"/>
    <w:rsid w:val="00A15FD0"/>
    <w:rsid w:val="00A4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A76B5-CB36-4E9B-A368-7DA217F1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3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3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3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3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3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3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3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0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1730</Words>
  <Characters>9347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2</cp:revision>
  <dcterms:created xsi:type="dcterms:W3CDTF">2024-10-05T06:02:00Z</dcterms:created>
  <dcterms:modified xsi:type="dcterms:W3CDTF">2024-10-05T13:16:00Z</dcterms:modified>
</cp:coreProperties>
</file>