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0" w:type="dxa"/>
        <w:tblCellMar>
          <w:left w:w="0" w:type="dxa"/>
          <w:right w:w="0" w:type="dxa"/>
        </w:tblCellMar>
        <w:tblLook w:val="04A0" w:firstRow="1" w:lastRow="0" w:firstColumn="1" w:lastColumn="0" w:noHBand="0" w:noVBand="1"/>
      </w:tblPr>
      <w:tblGrid>
        <w:gridCol w:w="1977"/>
        <w:gridCol w:w="75"/>
        <w:gridCol w:w="6452"/>
      </w:tblGrid>
      <w:tr w:rsidR="00D663F2" w:rsidRPr="00D663F2" w14:paraId="0BC97B57" w14:textId="77777777" w:rsidTr="00D663F2">
        <w:trPr>
          <w:trHeight w:val="375"/>
          <w:tblCellSpacing w:w="0" w:type="dxa"/>
        </w:trPr>
        <w:tc>
          <w:tcPr>
            <w:tcW w:w="50" w:type="pct"/>
            <w:noWrap/>
            <w:vAlign w:val="center"/>
            <w:hideMark/>
          </w:tcPr>
          <w:p w14:paraId="1C67C00C" w14:textId="77777777" w:rsidR="00D663F2" w:rsidRPr="00D663F2" w:rsidRDefault="00D663F2" w:rsidP="00D663F2">
            <w:r w:rsidRPr="00D663F2">
              <w:t>Processo nº:</w:t>
            </w:r>
          </w:p>
        </w:tc>
        <w:tc>
          <w:tcPr>
            <w:tcW w:w="75" w:type="dxa"/>
            <w:vAlign w:val="center"/>
            <w:hideMark/>
          </w:tcPr>
          <w:p w14:paraId="533F4454" w14:textId="77777777" w:rsidR="00D663F2" w:rsidRPr="00D663F2" w:rsidRDefault="00D663F2" w:rsidP="00D663F2"/>
        </w:tc>
        <w:tc>
          <w:tcPr>
            <w:tcW w:w="0" w:type="auto"/>
            <w:vAlign w:val="center"/>
            <w:hideMark/>
          </w:tcPr>
          <w:p w14:paraId="3D2D3EA8" w14:textId="77777777" w:rsidR="00D663F2" w:rsidRPr="00D663F2" w:rsidRDefault="00D663F2" w:rsidP="00D663F2">
            <w:r w:rsidRPr="00D663F2">
              <w:t>0001101-37.2016.8.14.0005</w:t>
            </w:r>
          </w:p>
        </w:tc>
      </w:tr>
      <w:tr w:rsidR="00D663F2" w:rsidRPr="00D663F2" w14:paraId="3BE92D69" w14:textId="77777777" w:rsidTr="00D663F2">
        <w:trPr>
          <w:trHeight w:val="375"/>
          <w:tblCellSpacing w:w="0" w:type="dxa"/>
        </w:trPr>
        <w:tc>
          <w:tcPr>
            <w:tcW w:w="50" w:type="pct"/>
            <w:noWrap/>
            <w:vAlign w:val="center"/>
            <w:hideMark/>
          </w:tcPr>
          <w:p w14:paraId="4B8D76F2" w14:textId="77777777" w:rsidR="00D663F2" w:rsidRPr="00D663F2" w:rsidRDefault="00D663F2" w:rsidP="00D663F2">
            <w:r w:rsidRPr="00D663F2">
              <w:t>Classe Processual:</w:t>
            </w:r>
          </w:p>
        </w:tc>
        <w:tc>
          <w:tcPr>
            <w:tcW w:w="75" w:type="dxa"/>
            <w:vAlign w:val="center"/>
            <w:hideMark/>
          </w:tcPr>
          <w:p w14:paraId="0D19008D" w14:textId="77777777" w:rsidR="00D663F2" w:rsidRPr="00D663F2" w:rsidRDefault="00D663F2" w:rsidP="00D663F2"/>
        </w:tc>
        <w:tc>
          <w:tcPr>
            <w:tcW w:w="0" w:type="auto"/>
            <w:vAlign w:val="center"/>
            <w:hideMark/>
          </w:tcPr>
          <w:p w14:paraId="1336E483" w14:textId="77777777" w:rsidR="00D663F2" w:rsidRPr="00D663F2" w:rsidRDefault="00D663F2" w:rsidP="00D663F2">
            <w:r w:rsidRPr="00D663F2">
              <w:t>Execução da Pena</w:t>
            </w:r>
          </w:p>
        </w:tc>
      </w:tr>
      <w:tr w:rsidR="00D663F2" w:rsidRPr="00D663F2" w14:paraId="1C4857ED" w14:textId="77777777" w:rsidTr="00D663F2">
        <w:trPr>
          <w:trHeight w:val="375"/>
          <w:tblCellSpacing w:w="0" w:type="dxa"/>
        </w:trPr>
        <w:tc>
          <w:tcPr>
            <w:tcW w:w="50" w:type="pct"/>
            <w:noWrap/>
            <w:vAlign w:val="center"/>
            <w:hideMark/>
          </w:tcPr>
          <w:p w14:paraId="7B7FFB58" w14:textId="77777777" w:rsidR="00D663F2" w:rsidRPr="00D663F2" w:rsidRDefault="00D663F2" w:rsidP="00D663F2">
            <w:r w:rsidRPr="00D663F2">
              <w:t>Assunto Principal:</w:t>
            </w:r>
          </w:p>
        </w:tc>
        <w:tc>
          <w:tcPr>
            <w:tcW w:w="75" w:type="dxa"/>
            <w:vAlign w:val="center"/>
            <w:hideMark/>
          </w:tcPr>
          <w:p w14:paraId="77DA55E0" w14:textId="77777777" w:rsidR="00D663F2" w:rsidRPr="00D663F2" w:rsidRDefault="00D663F2" w:rsidP="00D663F2"/>
        </w:tc>
        <w:tc>
          <w:tcPr>
            <w:tcW w:w="0" w:type="auto"/>
            <w:vAlign w:val="center"/>
            <w:hideMark/>
          </w:tcPr>
          <w:p w14:paraId="0E1D7CC5" w14:textId="77777777" w:rsidR="00D663F2" w:rsidRPr="00D663F2" w:rsidRDefault="00D663F2" w:rsidP="00D663F2">
            <w:r w:rsidRPr="00D663F2">
              <w:t>Pena Privativa de Liberdade</w:t>
            </w:r>
          </w:p>
        </w:tc>
      </w:tr>
      <w:tr w:rsidR="00D663F2" w:rsidRPr="00D663F2" w14:paraId="00501AAB" w14:textId="77777777" w:rsidTr="00D663F2">
        <w:trPr>
          <w:trHeight w:val="375"/>
          <w:tblCellSpacing w:w="0" w:type="dxa"/>
        </w:trPr>
        <w:tc>
          <w:tcPr>
            <w:tcW w:w="50" w:type="pct"/>
            <w:noWrap/>
            <w:vAlign w:val="center"/>
            <w:hideMark/>
          </w:tcPr>
          <w:p w14:paraId="1E61E815" w14:textId="77777777" w:rsidR="00D663F2" w:rsidRPr="00D663F2" w:rsidRDefault="00D663F2" w:rsidP="00D663F2">
            <w:r w:rsidRPr="00D663F2">
              <w:t>Autoridade(s):</w:t>
            </w:r>
          </w:p>
        </w:tc>
        <w:tc>
          <w:tcPr>
            <w:tcW w:w="75" w:type="dxa"/>
            <w:vAlign w:val="center"/>
            <w:hideMark/>
          </w:tcPr>
          <w:p w14:paraId="2D111DF6" w14:textId="77777777" w:rsidR="00D663F2" w:rsidRPr="00D663F2" w:rsidRDefault="00D663F2" w:rsidP="00D663F2"/>
        </w:tc>
        <w:tc>
          <w:tcPr>
            <w:tcW w:w="0" w:type="auto"/>
            <w:vAlign w:val="center"/>
            <w:hideMark/>
          </w:tcPr>
          <w:p w14:paraId="04B71FEB" w14:textId="77777777" w:rsidR="00D663F2" w:rsidRPr="00D663F2" w:rsidRDefault="00D663F2" w:rsidP="00D663F2">
            <w:pPr>
              <w:numPr>
                <w:ilvl w:val="0"/>
                <w:numId w:val="1"/>
              </w:numPr>
            </w:pPr>
            <w:r w:rsidRPr="00D663F2">
              <w:t>Estado do Pará </w:t>
            </w:r>
          </w:p>
        </w:tc>
      </w:tr>
      <w:tr w:rsidR="00D663F2" w:rsidRPr="00D663F2" w14:paraId="052C9492" w14:textId="77777777" w:rsidTr="00D663F2">
        <w:trPr>
          <w:trHeight w:val="375"/>
          <w:tblCellSpacing w:w="0" w:type="dxa"/>
        </w:trPr>
        <w:tc>
          <w:tcPr>
            <w:tcW w:w="50" w:type="pct"/>
            <w:noWrap/>
            <w:vAlign w:val="center"/>
            <w:hideMark/>
          </w:tcPr>
          <w:p w14:paraId="1C1BD09D" w14:textId="77777777" w:rsidR="00D663F2" w:rsidRPr="00D663F2" w:rsidRDefault="00D663F2" w:rsidP="00D663F2">
            <w:r w:rsidRPr="00D663F2">
              <w:t>Executado(s):</w:t>
            </w:r>
          </w:p>
        </w:tc>
        <w:tc>
          <w:tcPr>
            <w:tcW w:w="75" w:type="dxa"/>
            <w:vAlign w:val="center"/>
            <w:hideMark/>
          </w:tcPr>
          <w:p w14:paraId="721EDD3E" w14:textId="77777777" w:rsidR="00D663F2" w:rsidRPr="00D663F2" w:rsidRDefault="00D663F2" w:rsidP="00D663F2"/>
        </w:tc>
        <w:tc>
          <w:tcPr>
            <w:tcW w:w="0" w:type="auto"/>
            <w:vAlign w:val="center"/>
            <w:hideMark/>
          </w:tcPr>
          <w:p w14:paraId="251A8352" w14:textId="77777777" w:rsidR="00D663F2" w:rsidRPr="00D663F2" w:rsidRDefault="00D663F2" w:rsidP="00D663F2">
            <w:pPr>
              <w:numPr>
                <w:ilvl w:val="0"/>
                <w:numId w:val="2"/>
              </w:numPr>
            </w:pPr>
            <w:r w:rsidRPr="00D663F2">
              <w:t>ALDO FREIRE DA SILVA</w:t>
            </w:r>
          </w:p>
        </w:tc>
      </w:tr>
    </w:tbl>
    <w:p w14:paraId="1A4C45DC" w14:textId="77777777" w:rsidR="00D663F2" w:rsidRPr="00D663F2" w:rsidRDefault="00D663F2" w:rsidP="00D663F2">
      <w:r w:rsidRPr="00D663F2">
        <w:pict w14:anchorId="2B1D4188">
          <v:rect id="_x0000_i1031" style="width:0;height:1.5pt" o:hralign="center" o:hrstd="t" o:hr="t" fillcolor="#a0a0a0" stroked="f"/>
        </w:pict>
      </w:r>
    </w:p>
    <w:p w14:paraId="7B20D1D3" w14:textId="77777777" w:rsidR="00D663F2" w:rsidRPr="00D663F2" w:rsidRDefault="00D663F2" w:rsidP="00D663F2">
      <w:r w:rsidRPr="00D663F2">
        <w:t>Vistos, etc.</w:t>
      </w:r>
    </w:p>
    <w:p w14:paraId="351E81BE" w14:textId="77777777" w:rsidR="00D663F2" w:rsidRPr="00D663F2" w:rsidRDefault="00D663F2" w:rsidP="00D663F2">
      <w:r w:rsidRPr="00D663F2">
        <w:t>Executando-se pena privativa de liberdade em regime fechado, vieram-me conclusos para análise de retificação de guia proposta pela defesa, em especial quanto à (a) anotação da fração para fins de progressão de regime quanto às condenações do art. 33 da Lei nº 11.343/2006 vinculada ao processo nº 0007120-30.2014.8.14.0005 e art. 35 da Lei nº 11.343/2006 vinculada ao processo nº 0800120-82.2021.8.20.5129 ; (b) suposta não contabilização do sistema de 215 dias de remição; (c) concessão de indulto natalino, para a ação penal nº 0800120-82.2021.8.20.5129, com fundamento no  art. 5º do Decreto nº 11.302/2022 (evento 419.1). </w:t>
      </w:r>
    </w:p>
    <w:p w14:paraId="6E6413B0" w14:textId="77777777" w:rsidR="00D663F2" w:rsidRPr="00D663F2" w:rsidRDefault="00D663F2" w:rsidP="00D663F2">
      <w:r w:rsidRPr="00D663F2">
        <w:t>Interveio o Ministério Público contrariamente, quanto a todos os pedidos (evento 422.1).</w:t>
      </w:r>
    </w:p>
    <w:p w14:paraId="10543396" w14:textId="77777777" w:rsidR="00D663F2" w:rsidRPr="00D663F2" w:rsidRDefault="00D663F2" w:rsidP="00D663F2">
      <w:r w:rsidRPr="00D663F2">
        <w:t>Anoto que, conforme a situação processual executória do apenado, este cumpre pena de 21 anos, 8 meses e 5 dias de reclusão, referente às condenações nos processos 0801973-63.2020.8.20.5129 (tráfico de drogas, fração de 60% para progressão), 0007120-30.2014.8.14.0005 (tráfico de drogas, fração de 3/5 para progressão) e 0800120-82.2021.8.20.5129 (associação para o tráfico, fração de 20%, e organização criminosa, fração de 60%), com saldo atual de 215 dias de remição, previsão de progressão de regime em 09/06/2030 e término da pena em 29/06/2039, conforme dados registrados no SEEU, nesta data.</w:t>
      </w:r>
    </w:p>
    <w:p w14:paraId="094BC3A8" w14:textId="77777777" w:rsidR="00D663F2" w:rsidRPr="00D663F2" w:rsidRDefault="00D663F2" w:rsidP="00D663F2">
      <w:r w:rsidRPr="00D663F2">
        <w:t>Relatados.</w:t>
      </w:r>
    </w:p>
    <w:p w14:paraId="3A9DC66B" w14:textId="77777777" w:rsidR="00D663F2" w:rsidRPr="00D663F2" w:rsidRDefault="00D663F2" w:rsidP="00D663F2">
      <w:r w:rsidRPr="00D663F2">
        <w:t>Sobre a contabilização dos dias de remição, observo que estes estão devidamente anotados no sistema, sendo possível identificar nos próprios autos, conforme atestado de pena juntado no evento 406.1, pendente de julgamento nova remição (evento 426.1) em que ainda o Ministério Público não se manifestou.</w:t>
      </w:r>
    </w:p>
    <w:p w14:paraId="51D1CE29" w14:textId="77777777" w:rsidR="00D663F2" w:rsidRPr="00D663F2" w:rsidRDefault="00D663F2" w:rsidP="00D663F2">
      <w:r w:rsidRPr="00D663F2">
        <w:t xml:space="preserve">Com relação às anotações das frações para fins de progressão de regime quanto às condenações por tráfico de drogas e associação para o tráfico, pondero estar correta a anotação constante no SEEU, tendo em vista que o apenado, à época dos delitos, era reincidente em crime hediondo, razão pela qual deve ser aplicado </w:t>
      </w:r>
      <w:r w:rsidRPr="00D663F2">
        <w:lastRenderedPageBreak/>
        <w:t xml:space="preserve">o disposto no inciso VII do art. 112 da Lei de Execuções Penais, conforme bem observou o Ministério Público, não havendo qualquer correção a ser feita na Guia de Execução Penal quanto a tal circunstância. </w:t>
      </w:r>
    </w:p>
    <w:p w14:paraId="78DEEC2F" w14:textId="77777777" w:rsidR="00D663F2" w:rsidRPr="00D663F2" w:rsidRDefault="00D663F2" w:rsidP="00D663F2">
      <w:r w:rsidRPr="00D663F2">
        <w:t xml:space="preserve">Melhor sorte não assiste ao apenado com relação ao pedido de indulto natalino com fulcro no Decreto 11.302/2022. É que, sem adentrar no mérito de sua constitucionalidade e nem no seu sobrestamento, tenho que o pedido não merece prosperar, uma vez que desconsidera o disposto no </w:t>
      </w:r>
      <w:r w:rsidRPr="00D663F2">
        <w:rPr>
          <w:i/>
          <w:iCs/>
        </w:rPr>
        <w:t>caput</w:t>
      </w:r>
      <w:r w:rsidRPr="00D663F2">
        <w:t xml:space="preserve"> do art. 44 da Lei nº 11.343/2006:</w:t>
      </w:r>
    </w:p>
    <w:p w14:paraId="1B17B97E" w14:textId="77777777" w:rsidR="00D663F2" w:rsidRPr="00D663F2" w:rsidRDefault="00D663F2" w:rsidP="00D663F2">
      <w:pPr>
        <w:rPr>
          <w:i/>
          <w:iCs/>
        </w:rPr>
      </w:pPr>
      <w:r w:rsidRPr="00D663F2">
        <w:rPr>
          <w:i/>
          <w:iCs/>
        </w:rPr>
        <w:t>Art. 44. Os crimes previstos nos arts. 33, caput e § 1º , e 34 a 37 desta Lei são inafiançáveis e insuscetíveis de sursis, graça, indulto, anistia e liberdade provisória, vedada a conversão de suas penas em restritivas de direitos.</w:t>
      </w:r>
    </w:p>
    <w:p w14:paraId="7833D855" w14:textId="77777777" w:rsidR="00D663F2" w:rsidRPr="00D663F2" w:rsidRDefault="00D663F2" w:rsidP="00D663F2">
      <w:r w:rsidRPr="00D663F2">
        <w:t>Isto posto, indefiro o pedido de indulto natalino fundamentado no Decreto 11.302/2022, bem como, indefiro o pedido de retificação proposto pelo apenado, mantendo inalterada a GEP.</w:t>
      </w:r>
    </w:p>
    <w:p w14:paraId="77FF329B" w14:textId="77777777" w:rsidR="00D663F2" w:rsidRPr="00D663F2" w:rsidRDefault="00D663F2" w:rsidP="00D663F2">
      <w:r w:rsidRPr="00D663F2">
        <w:rPr>
          <w:u w:val="single"/>
        </w:rPr>
        <w:t>P.R.I. Após, dê-se vista ao Ministério Público para manifestar-se quanto à remição do evento 426.1 e após retornem conclusos.</w:t>
      </w:r>
    </w:p>
    <w:p w14:paraId="14455CB9" w14:textId="77777777" w:rsidR="00D663F2" w:rsidRPr="00D663F2" w:rsidRDefault="00D663F2" w:rsidP="00D663F2">
      <w:r w:rsidRPr="00D663F2">
        <w:t>Natal, 09 de junho de 2025. </w:t>
      </w:r>
      <w:r w:rsidRPr="00D663F2">
        <w:br/>
        <w:t>Henrique Baltazar Vilar dos Santos  </w:t>
      </w:r>
      <w:r w:rsidRPr="00D663F2">
        <w:br/>
        <w:t>Juiz de Direito</w:t>
      </w:r>
    </w:p>
    <w:p w14:paraId="2F82D480" w14:textId="77777777" w:rsidR="00D663F2" w:rsidRDefault="00D663F2"/>
    <w:sectPr w:rsidR="00D663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D3B3C"/>
    <w:multiLevelType w:val="multilevel"/>
    <w:tmpl w:val="4FB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D6644F"/>
    <w:multiLevelType w:val="multilevel"/>
    <w:tmpl w:val="E3C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567679">
    <w:abstractNumId w:val="1"/>
  </w:num>
  <w:num w:numId="2" w16cid:durableId="44585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F2"/>
    <w:rsid w:val="004E0006"/>
    <w:rsid w:val="00D663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4DFBA"/>
  <w15:chartTrackingRefBased/>
  <w15:docId w15:val="{589880A5-07BF-42B8-BC00-1BD6CCCC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66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66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663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663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663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663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663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663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663F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63F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663F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663F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663F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663F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663F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663F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663F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663F2"/>
    <w:rPr>
      <w:rFonts w:eastAsiaTheme="majorEastAsia" w:cstheme="majorBidi"/>
      <w:color w:val="272727" w:themeColor="text1" w:themeTint="D8"/>
    </w:rPr>
  </w:style>
  <w:style w:type="paragraph" w:styleId="Ttulo">
    <w:name w:val="Title"/>
    <w:basedOn w:val="Normal"/>
    <w:next w:val="Normal"/>
    <w:link w:val="TtuloChar"/>
    <w:uiPriority w:val="10"/>
    <w:qFormat/>
    <w:rsid w:val="00D66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663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663F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663F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663F2"/>
    <w:pPr>
      <w:spacing w:before="160"/>
      <w:jc w:val="center"/>
    </w:pPr>
    <w:rPr>
      <w:i/>
      <w:iCs/>
      <w:color w:val="404040" w:themeColor="text1" w:themeTint="BF"/>
    </w:rPr>
  </w:style>
  <w:style w:type="character" w:customStyle="1" w:styleId="CitaoChar">
    <w:name w:val="Citação Char"/>
    <w:basedOn w:val="Fontepargpadro"/>
    <w:link w:val="Citao"/>
    <w:uiPriority w:val="29"/>
    <w:rsid w:val="00D663F2"/>
    <w:rPr>
      <w:i/>
      <w:iCs/>
      <w:color w:val="404040" w:themeColor="text1" w:themeTint="BF"/>
    </w:rPr>
  </w:style>
  <w:style w:type="paragraph" w:styleId="PargrafodaLista">
    <w:name w:val="List Paragraph"/>
    <w:basedOn w:val="Normal"/>
    <w:uiPriority w:val="34"/>
    <w:qFormat/>
    <w:rsid w:val="00D663F2"/>
    <w:pPr>
      <w:ind w:left="720"/>
      <w:contextualSpacing/>
    </w:pPr>
  </w:style>
  <w:style w:type="character" w:styleId="nfaseIntensa">
    <w:name w:val="Intense Emphasis"/>
    <w:basedOn w:val="Fontepargpadro"/>
    <w:uiPriority w:val="21"/>
    <w:qFormat/>
    <w:rsid w:val="00D663F2"/>
    <w:rPr>
      <w:i/>
      <w:iCs/>
      <w:color w:val="0F4761" w:themeColor="accent1" w:themeShade="BF"/>
    </w:rPr>
  </w:style>
  <w:style w:type="paragraph" w:styleId="CitaoIntensa">
    <w:name w:val="Intense Quote"/>
    <w:basedOn w:val="Normal"/>
    <w:next w:val="Normal"/>
    <w:link w:val="CitaoIntensaChar"/>
    <w:uiPriority w:val="30"/>
    <w:qFormat/>
    <w:rsid w:val="00D66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663F2"/>
    <w:rPr>
      <w:i/>
      <w:iCs/>
      <w:color w:val="0F4761" w:themeColor="accent1" w:themeShade="BF"/>
    </w:rPr>
  </w:style>
  <w:style w:type="character" w:styleId="RefernciaIntensa">
    <w:name w:val="Intense Reference"/>
    <w:basedOn w:val="Fontepargpadro"/>
    <w:uiPriority w:val="32"/>
    <w:qFormat/>
    <w:rsid w:val="00D663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933341">
      <w:bodyDiv w:val="1"/>
      <w:marLeft w:val="0"/>
      <w:marRight w:val="0"/>
      <w:marTop w:val="0"/>
      <w:marBottom w:val="0"/>
      <w:divBdr>
        <w:top w:val="none" w:sz="0" w:space="0" w:color="auto"/>
        <w:left w:val="none" w:sz="0" w:space="0" w:color="auto"/>
        <w:bottom w:val="none" w:sz="0" w:space="0" w:color="auto"/>
        <w:right w:val="none" w:sz="0" w:space="0" w:color="auto"/>
      </w:divBdr>
      <w:divsChild>
        <w:div w:id="1529483579">
          <w:marLeft w:val="0"/>
          <w:marRight w:val="0"/>
          <w:marTop w:val="0"/>
          <w:marBottom w:val="0"/>
          <w:divBdr>
            <w:top w:val="none" w:sz="0" w:space="0" w:color="auto"/>
            <w:left w:val="none" w:sz="0" w:space="0" w:color="auto"/>
            <w:bottom w:val="none" w:sz="0" w:space="0" w:color="auto"/>
            <w:right w:val="none" w:sz="0" w:space="0" w:color="auto"/>
          </w:divBdr>
        </w:div>
      </w:divsChild>
    </w:div>
    <w:div w:id="1578048791">
      <w:bodyDiv w:val="1"/>
      <w:marLeft w:val="0"/>
      <w:marRight w:val="0"/>
      <w:marTop w:val="0"/>
      <w:marBottom w:val="0"/>
      <w:divBdr>
        <w:top w:val="none" w:sz="0" w:space="0" w:color="auto"/>
        <w:left w:val="none" w:sz="0" w:space="0" w:color="auto"/>
        <w:bottom w:val="none" w:sz="0" w:space="0" w:color="auto"/>
        <w:right w:val="none" w:sz="0" w:space="0" w:color="auto"/>
      </w:divBdr>
      <w:divsChild>
        <w:div w:id="16599172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2787</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Nóbrega Carlos Gomes</dc:creator>
  <cp:keywords/>
  <dc:description/>
  <cp:lastModifiedBy>Victor Nóbrega Carlos Gomes</cp:lastModifiedBy>
  <cp:revision>1</cp:revision>
  <dcterms:created xsi:type="dcterms:W3CDTF">2025-06-09T21:36:00Z</dcterms:created>
  <dcterms:modified xsi:type="dcterms:W3CDTF">2025-06-09T21:36:00Z</dcterms:modified>
</cp:coreProperties>
</file>