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98d4tdb1of9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the new algorithm behaves in practice 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user scans/adds an item: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cfcfc" w:val="clear"/>
        <w:spacing w:after="0" w:afterAutospacing="0" w:before="6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Validate against Open Food Facts Database + Kenya Food Composition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FOPL result immediately</w:t>
      </w:r>
      <w:r w:rsidDel="00000000" w:rsidR="00000000" w:rsidRPr="00000000">
        <w:rPr>
          <w:sz w:val="24"/>
          <w:szCs w:val="24"/>
          <w:rtl w:val="0"/>
        </w:rPr>
        <w:t xml:space="preserve"> (fit vs octagon(s)), with nutrients that triggered it</w:t>
        <w:br w:type="textWrapping"/>
        <w:t xml:space="preserve">Kenya Nutrient Profile Model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cfcfc" w:val="clear"/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Fit for Consumption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(no warning): Meets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applicable thresholds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no non-nutritive sweeteners (or restricted use).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item is “exceeds threshold”(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cfcfc" w:val="clear"/>
          <w:rtl w:val="0"/>
        </w:rPr>
        <w:t xml:space="preserve">Exceeds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cfcfc" w:val="clear"/>
          <w:rtl w:val="0"/>
        </w:rPr>
        <w:t xml:space="preserve">any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cfcfc" w:val="clear"/>
          <w:rtl w:val="0"/>
        </w:rPr>
        <w:t xml:space="preserve"> threshold for total fat, saturated fat, total sugars, sodium 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cfcfc" w:val="clear"/>
          <w:rtl w:val="0"/>
        </w:rPr>
        <w:t xml:space="preserve">or</w:t>
      </w:r>
      <w:r w:rsidDel="00000000" w:rsidR="00000000" w:rsidRPr="00000000">
        <w:rPr>
          <w:rFonts w:ascii="Roboto" w:cs="Roboto" w:eastAsia="Roboto" w:hAnsi="Roboto"/>
          <w:sz w:val="24"/>
          <w:szCs w:val="24"/>
          <w:shd w:fill="fcfcfc" w:val="clear"/>
          <w:rtl w:val="0"/>
        </w:rPr>
        <w:t xml:space="preserve"> contains non-nutritive sweeteners/trans fats &gt;2g per 100g total fat.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Recommend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Top 3–5 substitutes</w:t>
      </w:r>
      <w:r w:rsidDel="00000000" w:rsidR="00000000" w:rsidRPr="00000000">
        <w:rPr>
          <w:sz w:val="24"/>
          <w:szCs w:val="24"/>
          <w:rtl w:val="0"/>
        </w:rPr>
        <w:t xml:space="preserve"> in Tier 1 (same sub-category) that are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below threshold</w:t>
      </w:r>
      <w:r w:rsidDel="00000000" w:rsidR="00000000" w:rsidRPr="00000000">
        <w:rPr>
          <w:sz w:val="24"/>
          <w:szCs w:val="24"/>
          <w:rtl w:val="0"/>
        </w:rPr>
        <w:t xml:space="preserve"> first (or lowest octagon_count)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no below-threshold substitutes exist in Tier 1: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 to Tier 2, then Tier 3 (still explaining “no close substitutes found”)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Generate a short GenAI explanation referencing: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nutrient(s) exceeded thresholds,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the alternative is better (fewer/no octagons),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(optionally) how it fits the user’s stated goal.</w:t>
      </w:r>
    </w:p>
    <w:p w:rsidR="00000000" w:rsidDel="00000000" w:rsidP="00000000" w:rsidRDefault="00000000" w:rsidRPr="00000000" w14:paraId="0000000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Tier 1: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same sub-category substitutes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“sub_category_class” (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BiLSTM </w:t>
      </w:r>
      <w:r w:rsidDel="00000000" w:rsidR="00000000" w:rsidRPr="00000000">
        <w:rPr>
          <w:sz w:val="24"/>
          <w:szCs w:val="24"/>
          <w:rtl w:val="0"/>
        </w:rPr>
        <w:t xml:space="preserve">model already predicts this)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Similar price band (e.g., ±20–30% or within remaining budget)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KNPM below-threshold only</w:t>
      </w:r>
      <w:r w:rsidDel="00000000" w:rsidR="00000000" w:rsidRPr="00000000">
        <w:rPr>
          <w:sz w:val="24"/>
          <w:szCs w:val="24"/>
          <w:rtl w:val="0"/>
        </w:rPr>
        <w:t xml:space="preserve"> if possible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2 (fallback): same category, broader substitutes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Same category_class (broader aisle equivalence)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prefer KNPM below-threshold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3 (escape hatch): cross-category healthy nudges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market has few healthy substitutes, suggest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other KNPM-below items aligned with preferences</w:t>
      </w:r>
      <w:r w:rsidDel="00000000" w:rsidR="00000000" w:rsidRPr="00000000">
        <w:rPr>
          <w:sz w:val="24"/>
          <w:szCs w:val="24"/>
          <w:rtl w:val="0"/>
        </w:rPr>
        <w:t xml:space="preserve"> (taste/brand constraints)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hd w:fill="fcfcfc" w:val="clear"/>
        <w:spacing w:after="0" w:afterAutospacing="0" w:before="6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category-specific thresholds (per 100g/100ml) — critical for accuracy: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Beverages: Often sugar threshold = 0 g/100ml (or very low ~5.3g, but 0 for child marketing); sodium low (0.02–0.21g).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Confectionery/Bakery/Snacks: Sugar 5.3–6.3g, fat 7–8.3g, sat fat 2.3–2.8g, sodium ~0.21–0.25g.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Dairy: Fat 4g, sat fat 1.3g, sugar ~7.2g (allows natural lactose).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Sauces/Composite: Higher allowances (e.g., sodium 0.35g) but portion-aware.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Full thresholds vary — implement a lookup table/dictionary keyed by category.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hd w:fill="fcfcfc" w:val="clear"/>
        <w:spacing w:after="6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Bonus: Assign pseudo-Nutri-Score (A–E) or weighted health score (e.g., 0–100) based on exceeded nutrients + positive factors (fiber/protein if available).</w:t>
      </w:r>
    </w:p>
    <w:p w:rsidR="00000000" w:rsidDel="00000000" w:rsidP="00000000" w:rsidRDefault="00000000" w:rsidRPr="00000000" w14:paraId="0000001F">
      <w:pPr>
        <w:shd w:fill="fcfcfc" w:val="clear"/>
        <w:spacing w:after="60" w:before="60" w:lineRule="auto"/>
        <w:ind w:left="72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hd w:fill="fcfcfc" w:val="clear"/>
        <w:spacing w:after="0" w:afterAutospacing="0" w:before="12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Ranking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hd w:fill="fcfcfc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Primary: KNPM compliance (fewest octagons → highest rank).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hd w:fill="fcfcfc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Secondary: Nutri-Score-like (or custom: reward high protein/fiber/vitamins, penalize energy).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hd w:fill="fcfcfc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Tertiary: Price/budget fit (retain linear programming).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hd w:fill="fcfcfc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Personalization boost: User history/preferences (e.g., avoid disliked items).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hd w:fill="fcfcfc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Step 4: Diversity &amp; novelty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— Enforce minimum variety; favor novel healthy items.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hd w:fill="fcfcfc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Output: Top 3–5 alternatives + explanations.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cfcfc" w:val="clear"/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Explanations (Generative AI Layer)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hd w:fill="fcfcfc" w:val="clear"/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Use RAG/LLM (e.g., Grok or fine-tuned model) to generate context-specific text: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hd w:fill="fcfcfc" w:val="clear"/>
        <w:spacing w:after="0" w:afterAutospacing="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"This alternative has 0g added sugar vs. 10g in your scanned item, staying below KNPM threshold for beverages."</w:t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hd w:fill="fcfcfc" w:val="clear"/>
        <w:spacing w:after="180" w:before="0" w:beforeAutospacing="0" w:lineRule="auto"/>
        <w:ind w:left="216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Tie to Kenyan guidelines (e.g., reduce NCD risk, Ministry of Health recommendations).</w:t>
      </w:r>
    </w:p>
    <w:p w:rsidR="00000000" w:rsidDel="00000000" w:rsidP="00000000" w:rsidRDefault="00000000" w:rsidRPr="00000000" w14:paraId="0000002B">
      <w:pPr>
        <w:shd w:fill="fcfcfc" w:val="clear"/>
        <w:spacing w:after="60" w:before="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