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Making Healthier Food Choices the Easy Option in Kenya through Artificial Intelligence</w:t>
      </w:r>
    </w:p>
    <w:p w:rsidR="00000000" w:rsidDel="00000000" w:rsidP="00000000" w:rsidRDefault="00000000" w:rsidRPr="00000000" w14:paraId="00000002">
      <w:pPr>
        <w:spacing w:line="276"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Tatenda D Kavu, Reinpeter Momamnyi, Agnes Kiragga, Steve Cygu, Gershim Asiki, Shukri Mohamed, Zachary Ndegwa Muriuki</w:t>
      </w:r>
    </w:p>
    <w:p w:rsidR="00000000" w:rsidDel="00000000" w:rsidP="00000000" w:rsidRDefault="00000000" w:rsidRPr="00000000" w14:paraId="00000003">
      <w:pPr>
        <w:spacing w:line="276"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spacing w:line="276"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Summary</w:t>
      </w:r>
    </w:p>
    <w:p w:rsidR="00000000" w:rsidDel="00000000" w:rsidP="00000000" w:rsidRDefault="00000000" w:rsidRPr="00000000" w14:paraId="00000005">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Kenya faces a growing burden of diet-related non-communicable diseases (NCDs), driven by rapid urbanization and increased consumption of unhealthy ultra-processed foods. To address this challenge, we propose an innovative, AI-powered mobile tool that applies the Kenya Nutrient Profile Model (KNPM) to support healthier consumer choices. The tool will scan packaged foods, extract nutritional content, apply Front-of-Pack Labels (FOPL) such as “Fit for Consumption” or a “Black Octagon with white text and pictorial cues,” recommend healthier alternatives, and provide explanations behind the recommendations using Generative Artificial Intelligence (GAI). This real-time digital intervention aims to empower consumers with limited nutritional literacy to make informed food choices aligned with national nutrition goals.</w:t>
      </w:r>
    </w:p>
    <w:p w:rsidR="00000000" w:rsidDel="00000000" w:rsidP="00000000" w:rsidRDefault="00000000" w:rsidRPr="00000000" w14:paraId="00000006">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project will be implemented over two years through a phased approach. Phase 1 will involve developing an OCR-based ingredient detection system, integrated with the Open Food Facts Database and Kenya Food Composition databases. A labelling algorithm will be built in line with KNPM, and a hybrid recommendation engine will be designed to suggest alternative products with superior nutritional profiles, ranked by Nutri-Score and tailored to user preferences. Phase 2 will focus on testing the mobile application across multiple platforms (Android/iOS), with crowdtesting to refine usability and assess impact. Backed by prior research (2023 Big Idea funding) analyzing over 3.9 million supermarket transactions, as well as existing prototype models we have previously built, the project is well-positioned to advance digital health innovations in nutrition la</w:t>
      </w:r>
      <w:r w:rsidDel="00000000" w:rsidR="00000000" w:rsidRPr="00000000">
        <w:rPr>
          <w:rFonts w:ascii="Calibri" w:cs="Calibri" w:eastAsia="Calibri" w:hAnsi="Calibri"/>
          <w:sz w:val="24"/>
          <w:szCs w:val="24"/>
          <w:rtl w:val="0"/>
        </w:rPr>
        <w:t xml:space="preserve">beling</w:t>
      </w:r>
      <w:r w:rsidDel="00000000" w:rsidR="00000000" w:rsidRPr="00000000">
        <w:rPr>
          <w:rFonts w:ascii="Calibri" w:cs="Calibri" w:eastAsia="Calibri" w:hAnsi="Calibri"/>
          <w:sz w:val="24"/>
          <w:szCs w:val="24"/>
          <w:rtl w:val="0"/>
        </w:rPr>
        <w:t xml:space="preserve">. Phase 3 will scale up the mobile application in line with the Ministry of Health’s national food labeling regulations.</w:t>
      </w:r>
    </w:p>
    <w:p w:rsidR="00000000" w:rsidDel="00000000" w:rsidP="00000000" w:rsidRDefault="00000000" w:rsidRPr="00000000" w14:paraId="00000007">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project strategically aligns with Kenya’s plans to enforce a front-of-pack labeling policy to promote healthier diets and prevent NCDs. We have started working closely with the IT unit of the Division of Nutrition and Dietetics at the Ministry of Health in preparation of building this tool. Unlike other front-of-pack labeling, which depends on industry compliance, this application directly empowers consumers to identify unhealthy foods and choose healthier alternatives. It is therefore transformative to consumer empowerment, a move that has generated strong support within the Division of Nutrition and Dietetics at the Ministry of Health.</w:t>
      </w:r>
    </w:p>
    <w:p w:rsidR="00000000" w:rsidDel="00000000" w:rsidP="00000000" w:rsidRDefault="00000000" w:rsidRPr="00000000" w14:paraId="00000008">
      <w:pPr>
        <w:spacing w:after="240" w:before="240" w:lineRule="auto"/>
        <w:jc w:val="both"/>
        <w:rPr>
          <w:rFonts w:ascii="Calibri" w:cs="Calibri" w:eastAsia="Calibri" w:hAnsi="Calibri"/>
          <w:i w:val="1"/>
          <w:iCs w:val="1"/>
          <w:sz w:val="24"/>
          <w:szCs w:val="24"/>
        </w:rPr>
      </w:pPr>
      <w:r w:rsidDel="00000000" w:rsidR="00000000" w:rsidRPr="00000000">
        <w:rPr>
          <w:rFonts w:ascii="Calibri" w:cs="Calibri" w:eastAsia="Calibri" w:hAnsi="Calibri"/>
          <w:sz w:val="24"/>
          <w:szCs w:val="24"/>
          <w:rtl w:val="0"/>
        </w:rPr>
        <w:t xml:space="preserve">Key Words: </w:t>
      </w:r>
      <w:r w:rsidDel="00000000" w:rsidR="00000000" w:rsidRPr="00000000">
        <w:rPr>
          <w:rFonts w:ascii="Calibri" w:cs="Calibri" w:eastAsia="Calibri" w:hAnsi="Calibri"/>
          <w:i w:val="1"/>
          <w:iCs w:val="1"/>
          <w:sz w:val="24"/>
          <w:szCs w:val="24"/>
          <w:rtl w:val="0"/>
        </w:rPr>
        <w:t xml:space="preserve">Front of pack labels, Non-Communicable Diseases, Generative AI, Optical Character Recognition, Recommendation Algorithms</w:t>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numPr>
          <w:ilvl w:val="1"/>
          <w:numId w:val="5"/>
        </w:numPr>
        <w:ind w:left="72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Background</w:t>
      </w:r>
    </w:p>
    <w:p w:rsidR="00000000" w:rsidDel="00000000" w:rsidP="00000000" w:rsidRDefault="00000000" w:rsidRPr="00000000" w14:paraId="0000000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Kenya is experiencing a significant increase in the prevalence of non-communicable diseases (NCDs) such as cardiovascular diseases, hypertension, Type 2 diabetes, and certain cancers.  NCDs account for 50% of hospital deaths and 55% of admissions in Kenya(World Health Organization Regional Office for Africa, 2018), (Mwenda et al., 2018). Unhealthy diet is the leading behav</w:t>
      </w:r>
      <w:r w:rsidDel="00000000" w:rsidR="00000000" w:rsidRPr="00000000">
        <w:rPr>
          <w:rFonts w:ascii="Calibri" w:cs="Calibri" w:eastAsia="Calibri" w:hAnsi="Calibri"/>
          <w:sz w:val="24"/>
          <w:szCs w:val="24"/>
          <w:rtl w:val="0"/>
        </w:rPr>
        <w:t xml:space="preserve">ioural risk factor for NCDs</w:t>
      </w:r>
      <w:r w:rsidDel="00000000" w:rsidR="00000000" w:rsidRPr="00000000">
        <w:rPr>
          <w:rFonts w:ascii="Calibri" w:cs="Calibri" w:eastAsia="Calibri" w:hAnsi="Calibri"/>
          <w:sz w:val="24"/>
          <w:szCs w:val="24"/>
          <w:rtl w:val="0"/>
        </w:rPr>
        <w:t xml:space="preserve"> (National Commission for Persons with Disabilities, 2021), (Kenya National Bureau of Statistics &amp; Kenya Ministry of Health, 2015).  Our recent work in supermarket transaction analytics has shown that </w:t>
      </w:r>
      <w:r w:rsidDel="00000000" w:rsidR="00000000" w:rsidRPr="00000000">
        <w:rPr>
          <w:rFonts w:ascii="Calibri" w:cs="Calibri" w:eastAsia="Calibri" w:hAnsi="Calibri"/>
          <w:sz w:val="24"/>
          <w:szCs w:val="24"/>
          <w:rtl w:val="0"/>
        </w:rPr>
        <w:t xml:space="preserve"> 53% of grocery supermarket transactions in Kenya involve ultra-processed foods, a trend that could potentially contr</w:t>
      </w:r>
      <w:r w:rsidDel="00000000" w:rsidR="00000000" w:rsidRPr="00000000">
        <w:rPr>
          <w:rFonts w:ascii="Calibri" w:cs="Calibri" w:eastAsia="Calibri" w:hAnsi="Calibri"/>
          <w:sz w:val="24"/>
          <w:szCs w:val="24"/>
          <w:rtl w:val="0"/>
        </w:rPr>
        <w:t xml:space="preserve">ibute to an increase in non-communicable diseases (NCDs) within the population(Momanyi et al. 2025). According to the United Nations Human Settlements Programme (2012-2025) Kenya’s urban population has grown rapidly</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 Nairobi now has a population of nearly 5 million and continues to expand, with much of this growth in informal settlemen</w:t>
      </w:r>
      <w:r w:rsidDel="00000000" w:rsidR="00000000" w:rsidRPr="00000000">
        <w:rPr>
          <w:rFonts w:ascii="Calibri" w:cs="Calibri" w:eastAsia="Calibri" w:hAnsi="Calibri"/>
          <w:sz w:val="24"/>
          <w:szCs w:val="24"/>
          <w:rtl w:val="0"/>
        </w:rPr>
        <w:t xml:space="preserve">ts(Population Matters, 2024). This urban expansion is accompanied by profound dietary transitions. </w:t>
      </w:r>
      <w:r w:rsidDel="00000000" w:rsidR="00000000" w:rsidRPr="00000000">
        <w:rPr>
          <w:rFonts w:ascii="Calibri" w:cs="Calibri" w:eastAsia="Calibri" w:hAnsi="Calibri"/>
          <w:sz w:val="24"/>
          <w:szCs w:val="24"/>
          <w:rtl w:val="0"/>
        </w:rPr>
        <w:t xml:space="preserve">As with Nairobi exemplifying rapid dietary transitions toward energy-dense, nutrient-poor diets (Kimani-Murage et al., 2015, </w:t>
      </w:r>
      <w:r w:rsidDel="00000000" w:rsidR="00000000" w:rsidRPr="00000000">
        <w:rPr>
          <w:rFonts w:ascii="Calibri" w:cs="Calibri" w:eastAsia="Calibri" w:hAnsi="Calibri"/>
          <w:color w:val="222222"/>
          <w:sz w:val="24"/>
          <w:szCs w:val="24"/>
          <w:highlight w:val="white"/>
          <w:rtl w:val="0"/>
        </w:rPr>
        <w:t xml:space="preserve">Karugu CH et al, 2024</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 Urban diets in Kenya, particularly Nairobi, are increasingly dominated by processed, high-calorie foods, which have contributed to rising obesity rates and related non-communicable diseases (NCDs) (Kimani-Murage et al., 2015; Ministry of Health Kenya, 2015). This phenomenon, termed the nutrition transition, has been observed in many developing regions and is well underway in Africa (Brown &amp; Wagner, 2017). </w:t>
      </w:r>
    </w:p>
    <w:p w:rsidR="00000000" w:rsidDel="00000000" w:rsidP="00000000" w:rsidRDefault="00000000" w:rsidRPr="00000000" w14:paraId="0000000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Recent studies, such as one conducted by the University of Florida Institute of Food and Agricultural Sciences (UF/IFAS, 2024), demonstrate that color-coded nutrition labels increase consumers' attention to key nutrients, improve their ability to distinguish between healthier and less healthy products, and speed up decision-making at a glance. This simplification is crucial, as traditional (back-of-pack) nutrition labels are often too complex for quick interpretation. By making nutritional information more intuitive, color-coded systems empower consumers to make informed, healthier choices more efficiently. </w:t>
      </w:r>
    </w:p>
    <w:p w:rsidR="00000000" w:rsidDel="00000000" w:rsidP="00000000" w:rsidRDefault="00000000" w:rsidRPr="00000000" w14:paraId="0000000E">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Front-of-pack (FOP) labels are tools used on packaged foods to provide consumers with accessible nutrition information and support healthier food choices.</w:t>
      </w:r>
      <w:r w:rsidDel="00000000" w:rsidR="00000000" w:rsidRPr="00000000">
        <w:rPr>
          <w:rFonts w:ascii="Calibri" w:cs="Calibri" w:eastAsia="Calibri" w:hAnsi="Calibri"/>
          <w:sz w:val="24"/>
          <w:szCs w:val="24"/>
          <w:rtl w:val="0"/>
        </w:rPr>
        <w:t xml:space="preserve"> These labels are broadly classified into two categories: reductive and interpretative systems (Global Health Advocacy Incubator. (2024), Grummon, A. H., et al. (2023).</w:t>
      </w:r>
    </w:p>
    <w:p w:rsidR="00000000" w:rsidDel="00000000" w:rsidP="00000000" w:rsidRDefault="00000000" w:rsidRPr="00000000" w14:paraId="0000000F">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w:t>
      </w:r>
      <w:r w:rsidDel="00000000" w:rsidR="00000000" w:rsidRPr="00000000">
        <w:rPr>
          <w:rFonts w:ascii="Calibri" w:cs="Calibri" w:eastAsia="Calibri" w:hAnsi="Calibri"/>
          <w:sz w:val="24"/>
          <w:szCs w:val="24"/>
          <w:rtl w:val="0"/>
        </w:rPr>
        <w:t xml:space="preserve">nterpretative labels provide guidance or evaluation: they help consumers assess whether a product is “healthy” or “unhealthy.” These can be nutrient-specific like Multiple Traffic Light (MTL), Chilean warning labels or summary assessments such as Health Star Ratings (HSR), Nutri‑Score, or star-based systems. Evidence shows interpretative formats, particularly summary systems like HSR, more effectively steer consumer choices toward healthier products compared to reductive labels, which often have minimal impact (Talati et al., 2017; Graham et al., 2023).</w:t>
      </w:r>
    </w:p>
    <w:p w:rsidR="00000000" w:rsidDel="00000000" w:rsidP="00000000" w:rsidRDefault="00000000" w:rsidRPr="00000000" w14:paraId="0000001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good example of the interpretative labels technique is the one that was implemented </w:t>
      </w:r>
      <w:r w:rsidDel="00000000" w:rsidR="00000000" w:rsidRPr="00000000">
        <w:rPr>
          <w:rFonts w:ascii="Calibri" w:cs="Calibri" w:eastAsia="Calibri" w:hAnsi="Calibri"/>
          <w:sz w:val="24"/>
          <w:szCs w:val="24"/>
          <w:rtl w:val="0"/>
        </w:rPr>
        <w:t xml:space="preserve">In </w:t>
      </w:r>
      <w:r w:rsidDel="00000000" w:rsidR="00000000" w:rsidRPr="00000000">
        <w:rPr>
          <w:rFonts w:ascii="Calibri" w:cs="Calibri" w:eastAsia="Calibri" w:hAnsi="Calibri"/>
          <w:sz w:val="24"/>
          <w:szCs w:val="24"/>
          <w:rtl w:val="0"/>
        </w:rPr>
        <w:t xml:space="preserve">th</w:t>
      </w:r>
      <w:r w:rsidDel="00000000" w:rsidR="00000000" w:rsidRPr="00000000">
        <w:rPr>
          <w:rFonts w:ascii="Calibri" w:cs="Calibri" w:eastAsia="Calibri" w:hAnsi="Calibri"/>
          <w:sz w:val="24"/>
          <w:szCs w:val="24"/>
          <w:rtl w:val="0"/>
        </w:rPr>
        <w:t xml:space="preserve">e United Kingdom. A government-endorsed front-of-pack traffic light labelling scheme uses simple color codes (red, amber, green) to indicate whether the  nutrients of concern like sugars, salt, fat, and saturates are high, medium, or low in a product(Food Standards Agency, 2013). Health authorities introduced this as a voluntary system (first recommended by the Food Standards Agency in 2006, with standardized guidance in 2013) and it has been widely adopted by major supermarkets and food manufacturers Health &amp; Social Care Dept., 2013. The straightforward red/amber/green display allows consumers to assess a food’s healthiness at a glance, making it easier to compare options and choose healthier products; indeed, surveys found about 90% of UK shoppers say it helps them make informed decisions Food Standards Agency, 2013; Health &amp; Social Care Dept., 2013. This pragmatic color-coded approach was one of the first of its kind and has influenced other countries’ labeling policies</w:t>
      </w:r>
      <w:r w:rsidDel="00000000" w:rsidR="00000000" w:rsidRPr="00000000">
        <w:rPr>
          <w:rFonts w:ascii="Calibri" w:cs="Calibri" w:eastAsia="Calibri" w:hAnsi="Calibri"/>
          <w:sz w:val="24"/>
          <w:szCs w:val="24"/>
          <w:rtl w:val="0"/>
        </w:rPr>
        <w:t xml:space="preserve"> (Robinson, &amp; Cameron, 2015)</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1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Kenya a nutrient profile model has been created with support from APHRC which specifically applies to Kenya. The Kenya Nutrient Profile Model (KNPM) is a scientifically grounded framework developed by the Kenya Ministry of Health with its partners to regulate the nutritional quality of pre-packaged foods and beverages. It sets clear thresholds for nutrients of concern sugar, total fat, saturated fat, and sodium based on WHO guidelines and local dietary needs. Its primary aim is to combat rising diet-related non-communicable diseases (NCDs) by guiding policies on front-of-pack labeling, food marketing restrictions, and consumer awareness. When applied through </w:t>
      </w:r>
      <w:r w:rsidDel="00000000" w:rsidR="00000000" w:rsidRPr="00000000">
        <w:rPr>
          <w:rFonts w:ascii="Calibri" w:cs="Calibri" w:eastAsia="Calibri" w:hAnsi="Calibri"/>
          <w:sz w:val="24"/>
          <w:szCs w:val="24"/>
          <w:rtl w:val="0"/>
        </w:rPr>
        <w:t xml:space="preserve">color-coded labeling, </w:t>
      </w:r>
      <w:r w:rsidDel="00000000" w:rsidR="00000000" w:rsidRPr="00000000">
        <w:rPr>
          <w:rFonts w:ascii="Calibri" w:cs="Calibri" w:eastAsia="Calibri" w:hAnsi="Calibri"/>
          <w:sz w:val="24"/>
          <w:szCs w:val="24"/>
          <w:rtl w:val="0"/>
        </w:rPr>
        <w:t xml:space="preserve">the KNPM can help Kenyan consumers easily interpret nutritional information and make quick, healthier food choices, especially in urban and low-literacy populations.</w:t>
      </w:r>
    </w:p>
    <w:p w:rsidR="00000000" w:rsidDel="00000000" w:rsidP="00000000" w:rsidRDefault="00000000" w:rsidRPr="00000000" w14:paraId="0000001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 APHRC led study which conducted randomised trials across Nairobi, Mombasa, Kisumu and Garissa counties proved that the black octagon shown in figure 1 significantly enhances recognition of unhealthy nutrients amongst Kenyan consumers Mohamed et al., 2024.</w:t>
      </w:r>
      <w:r w:rsidDel="00000000" w:rsidR="00000000" w:rsidRPr="00000000">
        <w:rPr>
          <w:rFonts w:ascii="Calibri" w:cs="Calibri" w:eastAsia="Calibri" w:hAnsi="Calibri"/>
          <w:sz w:val="24"/>
          <w:szCs w:val="24"/>
          <w:rtl w:val="0"/>
        </w:rPr>
        <w:t xml:space="preserve"> Whilst the color-coding technique has not yet been implemented in Kenya. The Ministry of Health in Kenya is actively evaluating the black octagon warning label as recommended by the APHRC study, a bold black octagon with white text and pictorial cues to flag packaged foods high in sugar, salt, saturated</w:t>
      </w:r>
      <w:r w:rsidDel="00000000" w:rsidR="00000000" w:rsidRPr="00000000">
        <w:rPr>
          <w:rFonts w:ascii="Calibri" w:cs="Calibri" w:eastAsia="Calibri" w:hAnsi="Calibri"/>
          <w:sz w:val="24"/>
          <w:szCs w:val="24"/>
          <w:rtl w:val="0"/>
        </w:rPr>
        <w:t xml:space="preserve"> or total fat.</w:t>
      </w:r>
      <w:r w:rsidDel="00000000" w:rsidR="00000000" w:rsidRPr="00000000">
        <w:rPr>
          <w:rFonts w:ascii="Calibri" w:cs="Calibri" w:eastAsia="Calibri" w:hAnsi="Calibri"/>
          <w:sz w:val="24"/>
          <w:szCs w:val="24"/>
          <w:rtl w:val="0"/>
        </w:rPr>
        <w:t xml:space="preserve"> The implementation of the FOP label is complex as it requires the </w:t>
      </w:r>
      <w:r w:rsidDel="00000000" w:rsidR="00000000" w:rsidRPr="00000000">
        <w:rPr>
          <w:rFonts w:ascii="Calibri" w:cs="Calibri" w:eastAsia="Calibri" w:hAnsi="Calibri"/>
          <w:sz w:val="24"/>
          <w:szCs w:val="24"/>
          <w:rtl w:val="0"/>
        </w:rPr>
        <w:t xml:space="preserve">cooperation</w:t>
      </w:r>
      <w:r w:rsidDel="00000000" w:rsidR="00000000" w:rsidRPr="00000000">
        <w:rPr>
          <w:rFonts w:ascii="Calibri" w:cs="Calibri" w:eastAsia="Calibri" w:hAnsi="Calibri"/>
          <w:sz w:val="24"/>
          <w:szCs w:val="24"/>
          <w:rtl w:val="0"/>
        </w:rPr>
        <w:t xml:space="preserve"> of the food industry to stick labels on the packaged foods. This will likely face stiff opposition from the industry and experience substantial delays. As the government prepares the regulation enforcing the front-of-pack labels, there is a need to sensitize the public on the healthiness of foods and the upcoming policy.  </w:t>
      </w:r>
      <w:r w:rsidDel="00000000" w:rsidR="00000000" w:rsidRPr="00000000">
        <w:rPr>
          <w:rFonts w:ascii="Calibri" w:cs="Calibri" w:eastAsia="Calibri" w:hAnsi="Calibri"/>
          <w:sz w:val="24"/>
          <w:szCs w:val="24"/>
          <w:rtl w:val="0"/>
        </w:rPr>
        <w:t xml:space="preserve">The plan is to deploy the digital tool  ahead of the Front of Pack Labelling (FOPL) implementation to increase public awareness on unhealthy foods and make healthier food choices an easy choice. </w:t>
      </w:r>
      <w:r w:rsidDel="00000000" w:rsidR="00000000" w:rsidRPr="00000000">
        <w:rPr>
          <w:rFonts w:ascii="Calibri" w:cs="Calibri" w:eastAsia="Calibri" w:hAnsi="Calibri"/>
          <w:sz w:val="24"/>
          <w:szCs w:val="24"/>
          <w:rtl w:val="0"/>
        </w:rPr>
        <w:t xml:space="preserve"> This work is complementary to the FOPL implementation plans in Kenya. </w:t>
      </w:r>
    </w:p>
    <w:p w:rsidR="00000000" w:rsidDel="00000000" w:rsidP="00000000" w:rsidRDefault="00000000" w:rsidRPr="00000000" w14:paraId="0000001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467225" cy="333388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67225" cy="3333883"/>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Figure1: Three front-of-pack-labels tested in Kenya(source: </w:t>
      </w:r>
      <w:r w:rsidDel="00000000" w:rsidR="00000000" w:rsidRPr="00000000">
        <w:rPr>
          <w:rFonts w:ascii="Calibri" w:cs="Calibri" w:eastAsia="Calibri" w:hAnsi="Calibri"/>
          <w:i w:val="1"/>
          <w:iCs w:val="1"/>
          <w:sz w:val="24"/>
          <w:szCs w:val="24"/>
          <w:rtl w:val="0"/>
        </w:rPr>
        <w:t xml:space="preserve">Mohamed et al., 2024</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18">
      <w:pPr>
        <w:numPr>
          <w:ilvl w:val="1"/>
          <w:numId w:val="5"/>
        </w:numPr>
        <w:ind w:left="72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Overall Aim</w:t>
      </w:r>
    </w:p>
    <w:p w:rsidR="00000000" w:rsidDel="00000000" w:rsidP="00000000" w:rsidRDefault="00000000" w:rsidRPr="00000000" w14:paraId="00000019">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develop and validate an AI-powered mobile tool that enables consumers to make healthy choices, with the goal of promoting healthier dietary behaviors to prevent obesity and non-communicable diseases in Kenya.</w:t>
      </w:r>
      <w:r w:rsidDel="00000000" w:rsidR="00000000" w:rsidRPr="00000000">
        <w:rPr>
          <w:rtl w:val="0"/>
        </w:rPr>
      </w:r>
    </w:p>
    <w:p w:rsidR="00000000" w:rsidDel="00000000" w:rsidP="00000000" w:rsidRDefault="00000000" w:rsidRPr="00000000" w14:paraId="0000001A">
      <w:pPr>
        <w:numPr>
          <w:ilvl w:val="1"/>
          <w:numId w:val="5"/>
        </w:numPr>
        <w:ind w:left="72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Specific Objectives</w:t>
      </w:r>
    </w:p>
    <w:p w:rsidR="00000000" w:rsidDel="00000000" w:rsidP="00000000" w:rsidRDefault="00000000" w:rsidRPr="00000000" w14:paraId="0000001B">
      <w:pPr>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objective of this </w:t>
      </w:r>
      <w:r w:rsidDel="00000000" w:rsidR="00000000" w:rsidRPr="00000000">
        <w:rPr>
          <w:rFonts w:ascii="Calibri" w:cs="Calibri" w:eastAsia="Calibri" w:hAnsi="Calibri"/>
          <w:sz w:val="24"/>
          <w:szCs w:val="24"/>
          <w:rtl w:val="0"/>
        </w:rPr>
        <w:t xml:space="preserve">study is to:</w:t>
      </w:r>
      <w:r w:rsidDel="00000000" w:rsidR="00000000" w:rsidRPr="00000000">
        <w:rPr>
          <w:rtl w:val="0"/>
        </w:rPr>
      </w:r>
    </w:p>
    <w:p w:rsidR="00000000" w:rsidDel="00000000" w:rsidP="00000000" w:rsidRDefault="00000000" w:rsidRPr="00000000" w14:paraId="0000001C">
      <w:pPr>
        <w:numPr>
          <w:ilvl w:val="0"/>
          <w:numId w:val="1"/>
        </w:numPr>
        <w:spacing w:after="0" w:afterAutospacing="0" w:before="24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 and validate an AI-enabled tool to read and extract ingredients from food packages.</w:t>
      </w:r>
    </w:p>
    <w:p w:rsidR="00000000" w:rsidDel="00000000" w:rsidP="00000000" w:rsidRDefault="00000000" w:rsidRPr="00000000" w14:paraId="0000001D">
      <w:pPr>
        <w:numPr>
          <w:ilvl w:val="0"/>
          <w:numId w:val="1"/>
        </w:numPr>
        <w:spacing w:after="0" w:afterAutospacing="0" w:before="0" w:beforeAutospacing="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Pilot a prototype labeling scheme on at least 1000 diverse food items.</w:t>
      </w:r>
    </w:p>
    <w:p w:rsidR="00000000" w:rsidDel="00000000" w:rsidP="00000000" w:rsidRDefault="00000000" w:rsidRPr="00000000" w14:paraId="0000001E">
      <w:pPr>
        <w:numPr>
          <w:ilvl w:val="0"/>
          <w:numId w:val="1"/>
        </w:numPr>
        <w:spacing w:after="0" w:afterAutospacing="0" w:before="0" w:beforeAutospacing="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 and deploy an AI-powered recommendation system that suggests </w:t>
      </w:r>
      <w:r w:rsidDel="00000000" w:rsidR="00000000" w:rsidRPr="00000000">
        <w:rPr>
          <w:rFonts w:ascii="Calibri" w:cs="Calibri" w:eastAsia="Calibri" w:hAnsi="Calibri"/>
          <w:sz w:val="24"/>
          <w:szCs w:val="24"/>
          <w:rtl w:val="0"/>
        </w:rPr>
        <w:t xml:space="preserve">healthier</w:t>
      </w:r>
      <w:r w:rsidDel="00000000" w:rsidR="00000000" w:rsidRPr="00000000">
        <w:rPr>
          <w:rFonts w:ascii="Calibri" w:cs="Calibri" w:eastAsia="Calibri" w:hAnsi="Calibri"/>
          <w:sz w:val="24"/>
          <w:szCs w:val="24"/>
          <w:rtl w:val="0"/>
        </w:rPr>
        <w:t xml:space="preserve">, similarly categorized food alternatives (based on labelled tiers), and generate context-specific nutritional explanations using  GenAI.</w:t>
      </w:r>
    </w:p>
    <w:p w:rsidR="00000000" w:rsidDel="00000000" w:rsidP="00000000" w:rsidRDefault="00000000" w:rsidRPr="00000000" w14:paraId="0000001F">
      <w:pPr>
        <w:numPr>
          <w:ilvl w:val="0"/>
          <w:numId w:val="1"/>
        </w:numPr>
        <w:spacing w:after="0" w:afterAutospacing="0" w:before="0" w:beforeAutospacing="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 the scalability and usability of a mobile application that integrates FOPL and AI-based recommendations, through a field pilot involving at least 500 consumers across three counties in Kenya.</w:t>
      </w:r>
      <w:r w:rsidDel="00000000" w:rsidR="00000000" w:rsidRPr="00000000">
        <w:rPr>
          <w:rtl w:val="0"/>
        </w:rPr>
      </w:r>
    </w:p>
    <w:p w:rsidR="00000000" w:rsidDel="00000000" w:rsidP="00000000" w:rsidRDefault="00000000" w:rsidRPr="00000000" w14:paraId="00000020">
      <w:pPr>
        <w:numPr>
          <w:ilvl w:val="1"/>
          <w:numId w:val="5"/>
        </w:numPr>
        <w:ind w:left="72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Research Questions</w:t>
      </w:r>
    </w:p>
    <w:p w:rsidR="00000000" w:rsidDel="00000000" w:rsidP="00000000" w:rsidRDefault="00000000" w:rsidRPr="00000000" w14:paraId="00000021">
      <w:pPr>
        <w:ind w:left="72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WP1: Ingredient Extraction </w:t>
      </w:r>
      <w:r w:rsidDel="00000000" w:rsidR="00000000" w:rsidRPr="00000000">
        <w:rPr>
          <w:rFonts w:ascii="Calibri" w:cs="Calibri" w:eastAsia="Calibri" w:hAnsi="Calibri"/>
          <w:b w:val="1"/>
          <w:bCs w:val="1"/>
          <w:sz w:val="24"/>
          <w:szCs w:val="24"/>
          <w:rtl w:val="0"/>
        </w:rPr>
        <w:t xml:space="preserve">Algorithms</w:t>
      </w:r>
      <w:r w:rsidDel="00000000" w:rsidR="00000000" w:rsidRPr="00000000">
        <w:rPr>
          <w:rtl w:val="0"/>
        </w:rPr>
      </w:r>
    </w:p>
    <w:p w:rsidR="00000000" w:rsidDel="00000000" w:rsidP="00000000" w:rsidRDefault="00000000" w:rsidRPr="00000000" w14:paraId="00000022">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what extent can image recognition algorithms be used to extract quality  ingredients    information from food packages ?</w:t>
      </w:r>
    </w:p>
    <w:p w:rsidR="00000000" w:rsidDel="00000000" w:rsidP="00000000" w:rsidRDefault="00000000" w:rsidRPr="00000000" w14:paraId="00000023">
      <w:pPr>
        <w:ind w:left="72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WP2: Validate Extracted Ingredients</w:t>
      </w:r>
    </w:p>
    <w:p w:rsidR="00000000" w:rsidDel="00000000" w:rsidP="00000000" w:rsidRDefault="00000000" w:rsidRPr="00000000" w14:paraId="00000024">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to validate extracted ingredients data from images using open source food  databases ?</w:t>
      </w:r>
    </w:p>
    <w:p w:rsidR="00000000" w:rsidDel="00000000" w:rsidP="00000000" w:rsidRDefault="00000000" w:rsidRPr="00000000" w14:paraId="00000025">
      <w:pPr>
        <w:ind w:left="72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WP3: Color-coding Algorithm</w:t>
      </w:r>
    </w:p>
    <w:p w:rsidR="00000000" w:rsidDel="00000000" w:rsidP="00000000" w:rsidRDefault="00000000" w:rsidRPr="00000000" w14:paraId="00000026">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Can the KNPM be used to successfully label Kenya food items? </w:t>
      </w:r>
      <w:r w:rsidDel="00000000" w:rsidR="00000000" w:rsidRPr="00000000">
        <w:rPr>
          <w:rtl w:val="0"/>
        </w:rPr>
      </w:r>
    </w:p>
    <w:p w:rsidR="00000000" w:rsidDel="00000000" w:rsidP="00000000" w:rsidRDefault="00000000" w:rsidRPr="00000000" w14:paraId="00000027">
      <w:pPr>
        <w:ind w:left="72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WP4: Recommendation Strategy</w:t>
      </w:r>
    </w:p>
    <w:p w:rsidR="00000000" w:rsidDel="00000000" w:rsidP="00000000" w:rsidRDefault="00000000" w:rsidRPr="00000000" w14:paraId="00000028">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best way of providing useful suggestions and explanations to consumers during shopping ?</w:t>
      </w:r>
    </w:p>
    <w:p w:rsidR="00000000" w:rsidDel="00000000" w:rsidP="00000000" w:rsidRDefault="00000000" w:rsidRPr="00000000" w14:paraId="00000029">
      <w:pPr>
        <w:ind w:left="72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WP4: The mobile application</w:t>
      </w:r>
    </w:p>
    <w:p w:rsidR="00000000" w:rsidDel="00000000" w:rsidP="00000000" w:rsidRDefault="00000000" w:rsidRPr="00000000" w14:paraId="0000002A">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best way of validating a food front of pack labeling  application based on nutrient profile model and national food policies ?</w:t>
      </w:r>
    </w:p>
    <w:p w:rsidR="00000000" w:rsidDel="00000000" w:rsidP="00000000" w:rsidRDefault="00000000" w:rsidRPr="00000000" w14:paraId="0000002B">
      <w:pPr>
        <w:ind w:left="108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numPr>
          <w:ilvl w:val="1"/>
          <w:numId w:val="5"/>
        </w:numPr>
        <w:ind w:left="720"/>
        <w:rPr>
          <w:rFonts w:ascii="Times New Roman" w:cs="Times New Roman" w:eastAsia="Times New Roman" w:hAnsi="Times New Roman"/>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bCs w:val="1"/>
          <w:sz w:val="28"/>
          <w:szCs w:val="28"/>
          <w:rtl w:val="0"/>
        </w:rPr>
        <w:t xml:space="preserve">Building on Prior Research: Rationale for the study</w:t>
      </w:r>
    </w:p>
    <w:p w:rsidR="00000000" w:rsidDel="00000000" w:rsidP="00000000" w:rsidRDefault="00000000" w:rsidRPr="00000000" w14:paraId="0000002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study continues the work that was initiated by 2023 funded </w:t>
      </w:r>
      <w:r w:rsidDel="00000000" w:rsidR="00000000" w:rsidRPr="00000000">
        <w:rPr>
          <w:rFonts w:ascii="Calibri" w:cs="Calibri" w:eastAsia="Calibri" w:hAnsi="Calibri"/>
          <w:b w:val="1"/>
          <w:bCs w:val="1"/>
          <w:sz w:val="24"/>
          <w:szCs w:val="24"/>
          <w:rtl w:val="0"/>
        </w:rPr>
        <w:t xml:space="preserve">Big Idea</w:t>
      </w:r>
      <w:r w:rsidDel="00000000" w:rsidR="00000000" w:rsidRPr="00000000">
        <w:rPr>
          <w:rFonts w:ascii="Calibri" w:cs="Calibri" w:eastAsia="Calibri" w:hAnsi="Calibri"/>
          <w:sz w:val="24"/>
          <w:szCs w:val="24"/>
          <w:rtl w:val="0"/>
        </w:rPr>
        <w:t xml:space="preserve"> titled: “Analysis of supermarket grocery data for prediction of nutritional and health outcomes at the population level in seven counties in Kenya”. In that study we collected 3,934,122 unique transactions from 10 supermarkets in 5 counties in Kenya and each transaction was associated with a customer who was identified with a unique customer ID. Findings from this research demonstrate that 53% of food purchases from these transactions were mainly industrially processed food items and males above the age of 50 years were the </w:t>
      </w:r>
      <w:r w:rsidDel="00000000" w:rsidR="00000000" w:rsidRPr="00000000">
        <w:rPr>
          <w:rFonts w:ascii="Calibri" w:cs="Calibri" w:eastAsia="Calibri" w:hAnsi="Calibri"/>
          <w:sz w:val="24"/>
          <w:szCs w:val="24"/>
          <w:rtl w:val="0"/>
        </w:rPr>
        <w:t xml:space="preserve">main consumers </w:t>
      </w:r>
      <w:r w:rsidDel="00000000" w:rsidR="00000000" w:rsidRPr="00000000">
        <w:rPr>
          <w:rFonts w:ascii="Calibri" w:cs="Calibri" w:eastAsia="Calibri" w:hAnsi="Calibri"/>
          <w:sz w:val="24"/>
          <w:szCs w:val="24"/>
          <w:rtl w:val="0"/>
        </w:rPr>
        <w:t xml:space="preserve">of these food items. The findings lead to the conclusion that this purchase trend has a chance of rising NCDs in older people. Therefore we came up with the idea of building this tool to help consumers make informed decisions whilst we engage policymakers to adopt our recommendations to safeguard public health.</w:t>
      </w:r>
    </w:p>
    <w:p w:rsidR="00000000" w:rsidDel="00000000" w:rsidP="00000000" w:rsidRDefault="00000000" w:rsidRPr="00000000" w14:paraId="0000002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previously funded Big Idea we built a recommendation algorithm that suggests healthy alternative food items to consumers based on the KNPM.  The recommended items were evaluated using the KNPM, which sets below thresholds per 100g of food at: </w:t>
      </w:r>
      <w:r w:rsidDel="00000000" w:rsidR="00000000" w:rsidRPr="00000000">
        <w:rPr>
          <w:rFonts w:ascii="Calibri" w:cs="Calibri" w:eastAsia="Calibri" w:hAnsi="Calibri"/>
          <w:sz w:val="24"/>
          <w:szCs w:val="24"/>
          <w:rtl w:val="0"/>
        </w:rPr>
        <w:t xml:space="preserve">&lt;7.76g total fat, &lt;6.33g saturated fat, &lt;4.7g total sugar, and &lt;0.26g sodium</w:t>
      </w:r>
      <w:r w:rsidDel="00000000" w:rsidR="00000000" w:rsidRPr="00000000">
        <w:rPr>
          <w:rFonts w:ascii="Calibri" w:cs="Calibri" w:eastAsia="Calibri" w:hAnsi="Calibri"/>
          <w:sz w:val="24"/>
          <w:szCs w:val="24"/>
          <w:rtl w:val="0"/>
        </w:rPr>
        <w:t xml:space="preserve">. Based on this model, </w:t>
      </w:r>
      <w:r w:rsidDel="00000000" w:rsidR="00000000" w:rsidRPr="00000000">
        <w:rPr>
          <w:rFonts w:ascii="Calibri" w:cs="Calibri" w:eastAsia="Calibri" w:hAnsi="Calibri"/>
          <w:sz w:val="24"/>
          <w:szCs w:val="24"/>
          <w:rtl w:val="0"/>
        </w:rPr>
        <w:t xml:space="preserve">93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of the recommended items were </w:t>
      </w:r>
      <w:r w:rsidDel="00000000" w:rsidR="00000000" w:rsidRPr="00000000">
        <w:rPr>
          <w:rFonts w:ascii="Calibri" w:cs="Calibri" w:eastAsia="Calibri" w:hAnsi="Calibri"/>
          <w:sz w:val="24"/>
          <w:szCs w:val="24"/>
          <w:rtl w:val="0"/>
        </w:rPr>
        <w:t xml:space="preserve">found to be below the threshold value</w:t>
      </w:r>
      <w:r w:rsidDel="00000000" w:rsidR="00000000" w:rsidRPr="00000000">
        <w:rPr>
          <w:rFonts w:ascii="Calibri" w:cs="Calibri" w:eastAsia="Calibri" w:hAnsi="Calibri"/>
          <w:sz w:val="24"/>
          <w:szCs w:val="24"/>
          <w:rtl w:val="0"/>
        </w:rPr>
        <w:t xml:space="preserve">s.</w:t>
      </w:r>
      <w:r w:rsidDel="00000000" w:rsidR="00000000" w:rsidRPr="00000000">
        <w:rPr>
          <w:rFonts w:ascii="Calibri" w:cs="Calibri" w:eastAsia="Calibri" w:hAnsi="Calibri"/>
          <w:sz w:val="24"/>
          <w:szCs w:val="24"/>
          <w:rtl w:val="0"/>
        </w:rPr>
        <w:t xml:space="preserve"> The algorithm achieved a diversity score of 45.35% and a novelty score of 52.85%. These results were influenced by the limited variety of healthy foods in the dataset, which affected both the diversity and novelty of the recommendations. Overall, the algorithm proved to be effective in recommending healthier food options that can help improve the food choices of the Kenyan population. A user survey indicated that the next version of the application should enhance personalization. Notably, 77% of respondents expressed willingness to continue using the app for their grocery shopping, indicating a positive perception of both the algorithm’s performance and the overall application.</w:t>
      </w:r>
    </w:p>
    <w:p w:rsidR="00000000" w:rsidDel="00000000" w:rsidP="00000000" w:rsidRDefault="00000000" w:rsidRPr="00000000" w14:paraId="0000003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previous study helped by providing a solid foundation to build an FOPL tool that provides alternative suggestions to</w:t>
      </w:r>
      <w:r w:rsidDel="00000000" w:rsidR="00000000" w:rsidRPr="00000000">
        <w:rPr>
          <w:rFonts w:ascii="Calibri" w:cs="Calibri" w:eastAsia="Calibri" w:hAnsi="Calibri"/>
          <w:sz w:val="24"/>
          <w:szCs w:val="24"/>
          <w:rtl w:val="0"/>
        </w:rPr>
        <w:t xml:space="preserve"> consumers during shopping as an optimal solution to the general public to make informed decisions during shopping. </w:t>
      </w:r>
      <w:r w:rsidDel="00000000" w:rsidR="00000000" w:rsidRPr="00000000">
        <w:rPr>
          <w:rtl w:val="0"/>
        </w:rPr>
      </w:r>
    </w:p>
    <w:p w:rsidR="00000000" w:rsidDel="00000000" w:rsidP="00000000" w:rsidRDefault="00000000" w:rsidRPr="00000000" w14:paraId="0000003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numPr>
          <w:ilvl w:val="1"/>
          <w:numId w:val="5"/>
        </w:numPr>
        <w:ind w:left="72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Expected Outcomes</w:t>
      </w:r>
    </w:p>
    <w:p w:rsidR="00000000" w:rsidDel="00000000" w:rsidP="00000000" w:rsidRDefault="00000000" w:rsidRPr="00000000" w14:paraId="0000003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Object detection and ingredient extraction platform</w:t>
      </w:r>
    </w:p>
    <w:p w:rsidR="00000000" w:rsidDel="00000000" w:rsidP="00000000" w:rsidRDefault="00000000" w:rsidRPr="00000000" w14:paraId="00000037">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front of pack labelling platform  for labelling all food items scanned during shopping </w:t>
      </w:r>
    </w:p>
    <w:p w:rsidR="00000000" w:rsidDel="00000000" w:rsidP="00000000" w:rsidRDefault="00000000" w:rsidRPr="00000000" w14:paraId="00000038">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recommendation tool that </w:t>
      </w:r>
      <w:r w:rsidDel="00000000" w:rsidR="00000000" w:rsidRPr="00000000">
        <w:rPr>
          <w:rFonts w:ascii="Calibri" w:cs="Calibri" w:eastAsia="Calibri" w:hAnsi="Calibri"/>
          <w:sz w:val="24"/>
          <w:szCs w:val="24"/>
          <w:rtl w:val="0"/>
        </w:rPr>
        <w:t xml:space="preserve">suggests</w:t>
      </w:r>
      <w:r w:rsidDel="00000000" w:rsidR="00000000" w:rsidRPr="00000000">
        <w:rPr>
          <w:rFonts w:ascii="Calibri" w:cs="Calibri" w:eastAsia="Calibri" w:hAnsi="Calibri"/>
          <w:sz w:val="24"/>
          <w:szCs w:val="24"/>
          <w:rtl w:val="0"/>
        </w:rPr>
        <w:t xml:space="preserve"> alternatives food items with nutrients of concern below the KNPM thresholds and a Gen-AI RAG module to provide explanations for the suggested food items</w:t>
      </w:r>
    </w:p>
    <w:p w:rsidR="00000000" w:rsidDel="00000000" w:rsidP="00000000" w:rsidRDefault="00000000" w:rsidRPr="00000000" w14:paraId="00000039">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Publications</w:t>
      </w:r>
    </w:p>
    <w:p w:rsidR="00000000" w:rsidDel="00000000" w:rsidP="00000000" w:rsidRDefault="00000000" w:rsidRPr="00000000" w14:paraId="0000003A">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mobile application</w:t>
      </w:r>
    </w:p>
    <w:p w:rsidR="00000000" w:rsidDel="00000000" w:rsidP="00000000" w:rsidRDefault="00000000" w:rsidRPr="00000000" w14:paraId="0000003B">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Manual and Reports</w:t>
      </w:r>
      <w:r w:rsidDel="00000000" w:rsidR="00000000" w:rsidRPr="00000000">
        <w:rPr>
          <w:rtl w:val="0"/>
        </w:rPr>
      </w:r>
    </w:p>
    <w:p w:rsidR="00000000" w:rsidDel="00000000" w:rsidP="00000000" w:rsidRDefault="00000000" w:rsidRPr="00000000" w14:paraId="0000003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numPr>
          <w:ilvl w:val="1"/>
          <w:numId w:val="5"/>
        </w:numPr>
        <w:ind w:left="72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Approach</w:t>
      </w:r>
    </w:p>
    <w:p w:rsidR="00000000" w:rsidDel="00000000" w:rsidP="00000000" w:rsidRDefault="00000000" w:rsidRPr="00000000" w14:paraId="0000003E">
      <w:pPr>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Food Label Image Processing, Ingredient Extraction and Validation</w:t>
      </w:r>
    </w:p>
    <w:p w:rsidR="00000000" w:rsidDel="00000000" w:rsidP="00000000" w:rsidRDefault="00000000" w:rsidRPr="00000000" w14:paraId="0000003F">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build the Food Label Image Processing and Ingredient Extraction algorithm, the process starts by capturing a high quality image of a food product’s label using a smartphone. This image typically contains key information such as the ingredients list, nutrition facts table, and manufacturer details. The next step involves applying Optical Character Recognition (OCR) tools such as Tesseract to extract text from the image. OCR converts the image into machine-readable text, which is often noisy and unstructured due to variations in font, layout, and lighting. This raw text is then processed and segmented to isolate relevant sections, particularly the ingredients and nutrition facts.</w:t>
      </w:r>
    </w:p>
    <w:p w:rsidR="00000000" w:rsidDel="00000000" w:rsidP="00000000" w:rsidRDefault="00000000" w:rsidRPr="00000000" w14:paraId="00000040">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Next, the Open Food Facts pre-trained models on Hugging Face are employed. The </w:t>
      </w:r>
      <w:r w:rsidDel="00000000" w:rsidR="00000000" w:rsidRPr="00000000">
        <w:rPr>
          <w:rFonts w:ascii="Calibri" w:cs="Calibri" w:eastAsia="Calibri" w:hAnsi="Calibri"/>
          <w:b w:val="1"/>
          <w:bCs w:val="1"/>
          <w:sz w:val="24"/>
          <w:szCs w:val="24"/>
          <w:rtl w:val="0"/>
        </w:rPr>
        <w:t xml:space="preserve">ingredient-detection</w:t>
      </w:r>
      <w:r w:rsidDel="00000000" w:rsidR="00000000" w:rsidRPr="00000000">
        <w:rPr>
          <w:rFonts w:ascii="Calibri" w:cs="Calibri" w:eastAsia="Calibri" w:hAnsi="Calibri"/>
          <w:sz w:val="24"/>
          <w:szCs w:val="24"/>
          <w:rtl w:val="0"/>
        </w:rPr>
        <w:t xml:space="preserve"> model uses token classification to accurately identify individual ingredients from the extracted text, even when they are embedded in complex or multilingual lists. Simultaneously, the </w:t>
      </w:r>
      <w:r w:rsidDel="00000000" w:rsidR="00000000" w:rsidRPr="00000000">
        <w:rPr>
          <w:rFonts w:ascii="Calibri" w:cs="Calibri" w:eastAsia="Calibri" w:hAnsi="Calibri"/>
          <w:b w:val="1"/>
          <w:bCs w:val="1"/>
          <w:sz w:val="24"/>
          <w:szCs w:val="24"/>
          <w:rtl w:val="0"/>
        </w:rPr>
        <w:t xml:space="preserve">nutrition-extractor</w:t>
      </w:r>
      <w:r w:rsidDel="00000000" w:rsidR="00000000" w:rsidRPr="00000000">
        <w:rPr>
          <w:rFonts w:ascii="Calibri" w:cs="Calibri" w:eastAsia="Calibri" w:hAnsi="Calibri"/>
          <w:sz w:val="24"/>
          <w:szCs w:val="24"/>
          <w:rtl w:val="0"/>
        </w:rPr>
        <w:t xml:space="preserve"> model extracts quantitative nutritional values (e.g., grams of sugar, saturated fat, sodium) from the nutrition table section. These models are trained on global food label datasets and offer high precision in recognizing food-related terms and numbers.</w:t>
      </w:r>
    </w:p>
    <w:p w:rsidR="00000000" w:rsidDel="00000000" w:rsidP="00000000" w:rsidRDefault="00000000" w:rsidRPr="00000000" w14:paraId="00000041">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Once the key data is extracted, it is structured into a clean format (e.g., JSON) that maps each nutrient to its value per 100g or 100ml, in alignment with standardized food scoring systems. This structured output is then passed to the Open Food Facts Database and the Kenya Foods Table to validate the nutritional composition of the food item. Once that is done the data is passed downstream to the labelling  algorithm. </w:t>
      </w:r>
      <w:r w:rsidDel="00000000" w:rsidR="00000000" w:rsidRPr="00000000">
        <w:rPr>
          <w:rtl w:val="0"/>
        </w:rPr>
      </w:r>
    </w:p>
    <w:p w:rsidR="00000000" w:rsidDel="00000000" w:rsidP="00000000" w:rsidRDefault="00000000" w:rsidRPr="00000000" w14:paraId="00000042">
      <w:pPr>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Nutrient Profiling and Labelling Algorithm</w:t>
      </w:r>
    </w:p>
    <w:p w:rsidR="00000000" w:rsidDel="00000000" w:rsidP="00000000" w:rsidRDefault="00000000" w:rsidRPr="00000000" w14:paraId="00000043">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build the labelling</w:t>
      </w:r>
      <w:r w:rsidDel="00000000" w:rsidR="00000000" w:rsidRPr="00000000">
        <w:rPr>
          <w:rFonts w:ascii="Calibri" w:cs="Calibri" w:eastAsia="Calibri" w:hAnsi="Calibri"/>
          <w:sz w:val="24"/>
          <w:szCs w:val="24"/>
          <w:rtl w:val="0"/>
        </w:rPr>
        <w:t xml:space="preserve"> algorithm</w:t>
      </w:r>
      <w:r w:rsidDel="00000000" w:rsidR="00000000" w:rsidRPr="00000000">
        <w:rPr>
          <w:rFonts w:ascii="Calibri" w:cs="Calibri" w:eastAsia="Calibri" w:hAnsi="Calibri"/>
          <w:sz w:val="24"/>
          <w:szCs w:val="24"/>
          <w:rtl w:val="0"/>
        </w:rPr>
        <w:t xml:space="preserve"> for food classification based on the </w:t>
      </w:r>
      <w:r w:rsidDel="00000000" w:rsidR="00000000" w:rsidRPr="00000000">
        <w:rPr>
          <w:rFonts w:ascii="Calibri" w:cs="Calibri" w:eastAsia="Calibri" w:hAnsi="Calibri"/>
          <w:sz w:val="24"/>
          <w:szCs w:val="24"/>
          <w:rtl w:val="0"/>
        </w:rPr>
        <w:t xml:space="preserve">Kenya Nutrient Profile Model (KNPM)</w:t>
      </w:r>
      <w:r w:rsidDel="00000000" w:rsidR="00000000" w:rsidRPr="00000000">
        <w:rPr>
          <w:rFonts w:ascii="Calibri" w:cs="Calibri" w:eastAsia="Calibri" w:hAnsi="Calibri"/>
          <w:sz w:val="24"/>
          <w:szCs w:val="24"/>
          <w:rtl w:val="0"/>
        </w:rPr>
        <w:t xml:space="preserve">, the approach involves translating the model’s nutrient thresholds into programmable logic that assigns a healthiness </w:t>
      </w:r>
      <w:r w:rsidDel="00000000" w:rsidR="00000000" w:rsidRPr="00000000">
        <w:rPr>
          <w:rFonts w:ascii="Calibri" w:cs="Calibri" w:eastAsia="Calibri" w:hAnsi="Calibri"/>
          <w:sz w:val="24"/>
          <w:szCs w:val="24"/>
          <w:rtl w:val="0"/>
        </w:rPr>
        <w:t xml:space="preserve">category </w:t>
      </w:r>
      <w:r w:rsidDel="00000000" w:rsidR="00000000" w:rsidRPr="00000000">
        <w:rPr>
          <w:rFonts w:ascii="Calibri" w:cs="Calibri" w:eastAsia="Calibri" w:hAnsi="Calibri"/>
          <w:sz w:val="24"/>
          <w:szCs w:val="24"/>
          <w:rtl w:val="0"/>
        </w:rPr>
        <w:t xml:space="preserve">(Fit for consumption)</w:t>
      </w:r>
      <w:r w:rsidDel="00000000" w:rsidR="00000000" w:rsidRPr="00000000">
        <w:rPr>
          <w:rFonts w:ascii="Calibri" w:cs="Calibri" w:eastAsia="Calibri" w:hAnsi="Calibri"/>
          <w:sz w:val="24"/>
          <w:szCs w:val="24"/>
          <w:rtl w:val="0"/>
        </w:rPr>
        <w:t xml:space="preserve">, or (less healthy) </w:t>
      </w:r>
      <w:r w:rsidDel="00000000" w:rsidR="00000000" w:rsidRPr="00000000">
        <w:rPr>
          <w:rFonts w:ascii="Calibri" w:cs="Calibri" w:eastAsia="Calibri" w:hAnsi="Calibri"/>
          <w:sz w:val="24"/>
          <w:szCs w:val="24"/>
          <w:rtl w:val="0"/>
        </w:rPr>
        <w:t xml:space="preserve">to pre-packaged food items. This algorithm is grounded in KNPM’s core objective: to reduce diet-related non-communicable diseases (NCDs) in Kenya by restricting the </w:t>
      </w:r>
      <w:r w:rsidDel="00000000" w:rsidR="00000000" w:rsidRPr="00000000">
        <w:rPr>
          <w:rFonts w:ascii="Calibri" w:cs="Calibri" w:eastAsia="Calibri" w:hAnsi="Calibri"/>
          <w:sz w:val="24"/>
          <w:szCs w:val="24"/>
          <w:rtl w:val="0"/>
        </w:rPr>
        <w:t xml:space="preserve">marketing</w:t>
      </w:r>
      <w:r w:rsidDel="00000000" w:rsidR="00000000" w:rsidRPr="00000000">
        <w:rPr>
          <w:rFonts w:ascii="Calibri" w:cs="Calibri" w:eastAsia="Calibri" w:hAnsi="Calibri"/>
          <w:sz w:val="24"/>
          <w:szCs w:val="24"/>
          <w:rtl w:val="0"/>
        </w:rPr>
        <w:t xml:space="preserve"> of non-nutritive sweeteners(NNS) and consumption of foods high in </w:t>
      </w:r>
      <w:r w:rsidDel="00000000" w:rsidR="00000000" w:rsidRPr="00000000">
        <w:rPr>
          <w:rFonts w:ascii="Calibri" w:cs="Calibri" w:eastAsia="Calibri" w:hAnsi="Calibri"/>
          <w:sz w:val="24"/>
          <w:szCs w:val="24"/>
          <w:rtl w:val="0"/>
        </w:rPr>
        <w:t xml:space="preserve">sugar, saturated fat, total fat, trans fat and sodium</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4">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nutritional profile which has been extracted in the process of i</w:t>
      </w:r>
      <w:r w:rsidDel="00000000" w:rsidR="00000000" w:rsidRPr="00000000">
        <w:rPr>
          <w:rFonts w:ascii="Calibri" w:cs="Calibri" w:eastAsia="Calibri" w:hAnsi="Calibri"/>
          <w:sz w:val="24"/>
          <w:szCs w:val="24"/>
          <w:rtl w:val="0"/>
        </w:rPr>
        <w:t xml:space="preserve">ngredient extraction will be passed to this algorithm. </w:t>
      </w:r>
      <w:r w:rsidDel="00000000" w:rsidR="00000000" w:rsidRPr="00000000">
        <w:rPr>
          <w:rFonts w:ascii="Calibri" w:cs="Calibri" w:eastAsia="Calibri" w:hAnsi="Calibri"/>
          <w:sz w:val="24"/>
          <w:szCs w:val="24"/>
          <w:rtl w:val="0"/>
        </w:rPr>
        <w:t xml:space="preserve">These nutritional values are then evaluated against the </w:t>
      </w:r>
      <w:r w:rsidDel="00000000" w:rsidR="00000000" w:rsidRPr="00000000">
        <w:rPr>
          <w:rFonts w:ascii="Calibri" w:cs="Calibri" w:eastAsia="Calibri" w:hAnsi="Calibri"/>
          <w:sz w:val="24"/>
          <w:szCs w:val="24"/>
          <w:rtl w:val="0"/>
        </w:rPr>
        <w:t xml:space="preserve">KNPM nutrient thresholds</w:t>
      </w:r>
      <w:r w:rsidDel="00000000" w:rsidR="00000000" w:rsidRPr="00000000">
        <w:rPr>
          <w:rFonts w:ascii="Calibri" w:cs="Calibri" w:eastAsia="Calibri" w:hAnsi="Calibri"/>
          <w:sz w:val="24"/>
          <w:szCs w:val="24"/>
          <w:rtl w:val="0"/>
        </w:rPr>
        <w:t xml:space="preserve">, which vary depending on the product category (e.g., beverages, snacks, dairy). Each product is assessed first by the presence of </w:t>
      </w:r>
      <w:r w:rsidDel="00000000" w:rsidR="00000000" w:rsidRPr="00000000">
        <w:rPr>
          <w:rFonts w:ascii="Calibri" w:cs="Calibri" w:eastAsia="Calibri" w:hAnsi="Calibri"/>
          <w:sz w:val="24"/>
          <w:szCs w:val="24"/>
          <w:rtl w:val="0"/>
        </w:rPr>
        <w:t xml:space="preserve">artificial sweeteners or trans fats</w:t>
      </w:r>
      <w:r w:rsidDel="00000000" w:rsidR="00000000" w:rsidRPr="00000000">
        <w:rPr>
          <w:rFonts w:ascii="Calibri" w:cs="Calibri" w:eastAsia="Calibri" w:hAnsi="Calibri"/>
          <w:sz w:val="24"/>
          <w:szCs w:val="24"/>
          <w:rtl w:val="0"/>
        </w:rPr>
        <w:t xml:space="preserve"> then next on four key nutrients of concern: </w:t>
      </w:r>
      <w:r w:rsidDel="00000000" w:rsidR="00000000" w:rsidRPr="00000000">
        <w:rPr>
          <w:rFonts w:ascii="Calibri" w:cs="Calibri" w:eastAsia="Calibri" w:hAnsi="Calibri"/>
          <w:sz w:val="24"/>
          <w:szCs w:val="24"/>
          <w:rtl w:val="0"/>
        </w:rPr>
        <w:t xml:space="preserve">total sugar, total fat, saturated fat, and sodium</w:t>
      </w:r>
      <w:r w:rsidDel="00000000" w:rsidR="00000000" w:rsidRPr="00000000">
        <w:rPr>
          <w:rFonts w:ascii="Calibri" w:cs="Calibri" w:eastAsia="Calibri" w:hAnsi="Calibri"/>
          <w:sz w:val="24"/>
          <w:szCs w:val="24"/>
          <w:rtl w:val="0"/>
        </w:rPr>
        <w:t xml:space="preserve">. If a product has either </w:t>
      </w:r>
      <w:r w:rsidDel="00000000" w:rsidR="00000000" w:rsidRPr="00000000">
        <w:rPr>
          <w:rFonts w:ascii="Calibri" w:cs="Calibri" w:eastAsia="Calibri" w:hAnsi="Calibri"/>
          <w:sz w:val="24"/>
          <w:szCs w:val="24"/>
          <w:rtl w:val="0"/>
        </w:rPr>
        <w:t xml:space="preserve">sweeteners or trans fats</w:t>
      </w:r>
      <w:r w:rsidDel="00000000" w:rsidR="00000000" w:rsidRPr="00000000">
        <w:rPr>
          <w:rFonts w:ascii="Calibri" w:cs="Calibri" w:eastAsia="Calibri" w:hAnsi="Calibri"/>
          <w:sz w:val="24"/>
          <w:szCs w:val="24"/>
          <w:rtl w:val="0"/>
        </w:rPr>
        <w:t xml:space="preserve"> and then exceeds the defined threshold for any of the four nutrients, it is flagged as “less healthy.”</w:t>
      </w:r>
    </w:p>
    <w:p w:rsidR="00000000" w:rsidDel="00000000" w:rsidP="00000000" w:rsidRDefault="00000000" w:rsidRPr="00000000" w14:paraId="00000045">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Labelling logic is imp</w:t>
      </w:r>
      <w:r w:rsidDel="00000000" w:rsidR="00000000" w:rsidRPr="00000000">
        <w:rPr>
          <w:rFonts w:ascii="Calibri" w:cs="Calibri" w:eastAsia="Calibri" w:hAnsi="Calibri"/>
          <w:sz w:val="24"/>
          <w:szCs w:val="24"/>
          <w:rtl w:val="0"/>
        </w:rPr>
        <w:t xml:space="preserve">lemented as follow</w:t>
      </w:r>
      <w:r w:rsidDel="00000000" w:rsidR="00000000" w:rsidRPr="00000000">
        <w:rPr>
          <w:rFonts w:ascii="Calibri" w:cs="Calibri" w:eastAsia="Calibri" w:hAnsi="Calibri"/>
          <w:sz w:val="24"/>
          <w:szCs w:val="24"/>
          <w:rtl w:val="0"/>
        </w:rPr>
        <w:t xml:space="preserve">s:</w:t>
      </w:r>
    </w:p>
    <w:p w:rsidR="00000000" w:rsidDel="00000000" w:rsidP="00000000" w:rsidRDefault="00000000" w:rsidRPr="00000000" w14:paraId="00000046">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Fit for Consumption</w:t>
      </w:r>
      <w:r w:rsidDel="00000000" w:rsidR="00000000" w:rsidRPr="00000000">
        <w:rPr>
          <w:rFonts w:ascii="Calibri" w:cs="Calibri" w:eastAsia="Calibri" w:hAnsi="Calibri"/>
          <w:sz w:val="24"/>
          <w:szCs w:val="24"/>
          <w:rtl w:val="0"/>
        </w:rPr>
        <w:t xml:space="preserve">: The product meets all KNPM thresholds and contains no excessive amounts of sugar, saturated fat, total fat, or sodium, and has neither trans fats nor artificial sweeteners. It is deemed “</w:t>
      </w:r>
      <w:r w:rsidDel="00000000" w:rsidR="00000000" w:rsidRPr="00000000">
        <w:rPr>
          <w:rFonts w:ascii="Calibri" w:cs="Calibri" w:eastAsia="Calibri" w:hAnsi="Calibri"/>
          <w:sz w:val="24"/>
          <w:szCs w:val="24"/>
          <w:rtl w:val="0"/>
        </w:rPr>
        <w:t xml:space="preserve">Fit for consumption</w:t>
      </w:r>
      <w:r w:rsidDel="00000000" w:rsidR="00000000" w:rsidRPr="00000000">
        <w:rPr>
          <w:rFonts w:ascii="Calibri" w:cs="Calibri" w:eastAsia="Calibri" w:hAnsi="Calibri"/>
          <w:sz w:val="24"/>
          <w:szCs w:val="24"/>
          <w:rtl w:val="0"/>
        </w:rPr>
        <w:t xml:space="preserve">” and suitable for promotion or unrestricted marketing.</w:t>
      </w:r>
      <w:r w:rsidDel="00000000" w:rsidR="00000000" w:rsidRPr="00000000">
        <w:rPr>
          <w:rFonts w:ascii="Calibri" w:cs="Calibri" w:eastAsia="Calibri" w:hAnsi="Calibri"/>
          <w:sz w:val="24"/>
          <w:szCs w:val="24"/>
          <w:rtl w:val="0"/>
        </w:rPr>
        <w:br w:type="textWrapping"/>
      </w:r>
    </w:p>
    <w:p w:rsidR="00000000" w:rsidDel="00000000" w:rsidP="00000000" w:rsidRDefault="00000000" w:rsidRPr="00000000" w14:paraId="00000047">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Black Octagon </w:t>
      </w:r>
      <w:r w:rsidDel="00000000" w:rsidR="00000000" w:rsidRPr="00000000">
        <w:rPr>
          <w:rFonts w:ascii="Calibri" w:cs="Calibri" w:eastAsia="Calibri" w:hAnsi="Calibri"/>
          <w:b w:val="1"/>
          <w:bCs w:val="1"/>
          <w:sz w:val="24"/>
          <w:szCs w:val="24"/>
          <w:rtl w:val="0"/>
        </w:rPr>
        <w:t xml:space="preserve">with white text and pictorial cues</w:t>
      </w:r>
      <w:r w:rsidDel="00000000" w:rsidR="00000000" w:rsidRPr="00000000">
        <w:rPr>
          <w:rFonts w:ascii="Calibri" w:cs="Calibri" w:eastAsia="Calibri" w:hAnsi="Calibri"/>
          <w:sz w:val="24"/>
          <w:szCs w:val="24"/>
          <w:rtl w:val="0"/>
        </w:rPr>
        <w:t xml:space="preserve">: The product exceeds any of the four nutrients of concern thresholds, or contains additives or non-recommended ingredients (e.g., artificial sweeteners and trans fats). It is classified as less healthy and should be restricted, e</w:t>
      </w:r>
      <w:r w:rsidDel="00000000" w:rsidR="00000000" w:rsidRPr="00000000">
        <w:rPr>
          <w:rFonts w:ascii="Calibri" w:cs="Calibri" w:eastAsia="Calibri" w:hAnsi="Calibri"/>
          <w:sz w:val="24"/>
          <w:szCs w:val="24"/>
          <w:rtl w:val="0"/>
        </w:rPr>
        <w:t xml:space="preserve">specially from children’s exposure.</w:t>
      </w:r>
    </w:p>
    <w:p w:rsidR="00000000" w:rsidDel="00000000" w:rsidP="00000000" w:rsidRDefault="00000000" w:rsidRPr="00000000" w14:paraId="00000048">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operationalize this, the algorithm is built as a rule-based scoring engine. Each food item receives a binary score (0 or 1) for each nutrie</w:t>
      </w:r>
      <w:r w:rsidDel="00000000" w:rsidR="00000000" w:rsidRPr="00000000">
        <w:rPr>
          <w:rFonts w:ascii="Calibri" w:cs="Calibri" w:eastAsia="Calibri" w:hAnsi="Calibri"/>
          <w:sz w:val="24"/>
          <w:szCs w:val="24"/>
          <w:rtl w:val="0"/>
        </w:rPr>
        <w:t xml:space="preserve">nt: 1 if it exceeds the threshold, 0 if it does not. These scores are then summed to determine the severity level. </w:t>
      </w:r>
      <w:r w:rsidDel="00000000" w:rsidR="00000000" w:rsidRPr="00000000">
        <w:rPr>
          <w:rFonts w:ascii="Calibri" w:cs="Calibri" w:eastAsia="Calibri" w:hAnsi="Calibri"/>
          <w:sz w:val="24"/>
          <w:szCs w:val="24"/>
          <w:rtl w:val="0"/>
        </w:rPr>
        <w:t xml:space="preserve">Threshold values are pulled directly from the KNPM tables e.g., beverages must have less than 4.5g sugar per 100ml and less than 1g fat to avoid a black octagon label.</w:t>
      </w:r>
    </w:p>
    <w:p w:rsidR="00000000" w:rsidDel="00000000" w:rsidP="00000000" w:rsidRDefault="00000000" w:rsidRPr="00000000" w14:paraId="00000049">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labelling mechanism enables </w:t>
      </w:r>
      <w:r w:rsidDel="00000000" w:rsidR="00000000" w:rsidRPr="00000000">
        <w:rPr>
          <w:rFonts w:ascii="Calibri" w:cs="Calibri" w:eastAsia="Calibri" w:hAnsi="Calibri"/>
          <w:sz w:val="24"/>
          <w:szCs w:val="24"/>
          <w:rtl w:val="0"/>
        </w:rPr>
        <w:t xml:space="preserve">simple, visual communication of healthiness to consumers</w:t>
      </w:r>
      <w:r w:rsidDel="00000000" w:rsidR="00000000" w:rsidRPr="00000000">
        <w:rPr>
          <w:rFonts w:ascii="Calibri" w:cs="Calibri" w:eastAsia="Calibri" w:hAnsi="Calibri"/>
          <w:sz w:val="24"/>
          <w:szCs w:val="24"/>
          <w:rtl w:val="0"/>
        </w:rPr>
        <w:t xml:space="preserve">. By embedding this algorithm into a mobile app, shoppers can scan any food item and immediately see whether it falls within “fit for consumption” or “less healthy” zones empowering informed and healthier food choices.</w:t>
      </w:r>
    </w:p>
    <w:p w:rsidR="00000000" w:rsidDel="00000000" w:rsidP="00000000" w:rsidRDefault="00000000" w:rsidRPr="00000000" w14:paraId="0000004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B">
      <w:pPr>
        <w:numPr>
          <w:ilvl w:val="1"/>
          <w:numId w:val="5"/>
        </w:numPr>
        <w:ind w:left="72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Anticipated Challenges and Mitigation Strategies</w:t>
      </w:r>
      <w:r w:rsidDel="00000000" w:rsidR="00000000" w:rsidRPr="00000000">
        <w:rPr>
          <w:rtl w:val="0"/>
        </w:rPr>
      </w:r>
    </w:p>
    <w:p w:rsidR="00000000" w:rsidDel="00000000" w:rsidP="00000000" w:rsidRDefault="00000000" w:rsidRPr="00000000" w14:paraId="0000004C">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One major anticipated challenge is the variability in the quality and structure of food labels, which can undermine the performance of OCR (Optical Character Recognition) and AI-based ingredient extraction tools. Issues such as poor lighting, inconsistent packaging formats, or multilingual content can result in low-accuracy extractions. To mitigate this, the strategy involves leveraging pre-trained deep learning models like those from Open Food Facts for robust ingredient and nutrient extraction, complemented by rule-based post-processing and validation against both the Kenya Food Composition Tables and the Open Food Facts database.</w:t>
      </w:r>
    </w:p>
    <w:p w:rsidR="00000000" w:rsidDel="00000000" w:rsidP="00000000" w:rsidRDefault="00000000" w:rsidRPr="00000000" w14:paraId="0000004D">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limited diversity of healthy food options in the Kenyan market may constrain recommendation effectiveness. However, if the algorithm that suggests alternative food items does not find healthy alternatives in the same category, it will suggest other healthy products in other categories that align with the user’s tastes. We believe this feature might encourage manufacturers to produce alternative food products which are below the KNPM thresholds. </w:t>
      </w:r>
    </w:p>
    <w:p w:rsidR="00000000" w:rsidDel="00000000" w:rsidP="00000000" w:rsidRDefault="00000000" w:rsidRPr="00000000" w14:paraId="0000004E">
      <w:pPr>
        <w:numPr>
          <w:ilvl w:val="1"/>
          <w:numId w:val="5"/>
        </w:numPr>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 Plan</w:t>
      </w:r>
    </w:p>
    <w:p w:rsidR="00000000" w:rsidDel="00000000" w:rsidP="00000000" w:rsidRDefault="00000000" w:rsidRPr="00000000" w14:paraId="0000004F">
      <w:pPr>
        <w:ind w:left="0" w:firstLine="0"/>
        <w:rPr>
          <w:rFonts w:ascii="Times New Roman" w:cs="Times New Roman" w:eastAsia="Times New Roman" w:hAnsi="Times New Roman"/>
          <w:sz w:val="24"/>
          <w:szCs w:val="24"/>
        </w:rPr>
      </w:pPr>
      <w:r w:rsidDel="00000000" w:rsidR="00000000" w:rsidRPr="00000000">
        <w:rPr>
          <w:rtl w:val="0"/>
        </w:rPr>
      </w:r>
    </w:p>
    <w:tbl>
      <w:tblPr>
        <w:tblStyle w:val="Table1"/>
        <w:tblW w:w="1026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845"/>
        <w:gridCol w:w="1830"/>
        <w:gridCol w:w="1155"/>
        <w:gridCol w:w="2910"/>
        <w:tblGridChange w:id="0">
          <w:tblGrid>
            <w:gridCol w:w="2520"/>
            <w:gridCol w:w="1845"/>
            <w:gridCol w:w="1830"/>
            <w:gridCol w:w="1155"/>
            <w:gridCol w:w="2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Duration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Planning &amp; Stakeholder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January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January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charter, stakeholder map, and work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Collection &amp; Label Imaging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February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April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Labeled image dataset and metadata documentation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OCR &amp; Ingredient Extraction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May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July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OCR pipeline and ingredient extraction module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Nutrition Validation &amp; Database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August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September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Validated nutritional data and integrated databases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Color-Coding Algorithm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September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November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Color-coding algorithm aligned with KNPM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&amp; Explanation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November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January 2027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engine and explanation templates</w:t>
            </w:r>
          </w:p>
        </w:tc>
      </w:tr>
    </w:tbl>
    <w:p w:rsidR="00000000" w:rsidDel="00000000" w:rsidP="00000000" w:rsidRDefault="00000000" w:rsidRPr="00000000" w14:paraId="0000007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numPr>
          <w:ilvl w:val="1"/>
          <w:numId w:val="5"/>
        </w:numPr>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Budget</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tbl>
      <w:tblPr>
        <w:tblStyle w:val="Table2"/>
        <w:tblW w:w="1041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65"/>
        <w:gridCol w:w="2445"/>
        <w:tblGridChange w:id="0">
          <w:tblGrid>
            <w:gridCol w:w="7965"/>
            <w:gridCol w:w="2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Budget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Estimated Cost(USD)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Engineer - Model Development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App Developer (Flutter)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Officers / Crowdtest Support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Coordinator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Computing Credits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Smartphones for Testing (4 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 Incentives for Crowdtesting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Workshops &amp; Stakeholder Engagement Forums (3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Brief Design &amp; Dissemination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&amp; Field Visits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publication in open source journals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at Conferences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49,800</w:t>
            </w:r>
          </w:p>
        </w:tc>
      </w:tr>
    </w:tbl>
    <w:p w:rsidR="00000000" w:rsidDel="00000000" w:rsidP="00000000" w:rsidRDefault="00000000" w:rsidRPr="00000000" w14:paraId="0000009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numPr>
          <w:ilvl w:val="1"/>
          <w:numId w:val="5"/>
        </w:numPr>
        <w:spacing w:after="0" w:afterAutospacing="0"/>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96">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Ducrot, P., Julia, C., &amp; Serry, A.-J. (2022). Nutri‑Score: Awareness, perception and self‑reported impact on food choices among French adolescents. </w:t>
      </w:r>
      <w:r w:rsidDel="00000000" w:rsidR="00000000" w:rsidRPr="00000000">
        <w:rPr>
          <w:rFonts w:ascii="Times New Roman" w:cs="Times New Roman" w:eastAsia="Times New Roman" w:hAnsi="Times New Roman"/>
          <w:i w:val="1"/>
          <w:iCs w:val="1"/>
          <w:sz w:val="24"/>
          <w:szCs w:val="24"/>
          <w:rtl w:val="0"/>
        </w:rPr>
        <w:t xml:space="preserve">Nutrients, 14</w:t>
      </w:r>
      <w:r w:rsidDel="00000000" w:rsidR="00000000" w:rsidRPr="00000000">
        <w:rPr>
          <w:rFonts w:ascii="Times New Roman" w:cs="Times New Roman" w:eastAsia="Times New Roman" w:hAnsi="Times New Roman"/>
          <w:sz w:val="24"/>
          <w:szCs w:val="24"/>
          <w:rtl w:val="0"/>
        </w:rPr>
        <w:t xml:space="preserve">(15), 3119.</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1155cc"/>
            <w:sz w:val="24"/>
            <w:szCs w:val="24"/>
            <w:u w:val="single"/>
            <w:rtl w:val="0"/>
          </w:rPr>
          <w:t xml:space="preserve">https://doi.org/10.3390/nu14153119</w:t>
          <w:br w:type="textWrapping"/>
        </w:r>
      </w:hyperlink>
      <w:r w:rsidDel="00000000" w:rsidR="00000000" w:rsidRPr="00000000">
        <w:rPr>
          <w:rtl w:val="0"/>
        </w:rPr>
      </w:r>
    </w:p>
    <w:p w:rsidR="00000000" w:rsidDel="00000000" w:rsidP="00000000" w:rsidRDefault="00000000" w:rsidRPr="00000000" w14:paraId="00000097">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Standards Agency. (2013). Guide to creating a front of pack (FoP) nutrition label for pre‑packed products sold through retail outlets [PDF]. GOV.UK.</w:t>
        <w:br w:type="textWrapping"/>
      </w:r>
    </w:p>
    <w:p w:rsidR="00000000" w:rsidDel="00000000" w:rsidP="00000000" w:rsidRDefault="00000000" w:rsidRPr="00000000" w14:paraId="00000098">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Health Advocacy Incubator. (2024). Evidence Sheet: Front-of-Package Labeling.</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https://assets.advocacyincubator.org/uploads/GHAI-FOPL-Evidence-Sheet-2024-1.pdf</w:t>
          <w:br w:type="textWrapping"/>
        </w:r>
      </w:hyperlink>
      <w:r w:rsidDel="00000000" w:rsidR="00000000" w:rsidRPr="00000000">
        <w:rPr>
          <w:rtl w:val="0"/>
        </w:rPr>
      </w:r>
    </w:p>
    <w:p w:rsidR="00000000" w:rsidDel="00000000" w:rsidP="00000000" w:rsidRDefault="00000000" w:rsidRPr="00000000" w14:paraId="00000099">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Graham, D. J., Lucas‑Thompson, R. G., &amp; Slejko, G. (2023). The role of front‑of‑package nutrition labels with and without explanatory videos on parent and child food choices. </w:t>
      </w:r>
      <w:r w:rsidDel="00000000" w:rsidR="00000000" w:rsidRPr="00000000">
        <w:rPr>
          <w:rFonts w:ascii="Times New Roman" w:cs="Times New Roman" w:eastAsia="Times New Roman" w:hAnsi="Times New Roman"/>
          <w:i w:val="1"/>
          <w:iCs w:val="1"/>
          <w:sz w:val="24"/>
          <w:szCs w:val="24"/>
          <w:rtl w:val="0"/>
        </w:rPr>
        <w:t xml:space="preserve">Nutrients, 15</w:t>
      </w:r>
      <w:r w:rsidDel="00000000" w:rsidR="00000000" w:rsidRPr="00000000">
        <w:rPr>
          <w:rFonts w:ascii="Times New Roman" w:cs="Times New Roman" w:eastAsia="Times New Roman" w:hAnsi="Times New Roman"/>
          <w:sz w:val="24"/>
          <w:szCs w:val="24"/>
          <w:rtl w:val="0"/>
        </w:rPr>
        <w:t xml:space="preserve">(18), 4082.</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https://doi.org/10.3390/nu15184082</w:t>
          <w:br w:type="textWrapping"/>
        </w:r>
      </w:hyperlink>
      <w:r w:rsidDel="00000000" w:rsidR="00000000" w:rsidRPr="00000000">
        <w:rPr>
          <w:rtl w:val="0"/>
        </w:rPr>
      </w:r>
    </w:p>
    <w:p w:rsidR="00000000" w:rsidDel="00000000" w:rsidP="00000000" w:rsidRDefault="00000000" w:rsidRPr="00000000" w14:paraId="0000009A">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Grummon, A. H., et al. (2023). Effects of 4 Interpretive Front-of-Package Labeling Systems on Hypothetical Beverage and Snack Selections: A Randomized Clinical Trial. </w:t>
      </w:r>
      <w:r w:rsidDel="00000000" w:rsidR="00000000" w:rsidRPr="00000000">
        <w:rPr>
          <w:rFonts w:ascii="Times New Roman" w:cs="Times New Roman" w:eastAsia="Times New Roman" w:hAnsi="Times New Roman"/>
          <w:i w:val="1"/>
          <w:iCs w:val="1"/>
          <w:sz w:val="24"/>
          <w:szCs w:val="24"/>
          <w:rtl w:val="0"/>
        </w:rPr>
        <w:t xml:space="preserve">JAMA Network Open, 6</w:t>
      </w:r>
      <w:r w:rsidDel="00000000" w:rsidR="00000000" w:rsidRPr="00000000">
        <w:rPr>
          <w:rFonts w:ascii="Times New Roman" w:cs="Times New Roman" w:eastAsia="Times New Roman" w:hAnsi="Times New Roman"/>
          <w:sz w:val="24"/>
          <w:szCs w:val="24"/>
          <w:rtl w:val="0"/>
        </w:rPr>
        <w:t xml:space="preserve">(9), e2335506.</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https://pmc.ncbi.nlm.nih.gov/articles/PMC10500374/</w:t>
          <w:br w:type="textWrapping"/>
        </w:r>
      </w:hyperlink>
      <w:r w:rsidDel="00000000" w:rsidR="00000000" w:rsidRPr="00000000">
        <w:rPr>
          <w:rtl w:val="0"/>
        </w:rPr>
      </w:r>
    </w:p>
    <w:p w:rsidR="00000000" w:rsidDel="00000000" w:rsidP="00000000" w:rsidRDefault="00000000" w:rsidRPr="00000000" w14:paraId="0000009B">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and Social Care Department. (2013, June 19). Final design of consistent nutritional labelling system given green light [Press release]. </w:t>
      </w:r>
      <w:hyperlink r:id="rId15">
        <w:r w:rsidDel="00000000" w:rsidR="00000000" w:rsidRPr="00000000">
          <w:rPr>
            <w:rFonts w:ascii="Times New Roman" w:cs="Times New Roman" w:eastAsia="Times New Roman" w:hAnsi="Times New Roman"/>
            <w:color w:val="1155cc"/>
            <w:sz w:val="24"/>
            <w:szCs w:val="24"/>
            <w:u w:val="single"/>
            <w:rtl w:val="0"/>
          </w:rPr>
          <w:t xml:space="preserve">GOV.UK</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C">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Kenya National Bureau of Statistics &amp; Ministry of Health, Kenya. (2015). </w:t>
      </w:r>
      <w:r w:rsidDel="00000000" w:rsidR="00000000" w:rsidRPr="00000000">
        <w:rPr>
          <w:rFonts w:ascii="Times New Roman" w:cs="Times New Roman" w:eastAsia="Times New Roman" w:hAnsi="Times New Roman"/>
          <w:i w:val="1"/>
          <w:iCs w:val="1"/>
          <w:sz w:val="24"/>
          <w:szCs w:val="24"/>
          <w:rtl w:val="0"/>
        </w:rPr>
        <w:t xml:space="preserve">Kenya STEPwise survey for non‑communicable diseases risk factors report 2015</w:t>
      </w:r>
      <w:r w:rsidDel="00000000" w:rsidR="00000000" w:rsidRPr="00000000">
        <w:rPr>
          <w:rFonts w:ascii="Times New Roman" w:cs="Times New Roman" w:eastAsia="Times New Roman" w:hAnsi="Times New Roman"/>
          <w:sz w:val="24"/>
          <w:szCs w:val="24"/>
          <w:rtl w:val="0"/>
        </w:rPr>
        <w:t xml:space="preserve">. </w:t>
      </w:r>
      <w:hyperlink r:id="rId16">
        <w:r w:rsidDel="00000000" w:rsidR="00000000" w:rsidRPr="00000000">
          <w:rPr>
            <w:rFonts w:ascii="Times New Roman" w:cs="Times New Roman" w:eastAsia="Times New Roman" w:hAnsi="Times New Roman"/>
            <w:color w:val="1155cc"/>
            <w:sz w:val="24"/>
            <w:szCs w:val="24"/>
            <w:u w:val="single"/>
            <w:rtl w:val="0"/>
          </w:rPr>
          <w:t xml:space="preserve">https://nutritionhealth.or.ke/wp-content/uploads/Downloads/Kenya%20STEPwise%20Survey%20for%20Non‑Communicable%20Diseases%20Risk%20Factors%20Report%202015.pdf</w:t>
        </w:r>
      </w:hyperlink>
      <w:r w:rsidDel="00000000" w:rsidR="00000000" w:rsidRPr="00000000">
        <w:rPr>
          <w:rFonts w:ascii="Times New Roman" w:cs="Times New Roman" w:eastAsia="Times New Roman" w:hAnsi="Times New Roman"/>
          <w:sz w:val="24"/>
          <w:szCs w:val="24"/>
          <w:rtl w:val="0"/>
        </w:rPr>
        <w:t xml:space="preserve"> </w:t>
        <w:br w:type="textWrapping"/>
      </w:r>
    </w:p>
    <w:p w:rsidR="00000000" w:rsidDel="00000000" w:rsidP="00000000" w:rsidRDefault="00000000" w:rsidRPr="00000000" w14:paraId="0000009D">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Julia, C., &amp; Hercberg, S. (2017). Development of a new front‑of‑pack nutrition label in France: The five‑colour Nutri‑Score. </w:t>
      </w:r>
      <w:r w:rsidDel="00000000" w:rsidR="00000000" w:rsidRPr="00000000">
        <w:rPr>
          <w:rFonts w:ascii="Times New Roman" w:cs="Times New Roman" w:eastAsia="Times New Roman" w:hAnsi="Times New Roman"/>
          <w:i w:val="1"/>
          <w:iCs w:val="1"/>
          <w:sz w:val="24"/>
          <w:szCs w:val="24"/>
          <w:rtl w:val="0"/>
        </w:rPr>
        <w:t xml:space="preserve">Panorama, 712</w:t>
      </w:r>
      <w:r w:rsidDel="00000000" w:rsidR="00000000" w:rsidRPr="00000000">
        <w:rPr>
          <w:rFonts w:ascii="Times New Roman" w:cs="Times New Roman" w:eastAsia="Times New Roman" w:hAnsi="Times New Roman"/>
          <w:sz w:val="24"/>
          <w:szCs w:val="24"/>
          <w:rtl w:val="0"/>
        </w:rPr>
        <w:t xml:space="preserve">, 712–725.</w:t>
        <w:br w:type="textWrapping"/>
      </w:r>
    </w:p>
    <w:p w:rsidR="00000000" w:rsidDel="00000000" w:rsidP="00000000" w:rsidRDefault="00000000" w:rsidRPr="00000000" w14:paraId="0000009E">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Mangwana, J., Asiki, G., Mohamed, S., Shete, C., Karugu, C. H., Iddi, S., Ojiambo, V., &amp; Kirui, C. (2025). Effectiveness of three front‑of‑pack food labels in guiding consumer identification of nutrients of concern and purchase intentions in Kenya: A randomized controlled trial [Fact sheet]. </w:t>
      </w:r>
      <w:r w:rsidDel="00000000" w:rsidR="00000000" w:rsidRPr="00000000">
        <w:rPr>
          <w:rFonts w:ascii="Times New Roman" w:cs="Times New Roman" w:eastAsia="Times New Roman" w:hAnsi="Times New Roman"/>
          <w:i w:val="1"/>
          <w:iCs w:val="1"/>
          <w:sz w:val="24"/>
          <w:szCs w:val="24"/>
          <w:rtl w:val="0"/>
        </w:rPr>
        <w:t xml:space="preserve">African Population and Health Research Center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F">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Mohamed, S. F., Karugu, C. H., Iddi, S., Ojiambo, V., Kirui, C., &amp; Asiki, G. (2024). Effectiveness of three front‑of‑pack food labels in guiding consumer identification of nutrients of concern and purchase intentions in Kenya: A randomized controlled trial. </w:t>
      </w:r>
      <w:r w:rsidDel="00000000" w:rsidR="00000000" w:rsidRPr="00000000">
        <w:rPr>
          <w:rFonts w:ascii="Times New Roman" w:cs="Times New Roman" w:eastAsia="Times New Roman" w:hAnsi="Times New Roman"/>
          <w:i w:val="1"/>
          <w:iCs w:val="1"/>
          <w:sz w:val="24"/>
          <w:szCs w:val="24"/>
          <w:rtl w:val="0"/>
        </w:rPr>
        <w:t xml:space="preserve">Nutrients, 16</w:t>
      </w:r>
      <w:r w:rsidDel="00000000" w:rsidR="00000000" w:rsidRPr="00000000">
        <w:rPr>
          <w:rFonts w:ascii="Times New Roman" w:cs="Times New Roman" w:eastAsia="Times New Roman" w:hAnsi="Times New Roman"/>
          <w:sz w:val="24"/>
          <w:szCs w:val="24"/>
          <w:rtl w:val="0"/>
        </w:rPr>
        <w:t xml:space="preserve">(22), 3846.</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https://doi.org/10.3390/nu16223846</w:t>
        </w:r>
      </w:hyperlink>
      <w:r w:rsidDel="00000000" w:rsidR="00000000" w:rsidRPr="00000000">
        <w:rPr>
          <w:rtl w:val="0"/>
        </w:rPr>
      </w:r>
    </w:p>
    <w:p w:rsidR="00000000" w:rsidDel="00000000" w:rsidP="00000000" w:rsidRDefault="00000000" w:rsidRPr="00000000" w14:paraId="000000A0">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Mwenda, V., Mwangi, M., Nyanjau, L., Gichu, M., Kyobutungi, C., &amp; Kibachio, J. (2018). Dietary risk factors for non‑communicable diseases in Kenya: Findings of the STEPS survey, 2015. </w:t>
      </w:r>
      <w:r w:rsidDel="00000000" w:rsidR="00000000" w:rsidRPr="00000000">
        <w:rPr>
          <w:rFonts w:ascii="Times New Roman" w:cs="Times New Roman" w:eastAsia="Times New Roman" w:hAnsi="Times New Roman"/>
          <w:i w:val="1"/>
          <w:iCs w:val="1"/>
          <w:sz w:val="24"/>
          <w:szCs w:val="24"/>
          <w:rtl w:val="0"/>
        </w:rPr>
        <w:t xml:space="preserve">BMC Public Health, 18</w:t>
      </w:r>
      <w:r w:rsidDel="00000000" w:rsidR="00000000" w:rsidRPr="00000000">
        <w:rPr>
          <w:rFonts w:ascii="Times New Roman" w:cs="Times New Roman" w:eastAsia="Times New Roman" w:hAnsi="Times New Roman"/>
          <w:sz w:val="24"/>
          <w:szCs w:val="24"/>
          <w:rtl w:val="0"/>
        </w:rPr>
        <w:t xml:space="preserve">, 1218.</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color w:val="1155cc"/>
            <w:sz w:val="24"/>
            <w:szCs w:val="24"/>
            <w:u w:val="single"/>
            <w:rtl w:val="0"/>
          </w:rPr>
          <w:t xml:space="preserve">https://doi.org/10.1186/s12889-018-6060-y</w:t>
        </w:r>
      </w:hyperlink>
      <w:r w:rsidDel="00000000" w:rsidR="00000000" w:rsidRPr="00000000">
        <w:rPr>
          <w:rtl w:val="0"/>
        </w:rPr>
      </w:r>
    </w:p>
    <w:p w:rsidR="00000000" w:rsidDel="00000000" w:rsidP="00000000" w:rsidRDefault="00000000" w:rsidRPr="00000000" w14:paraId="000000A1">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Commission for Persons with Disabilities. (2021). </w:t>
      </w:r>
      <w:r w:rsidDel="00000000" w:rsidR="00000000" w:rsidRPr="00000000">
        <w:rPr>
          <w:rFonts w:ascii="Times New Roman" w:cs="Times New Roman" w:eastAsia="Times New Roman" w:hAnsi="Times New Roman"/>
          <w:i w:val="1"/>
          <w:iCs w:val="1"/>
          <w:sz w:val="24"/>
          <w:szCs w:val="24"/>
          <w:rtl w:val="0"/>
        </w:rPr>
        <w:t xml:space="preserve">Addressing the raising burden of non‑communicable diseases in Kenya</w:t>
      </w:r>
      <w:r w:rsidDel="00000000" w:rsidR="00000000" w:rsidRPr="00000000">
        <w:rPr>
          <w:rFonts w:ascii="Times New Roman" w:cs="Times New Roman" w:eastAsia="Times New Roman" w:hAnsi="Times New Roman"/>
          <w:sz w:val="24"/>
          <w:szCs w:val="24"/>
          <w:rtl w:val="0"/>
        </w:rPr>
        <w:t xml:space="preserve"> (Brief 57). </w:t>
      </w:r>
      <w:hyperlink r:id="rId21">
        <w:r w:rsidDel="00000000" w:rsidR="00000000" w:rsidRPr="00000000">
          <w:rPr>
            <w:rFonts w:ascii="Times New Roman" w:cs="Times New Roman" w:eastAsia="Times New Roman" w:hAnsi="Times New Roman"/>
            <w:color w:val="1155cc"/>
            <w:sz w:val="24"/>
            <w:szCs w:val="24"/>
            <w:u w:val="single"/>
            <w:rtl w:val="0"/>
          </w:rPr>
          <w:t xml:space="preserve">https://ncpd.go.ke/wp-content/uploads/2021/02/Brief-57-ADDRESSING-THE-RAISING-BURDEN-OF-NON‑COMMUNICABLE‑DISEASES‑IN‑KENYA.pdf</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A2">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Sacks, G., Robinson, E., &amp; Cameron, A. (2015). Reds are more important than greens: how UK supermarket traffic‑light labels signal healthy choices [Study]. </w:t>
      </w:r>
      <w:r w:rsidDel="00000000" w:rsidR="00000000" w:rsidRPr="00000000">
        <w:rPr>
          <w:rFonts w:ascii="Times New Roman" w:cs="Times New Roman" w:eastAsia="Times New Roman" w:hAnsi="Times New Roman"/>
          <w:i w:val="1"/>
          <w:iCs w:val="1"/>
          <w:sz w:val="24"/>
          <w:szCs w:val="24"/>
          <w:rtl w:val="0"/>
        </w:rPr>
        <w:t xml:space="preserve">International Journal of Behavioral Nutrition and Physical Activity</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A3">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Santé Publique France; Ministère de la Santé. (2021). Nutri‑Score follow‑up report: 3‑year assessment [PDF].</w:t>
        <w:br w:type="textWrapping"/>
      </w:r>
    </w:p>
    <w:p w:rsidR="00000000" w:rsidDel="00000000" w:rsidP="00000000" w:rsidRDefault="00000000" w:rsidRPr="00000000" w14:paraId="000000A4">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Talati, Z., Norman, R., Pettigrew, S., Neal, B., Kelly, B., Dixon, H., Ball, K., Miller, C., &amp; Shilton, T. (2017). The impact of interpretive and reductive front‑of‑pack labels on food choice and willingness to pay. </w:t>
      </w:r>
      <w:r w:rsidDel="00000000" w:rsidR="00000000" w:rsidRPr="00000000">
        <w:rPr>
          <w:rFonts w:ascii="Times New Roman" w:cs="Times New Roman" w:eastAsia="Times New Roman" w:hAnsi="Times New Roman"/>
          <w:i w:val="1"/>
          <w:iCs w:val="1"/>
          <w:sz w:val="24"/>
          <w:szCs w:val="24"/>
          <w:rtl w:val="0"/>
        </w:rPr>
        <w:t xml:space="preserve">International Journal of Behavioral Nutrition and Physical Activity, 14</w:t>
      </w:r>
      <w:r w:rsidDel="00000000" w:rsidR="00000000" w:rsidRPr="00000000">
        <w:rPr>
          <w:rFonts w:ascii="Times New Roman" w:cs="Times New Roman" w:eastAsia="Times New Roman" w:hAnsi="Times New Roman"/>
          <w:sz w:val="24"/>
          <w:szCs w:val="24"/>
          <w:rtl w:val="0"/>
        </w:rPr>
        <w:t xml:space="preserve">(1), Article 171.</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https://doi.org/10.1186/s12966-017-0628-2</w:t>
          <w:br w:type="textWrapping"/>
        </w:r>
      </w:hyperlink>
      <w:r w:rsidDel="00000000" w:rsidR="00000000" w:rsidRPr="00000000">
        <w:rPr>
          <w:rtl w:val="0"/>
        </w:rPr>
      </w:r>
    </w:p>
    <w:p w:rsidR="00000000" w:rsidDel="00000000" w:rsidP="00000000" w:rsidRDefault="00000000" w:rsidRPr="00000000" w14:paraId="000000A5">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Winslow, M. (2024, Dec 9). UF/IFAS study proves color coding nutrition labels may promote healthier eating. </w:t>
      </w:r>
      <w:r w:rsidDel="00000000" w:rsidR="00000000" w:rsidRPr="00000000">
        <w:rPr>
          <w:rFonts w:ascii="Times New Roman" w:cs="Times New Roman" w:eastAsia="Times New Roman" w:hAnsi="Times New Roman"/>
          <w:i w:val="1"/>
          <w:iCs w:val="1"/>
          <w:sz w:val="24"/>
          <w:szCs w:val="24"/>
          <w:rtl w:val="0"/>
        </w:rPr>
        <w:t xml:space="preserve">IFAS Blogs News</w:t>
      </w:r>
      <w:r w:rsidDel="00000000" w:rsidR="00000000" w:rsidRPr="00000000">
        <w:rPr>
          <w:rFonts w:ascii="Times New Roman" w:cs="Times New Roman" w:eastAsia="Times New Roman" w:hAnsi="Times New Roman"/>
          <w:sz w:val="24"/>
          <w:szCs w:val="24"/>
          <w:rtl w:val="0"/>
        </w:rPr>
        <w:t xml:space="preserve"> [Internet].</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https://blogs.ifas.ufl.edu/news/2024/12/09/uf-ifas-study-proves-color-coding-nutrition-labels-may-promote-healthier-eating/</w:t>
        </w:r>
      </w:hyperlink>
      <w:r w:rsidDel="00000000" w:rsidR="00000000" w:rsidRPr="00000000">
        <w:rPr>
          <w:rtl w:val="0"/>
        </w:rPr>
      </w:r>
    </w:p>
    <w:p w:rsidR="00000000" w:rsidDel="00000000" w:rsidP="00000000" w:rsidRDefault="00000000" w:rsidRPr="00000000" w14:paraId="000000A6">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Health Organization Regional Office for Africa. (2018, June 21). </w:t>
      </w:r>
      <w:r w:rsidDel="00000000" w:rsidR="00000000" w:rsidRPr="00000000">
        <w:rPr>
          <w:rFonts w:ascii="Times New Roman" w:cs="Times New Roman" w:eastAsia="Times New Roman" w:hAnsi="Times New Roman"/>
          <w:i w:val="1"/>
          <w:iCs w:val="1"/>
          <w:sz w:val="24"/>
          <w:szCs w:val="24"/>
          <w:rtl w:val="0"/>
        </w:rPr>
        <w:t xml:space="preserve">Kenya launches national cardiovascular disease management guidelines</w:t>
      </w:r>
      <w:r w:rsidDel="00000000" w:rsidR="00000000" w:rsidRPr="00000000">
        <w:rPr>
          <w:rFonts w:ascii="Times New Roman" w:cs="Times New Roman" w:eastAsia="Times New Roman" w:hAnsi="Times New Roman"/>
          <w:sz w:val="24"/>
          <w:szCs w:val="24"/>
          <w:rtl w:val="0"/>
        </w:rPr>
        <w:t xml:space="preserve">.</w:t>
      </w:r>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Fonts w:ascii="Times New Roman" w:cs="Times New Roman" w:eastAsia="Times New Roman" w:hAnsi="Times New Roman"/>
            <w:color w:val="1155cc"/>
            <w:sz w:val="24"/>
            <w:szCs w:val="24"/>
            <w:u w:val="single"/>
            <w:rtl w:val="0"/>
          </w:rPr>
          <w:t xml:space="preserve">https://www.afro.who.int/news/kenya-launches-national-cardiovascular-disease-management-guidelines</w:t>
        </w:r>
      </w:hyperlink>
      <w:r w:rsidDel="00000000" w:rsidR="00000000" w:rsidRPr="00000000">
        <w:rPr>
          <w:rtl w:val="0"/>
        </w:rPr>
      </w:r>
    </w:p>
    <w:p w:rsidR="00000000" w:rsidDel="00000000" w:rsidP="00000000" w:rsidRDefault="00000000" w:rsidRPr="00000000" w14:paraId="000000A7">
      <w:pPr>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Karugu CH, Agyemang C, Wanjohi MN, Ojiambo V, Mugo S, Sanya RE, Holdworth M, Laar A, Vandevijvere S, Asiki G. The promotion of ultra-processed foods in modern retail food outlets in rural and urban areas in Kenya. Public Health Nutrition. 2024 Jan;27(1):e240.</w:t>
      </w:r>
      <w:hyperlink r:id="rId28">
        <w:r w:rsidDel="00000000" w:rsidR="00000000" w:rsidRPr="00000000">
          <w:rPr>
            <w:rFonts w:ascii="Times New Roman" w:cs="Times New Roman" w:eastAsia="Times New Roman" w:hAnsi="Times New Roman"/>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A8">
      <w:pPr>
        <w:spacing w:after="240" w:before="240" w:line="240" w:lineRule="auto"/>
        <w:rPr>
          <w:b w:val="1"/>
          <w:bCs w:val="1"/>
          <w:sz w:val="28"/>
          <w:szCs w:val="28"/>
          <w:highlight w:val="white"/>
        </w:rPr>
      </w:pPr>
      <w:r w:rsidDel="00000000" w:rsidR="00000000" w:rsidRPr="00000000">
        <w:rPr>
          <w:rFonts w:ascii="Calibri" w:cs="Calibri" w:eastAsia="Calibri" w:hAnsi="Calibri"/>
          <w:b w:val="1"/>
          <w:bCs w:val="1"/>
          <w:sz w:val="28"/>
          <w:szCs w:val="28"/>
          <w:highlight w:val="white"/>
          <w:rtl w:val="0"/>
        </w:rPr>
        <w:t xml:space="preserve">Appendix</w:t>
      </w:r>
      <w:r w:rsidDel="00000000" w:rsidR="00000000" w:rsidRPr="00000000">
        <w:rPr>
          <w:rtl w:val="0"/>
        </w:rPr>
      </w:r>
    </w:p>
    <w:p w:rsidR="00000000" w:rsidDel="00000000" w:rsidP="00000000" w:rsidRDefault="00000000" w:rsidRPr="00000000" w14:paraId="000000A9">
      <w:pPr>
        <w:spacing w:after="240" w:before="240"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Table 3: Team members and roles</w:t>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144" w:hRule="atLeast"/>
          <w:tblHeader w:val="1"/>
        </w:trPr>
        <w:tc>
          <w:tcPr>
            <w:tcMar>
              <w:top w:w="-1440.0" w:type="dxa"/>
              <w:left w:w="-1440.0" w:type="dxa"/>
              <w:bottom w:w="-1440.0" w:type="dxa"/>
              <w:right w:w="-1440.0" w:type="dxa"/>
            </w:tcMar>
          </w:tcPr>
          <w:p w:rsidR="00000000" w:rsidDel="00000000" w:rsidP="00000000" w:rsidRDefault="00000000" w:rsidRPr="00000000" w14:paraId="000000AA">
            <w:pPr>
              <w:spacing w:after="240" w:before="240" w:line="240" w:lineRule="auto"/>
              <w:jc w:val="center"/>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Name</w:t>
            </w:r>
          </w:p>
        </w:tc>
        <w:tc>
          <w:tcPr>
            <w:tcMar>
              <w:top w:w="-1440.0" w:type="dxa"/>
              <w:left w:w="-1440.0" w:type="dxa"/>
              <w:bottom w:w="-1440.0" w:type="dxa"/>
              <w:right w:w="-1440.0" w:type="dxa"/>
            </w:tcMar>
          </w:tcPr>
          <w:p w:rsidR="00000000" w:rsidDel="00000000" w:rsidP="00000000" w:rsidRDefault="00000000" w:rsidRPr="00000000" w14:paraId="000000AB">
            <w:pPr>
              <w:spacing w:after="240" w:before="240" w:line="240" w:lineRule="auto"/>
              <w:jc w:val="center"/>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Theme</w:t>
            </w:r>
          </w:p>
        </w:tc>
        <w:tc>
          <w:tcPr>
            <w:tcMar>
              <w:top w:w="-1440.0" w:type="dxa"/>
              <w:left w:w="-1440.0" w:type="dxa"/>
              <w:bottom w:w="-1440.0" w:type="dxa"/>
              <w:right w:w="-1440.0" w:type="dxa"/>
            </w:tcMar>
          </w:tcPr>
          <w:p w:rsidR="00000000" w:rsidDel="00000000" w:rsidP="00000000" w:rsidRDefault="00000000" w:rsidRPr="00000000" w14:paraId="000000AC">
            <w:pPr>
              <w:spacing w:after="240" w:before="240" w:line="240" w:lineRule="auto"/>
              <w:jc w:val="center"/>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Role</w:t>
            </w:r>
          </w:p>
        </w:tc>
      </w:tr>
      <w:tr>
        <w:trPr>
          <w:cantSplit w:val="0"/>
          <w:trHeight w:val="144" w:hRule="atLeast"/>
          <w:tblHeader w:val="0"/>
        </w:trPr>
        <w:tc>
          <w:tcPr>
            <w:tcMar>
              <w:top w:w="-1008.0" w:type="dxa"/>
              <w:left w:w="-1008.0" w:type="dxa"/>
              <w:bottom w:w="-1008.0" w:type="dxa"/>
              <w:right w:w="-1008.0" w:type="dxa"/>
            </w:tcMar>
          </w:tcPr>
          <w:p w:rsidR="00000000" w:rsidDel="00000000" w:rsidP="00000000" w:rsidRDefault="00000000" w:rsidRPr="00000000" w14:paraId="000000AD">
            <w:pPr>
              <w:spacing w:after="240" w:before="240" w:line="240" w:lineRule="auto"/>
              <w:jc w:val="cente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Tatenda D Kavu</w:t>
            </w:r>
          </w:p>
        </w:tc>
        <w:tc>
          <w:tcPr>
            <w:tcMar>
              <w:top w:w="-1008.0" w:type="dxa"/>
              <w:left w:w="-1008.0" w:type="dxa"/>
              <w:bottom w:w="-1008.0" w:type="dxa"/>
              <w:right w:w="-1008.0" w:type="dxa"/>
            </w:tcMar>
          </w:tcPr>
          <w:p w:rsidR="00000000" w:rsidDel="00000000" w:rsidP="00000000" w:rsidRDefault="00000000" w:rsidRPr="00000000" w14:paraId="000000AE">
            <w:pPr>
              <w:spacing w:after="240" w:before="240" w:line="240" w:lineRule="auto"/>
              <w:jc w:val="cente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Data Science &amp; Evaluation</w:t>
            </w:r>
          </w:p>
        </w:tc>
        <w:tc>
          <w:tcPr>
            <w:tcMar>
              <w:top w:w="-1008.0" w:type="dxa"/>
              <w:left w:w="-1008.0" w:type="dxa"/>
              <w:bottom w:w="-1008.0" w:type="dxa"/>
              <w:right w:w="-1008.0" w:type="dxa"/>
            </w:tcMar>
          </w:tcPr>
          <w:p w:rsidR="00000000" w:rsidDel="00000000" w:rsidP="00000000" w:rsidRDefault="00000000" w:rsidRPr="00000000" w14:paraId="000000AF">
            <w:pPr>
              <w:spacing w:after="240" w:before="240" w:line="240" w:lineRule="auto"/>
              <w:jc w:val="cente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Principal Investigator</w:t>
            </w:r>
          </w:p>
        </w:tc>
      </w:tr>
      <w:tr>
        <w:trPr>
          <w:cantSplit w:val="0"/>
          <w:trHeight w:val="144" w:hRule="atLeast"/>
          <w:tblHeader w:val="0"/>
        </w:trPr>
        <w:tc>
          <w:tcPr>
            <w:tcMar>
              <w:top w:w="-1008.0" w:type="dxa"/>
              <w:left w:w="-1008.0" w:type="dxa"/>
              <w:bottom w:w="-1008.0" w:type="dxa"/>
              <w:right w:w="-1008.0" w:type="dxa"/>
            </w:tcMar>
          </w:tcPr>
          <w:p w:rsidR="00000000" w:rsidDel="00000000" w:rsidP="00000000" w:rsidRDefault="00000000" w:rsidRPr="00000000" w14:paraId="000000B0">
            <w:pPr>
              <w:rPr>
                <w:rFonts w:ascii="Calibri" w:cs="Calibri" w:eastAsia="Calibri" w:hAnsi="Calibri"/>
                <w:sz w:val="24"/>
                <w:szCs w:val="24"/>
                <w:highlight w:val="white"/>
              </w:rPr>
            </w:pPr>
            <w:r w:rsidDel="00000000" w:rsidR="00000000" w:rsidRPr="00000000">
              <w:rPr>
                <w:rFonts w:ascii="Calibri" w:cs="Calibri" w:eastAsia="Calibri" w:hAnsi="Calibri"/>
                <w:sz w:val="24"/>
                <w:szCs w:val="24"/>
                <w:rtl w:val="0"/>
              </w:rPr>
              <w:t xml:space="preserve">      Reinpeter Momamnyi</w:t>
            </w:r>
            <w:r w:rsidDel="00000000" w:rsidR="00000000" w:rsidRPr="00000000">
              <w:rPr>
                <w:rtl w:val="0"/>
              </w:rPr>
            </w:r>
          </w:p>
        </w:tc>
        <w:tc>
          <w:tcPr>
            <w:tcMar>
              <w:top w:w="-1008.0" w:type="dxa"/>
              <w:left w:w="-1008.0" w:type="dxa"/>
              <w:bottom w:w="-1008.0" w:type="dxa"/>
              <w:right w:w="-1008.0" w:type="dxa"/>
            </w:tcMar>
          </w:tcPr>
          <w:p w:rsidR="00000000" w:rsidDel="00000000" w:rsidP="00000000" w:rsidRDefault="00000000" w:rsidRPr="00000000" w14:paraId="000000B1">
            <w:pPr>
              <w:spacing w:after="240" w:before="240" w:line="240" w:lineRule="auto"/>
              <w:jc w:val="cente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Data Science &amp; Evaluation</w:t>
            </w:r>
          </w:p>
        </w:tc>
        <w:tc>
          <w:tcPr>
            <w:tcMar>
              <w:top w:w="-1008.0" w:type="dxa"/>
              <w:left w:w="-1008.0" w:type="dxa"/>
              <w:bottom w:w="-1008.0" w:type="dxa"/>
              <w:right w:w="-1008.0" w:type="dxa"/>
            </w:tcMar>
          </w:tcPr>
          <w:p w:rsidR="00000000" w:rsidDel="00000000" w:rsidP="00000000" w:rsidRDefault="00000000" w:rsidRPr="00000000" w14:paraId="000000B2">
            <w:pPr>
              <w:spacing w:after="240" w:before="240" w:line="240" w:lineRule="auto"/>
              <w:jc w:val="cente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Co-Investigator</w:t>
            </w:r>
          </w:p>
        </w:tc>
      </w:tr>
      <w:tr>
        <w:trPr>
          <w:cantSplit w:val="0"/>
          <w:trHeight w:val="144" w:hRule="atLeast"/>
          <w:tblHeader w:val="0"/>
        </w:trPr>
        <w:tc>
          <w:tcPr>
            <w:tcMar>
              <w:top w:w="-1008.0" w:type="dxa"/>
              <w:left w:w="-1008.0" w:type="dxa"/>
              <w:bottom w:w="-1008.0" w:type="dxa"/>
              <w:right w:w="-1008.0" w:type="dxa"/>
            </w:tcMar>
          </w:tcPr>
          <w:p w:rsidR="00000000" w:rsidDel="00000000" w:rsidP="00000000" w:rsidRDefault="00000000" w:rsidRPr="00000000" w14:paraId="000000B3">
            <w:pPr>
              <w:rPr>
                <w:rFonts w:ascii="Calibri" w:cs="Calibri" w:eastAsia="Calibri" w:hAnsi="Calibri"/>
                <w:sz w:val="24"/>
                <w:szCs w:val="24"/>
                <w:highlight w:val="white"/>
              </w:rPr>
            </w:pPr>
            <w:r w:rsidDel="00000000" w:rsidR="00000000" w:rsidRPr="00000000">
              <w:rPr>
                <w:rFonts w:ascii="Calibri" w:cs="Calibri" w:eastAsia="Calibri" w:hAnsi="Calibri"/>
                <w:sz w:val="24"/>
                <w:szCs w:val="24"/>
                <w:rtl w:val="0"/>
              </w:rPr>
              <w:t xml:space="preserve">           Agnes Kiragga</w:t>
            </w:r>
            <w:r w:rsidDel="00000000" w:rsidR="00000000" w:rsidRPr="00000000">
              <w:rPr>
                <w:rtl w:val="0"/>
              </w:rPr>
            </w:r>
          </w:p>
        </w:tc>
        <w:tc>
          <w:tcPr>
            <w:tcMar>
              <w:top w:w="-1008.0" w:type="dxa"/>
              <w:left w:w="-1008.0" w:type="dxa"/>
              <w:bottom w:w="-1008.0" w:type="dxa"/>
              <w:right w:w="-1008.0" w:type="dxa"/>
            </w:tcMar>
          </w:tcPr>
          <w:p w:rsidR="00000000" w:rsidDel="00000000" w:rsidP="00000000" w:rsidRDefault="00000000" w:rsidRPr="00000000" w14:paraId="000000B4">
            <w:pPr>
              <w:spacing w:after="240" w:before="240" w:line="240" w:lineRule="auto"/>
              <w:jc w:val="cente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Data Science &amp; Evaluation</w:t>
            </w:r>
          </w:p>
        </w:tc>
        <w:tc>
          <w:tcPr>
            <w:tcMar>
              <w:top w:w="-1008.0" w:type="dxa"/>
              <w:left w:w="-1008.0" w:type="dxa"/>
              <w:bottom w:w="-1008.0" w:type="dxa"/>
              <w:right w:w="-1008.0" w:type="dxa"/>
            </w:tcMar>
          </w:tcPr>
          <w:p w:rsidR="00000000" w:rsidDel="00000000" w:rsidP="00000000" w:rsidRDefault="00000000" w:rsidRPr="00000000" w14:paraId="000000B5">
            <w:pPr>
              <w:spacing w:after="240" w:before="240" w:line="240" w:lineRule="auto"/>
              <w:jc w:val="cente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Co-Investigator</w:t>
            </w:r>
          </w:p>
        </w:tc>
      </w:tr>
      <w:tr>
        <w:trPr>
          <w:cantSplit w:val="0"/>
          <w:trHeight w:val="144" w:hRule="atLeast"/>
          <w:tblHeader w:val="0"/>
        </w:trPr>
        <w:tc>
          <w:tcPr>
            <w:tcMar>
              <w:top w:w="-1008.0" w:type="dxa"/>
              <w:left w:w="-1008.0" w:type="dxa"/>
              <w:bottom w:w="-1008.0" w:type="dxa"/>
              <w:right w:w="-1008.0" w:type="dxa"/>
            </w:tcMar>
          </w:tcPr>
          <w:p w:rsidR="00000000" w:rsidDel="00000000" w:rsidP="00000000" w:rsidRDefault="00000000" w:rsidRPr="00000000" w14:paraId="000000B6">
            <w:pPr>
              <w:spacing w:after="240" w:before="240" w:line="240" w:lineRule="auto"/>
              <w:jc w:val="cente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Steve Cygu</w:t>
            </w:r>
          </w:p>
        </w:tc>
        <w:tc>
          <w:tcPr>
            <w:tcMar>
              <w:top w:w="-1008.0" w:type="dxa"/>
              <w:left w:w="-1008.0" w:type="dxa"/>
              <w:bottom w:w="-1008.0" w:type="dxa"/>
              <w:right w:w="-1008.0" w:type="dxa"/>
            </w:tcMar>
          </w:tcPr>
          <w:p w:rsidR="00000000" w:rsidDel="00000000" w:rsidP="00000000" w:rsidRDefault="00000000" w:rsidRPr="00000000" w14:paraId="000000B7">
            <w:pPr>
              <w:spacing w:after="240" w:before="240" w:line="240" w:lineRule="auto"/>
              <w:jc w:val="cente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Data Science &amp; Evaluation</w:t>
            </w:r>
          </w:p>
        </w:tc>
        <w:tc>
          <w:tcPr>
            <w:tcMar>
              <w:top w:w="-1008.0" w:type="dxa"/>
              <w:left w:w="-1008.0" w:type="dxa"/>
              <w:bottom w:w="-1008.0" w:type="dxa"/>
              <w:right w:w="-1008.0" w:type="dxa"/>
            </w:tcMar>
          </w:tcPr>
          <w:p w:rsidR="00000000" w:rsidDel="00000000" w:rsidP="00000000" w:rsidRDefault="00000000" w:rsidRPr="00000000" w14:paraId="000000B8">
            <w:pPr>
              <w:spacing w:after="240" w:before="240" w:line="240" w:lineRule="auto"/>
              <w:jc w:val="cente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Co-Investigator</w:t>
            </w:r>
          </w:p>
        </w:tc>
      </w:tr>
      <w:tr>
        <w:trPr>
          <w:cantSplit w:val="0"/>
          <w:trHeight w:val="144" w:hRule="atLeast"/>
          <w:tblHeader w:val="0"/>
        </w:trPr>
        <w:tc>
          <w:tcPr>
            <w:tcMar>
              <w:top w:w="-1008.0" w:type="dxa"/>
              <w:left w:w="-1008.0" w:type="dxa"/>
              <w:bottom w:w="-1008.0" w:type="dxa"/>
              <w:right w:w="-1008.0" w:type="dxa"/>
            </w:tcMar>
          </w:tcPr>
          <w:p w:rsidR="00000000" w:rsidDel="00000000" w:rsidP="00000000" w:rsidRDefault="00000000" w:rsidRPr="00000000" w14:paraId="000000B9">
            <w:pPr>
              <w:spacing w:after="240" w:before="240" w:line="240" w:lineRule="auto"/>
              <w:jc w:val="cente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Gershim Asiki</w:t>
            </w:r>
          </w:p>
        </w:tc>
        <w:tc>
          <w:tcPr>
            <w:tcMar>
              <w:top w:w="-1008.0" w:type="dxa"/>
              <w:left w:w="-1008.0" w:type="dxa"/>
              <w:bottom w:w="-1008.0" w:type="dxa"/>
              <w:right w:w="-1008.0" w:type="dxa"/>
            </w:tcMar>
          </w:tcPr>
          <w:p w:rsidR="00000000" w:rsidDel="00000000" w:rsidP="00000000" w:rsidRDefault="00000000" w:rsidRPr="00000000" w14:paraId="000000BA">
            <w:pPr>
              <w:spacing w:after="240" w:before="240" w:line="240" w:lineRule="auto"/>
              <w:jc w:val="cente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Health &amp; Wellbeing </w:t>
            </w:r>
          </w:p>
        </w:tc>
        <w:tc>
          <w:tcPr>
            <w:tcMar>
              <w:top w:w="-1008.0" w:type="dxa"/>
              <w:left w:w="-1008.0" w:type="dxa"/>
              <w:bottom w:w="-1008.0" w:type="dxa"/>
              <w:right w:w="-1008.0" w:type="dxa"/>
            </w:tcMar>
          </w:tcPr>
          <w:p w:rsidR="00000000" w:rsidDel="00000000" w:rsidP="00000000" w:rsidRDefault="00000000" w:rsidRPr="00000000" w14:paraId="000000BB">
            <w:pPr>
              <w:spacing w:after="240" w:before="240" w:line="240" w:lineRule="auto"/>
              <w:jc w:val="cente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Co-Principal Investigator</w:t>
            </w:r>
          </w:p>
        </w:tc>
      </w:tr>
      <w:tr>
        <w:trPr>
          <w:cantSplit w:val="0"/>
          <w:trHeight w:val="144" w:hRule="atLeast"/>
          <w:tblHeader w:val="0"/>
        </w:trPr>
        <w:tc>
          <w:tcPr>
            <w:tcMar>
              <w:top w:w="-1008.0" w:type="dxa"/>
              <w:left w:w="-1008.0" w:type="dxa"/>
              <w:bottom w:w="-1008.0" w:type="dxa"/>
              <w:right w:w="-1008.0" w:type="dxa"/>
            </w:tcMar>
          </w:tcPr>
          <w:p w:rsidR="00000000" w:rsidDel="00000000" w:rsidP="00000000" w:rsidRDefault="00000000" w:rsidRPr="00000000" w14:paraId="000000BC">
            <w:pPr>
              <w:rPr>
                <w:rFonts w:ascii="Calibri" w:cs="Calibri" w:eastAsia="Calibri" w:hAnsi="Calibri"/>
                <w:sz w:val="24"/>
                <w:szCs w:val="24"/>
                <w:highlight w:val="white"/>
              </w:rPr>
            </w:pPr>
            <w:r w:rsidDel="00000000" w:rsidR="00000000" w:rsidRPr="00000000">
              <w:rPr>
                <w:rFonts w:ascii="Calibri" w:cs="Calibri" w:eastAsia="Calibri" w:hAnsi="Calibri"/>
                <w:sz w:val="24"/>
                <w:szCs w:val="24"/>
                <w:rtl w:val="0"/>
              </w:rPr>
              <w:t xml:space="preserve">          Shukri Mohamed </w:t>
            </w:r>
            <w:r w:rsidDel="00000000" w:rsidR="00000000" w:rsidRPr="00000000">
              <w:rPr>
                <w:rtl w:val="0"/>
              </w:rPr>
            </w:r>
          </w:p>
        </w:tc>
        <w:tc>
          <w:tcPr>
            <w:tcMar>
              <w:top w:w="-1008.0" w:type="dxa"/>
              <w:left w:w="-1008.0" w:type="dxa"/>
              <w:bottom w:w="-1008.0" w:type="dxa"/>
              <w:right w:w="-1008.0" w:type="dxa"/>
            </w:tcMar>
          </w:tcPr>
          <w:p w:rsidR="00000000" w:rsidDel="00000000" w:rsidP="00000000" w:rsidRDefault="00000000" w:rsidRPr="00000000" w14:paraId="000000BD">
            <w:pPr>
              <w:spacing w:after="240" w:before="240" w:line="240" w:lineRule="auto"/>
              <w:jc w:val="cente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Health &amp; Wellbeing </w:t>
            </w:r>
          </w:p>
        </w:tc>
        <w:tc>
          <w:tcPr>
            <w:tcMar>
              <w:top w:w="-1008.0" w:type="dxa"/>
              <w:left w:w="-1008.0" w:type="dxa"/>
              <w:bottom w:w="-1008.0" w:type="dxa"/>
              <w:right w:w="-1008.0" w:type="dxa"/>
            </w:tcMar>
          </w:tcPr>
          <w:p w:rsidR="00000000" w:rsidDel="00000000" w:rsidP="00000000" w:rsidRDefault="00000000" w:rsidRPr="00000000" w14:paraId="000000BE">
            <w:pPr>
              <w:spacing w:after="240" w:before="240" w:line="240" w:lineRule="auto"/>
              <w:jc w:val="cente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Co-Principal Investigator</w:t>
            </w:r>
          </w:p>
        </w:tc>
      </w:tr>
      <w:tr>
        <w:trPr>
          <w:cantSplit w:val="0"/>
          <w:trHeight w:val="144" w:hRule="atLeast"/>
          <w:tblHeader w:val="0"/>
        </w:trPr>
        <w:tc>
          <w:tcPr>
            <w:tcMar>
              <w:top w:w="-1008.0" w:type="dxa"/>
              <w:left w:w="-1008.0" w:type="dxa"/>
              <w:bottom w:w="-1008.0" w:type="dxa"/>
              <w:right w:w="-1008.0" w:type="dxa"/>
            </w:tcMar>
          </w:tcPr>
          <w:p w:rsidR="00000000" w:rsidDel="00000000" w:rsidP="00000000" w:rsidRDefault="00000000" w:rsidRPr="00000000" w14:paraId="000000B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Zachary Ndegwa Muriuki</w:t>
            </w:r>
          </w:p>
          <w:p w:rsidR="00000000" w:rsidDel="00000000" w:rsidP="00000000" w:rsidRDefault="00000000" w:rsidRPr="00000000" w14:paraId="000000C0">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C1">
            <w:pPr>
              <w:spacing w:after="240" w:before="240" w:line="240" w:lineRule="auto"/>
              <w:jc w:val="cente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Division of Nutrition and Dietetics, Ministry of Health, (National Government)</w:t>
            </w:r>
          </w:p>
        </w:tc>
        <w:tc>
          <w:tcPr/>
          <w:p w:rsidR="00000000" w:rsidDel="00000000" w:rsidP="00000000" w:rsidRDefault="00000000" w:rsidRPr="00000000" w14:paraId="000000C2">
            <w:pPr>
              <w:spacing w:after="240" w:before="240" w:line="240" w:lineRule="auto"/>
              <w:jc w:val="cente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Co-Investigator</w:t>
            </w:r>
          </w:p>
        </w:tc>
      </w:tr>
    </w:tbl>
    <w:p w:rsidR="00000000" w:rsidDel="00000000" w:rsidP="00000000" w:rsidRDefault="00000000" w:rsidRPr="00000000" w14:paraId="000000C3">
      <w:pPr>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sectPr>
      <w:headerReference r:id="rId29" w:type="default"/>
      <w:footerReference r:id="rId3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jc w:val="center"/>
      <w:rPr/>
    </w:pPr>
    <w:r w:rsidDel="00000000" w:rsidR="00000000" w:rsidRPr="00000000">
      <w:rPr/>
      <w:drawing>
        <wp:inline distB="114300" distT="114300" distL="114300" distR="114300">
          <wp:extent cx="1243013" cy="790575"/>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43013"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470" w:hanging="470"/>
      </w:pPr>
      <w:rPr>
        <w:u w:val="none"/>
      </w:rPr>
    </w:lvl>
    <w:lvl w:ilvl="1">
      <w:start w:val="1"/>
      <w:numFmt w:val="decimal"/>
      <w:lvlText w:val="%1.%2"/>
      <w:lvlJc w:val="left"/>
      <w:pPr>
        <w:ind w:left="720" w:hanging="720"/>
      </w:pPr>
      <w:rPr>
        <w:u w:val="none"/>
      </w:rPr>
    </w:lvl>
    <w:lvl w:ilvl="2">
      <w:start w:val="1"/>
      <w:numFmt w:val="decimal"/>
      <w:lvlText w:val="%1.%2.%3"/>
      <w:lvlJc w:val="left"/>
      <w:pPr>
        <w:ind w:left="720" w:hanging="720"/>
      </w:pPr>
      <w:rPr>
        <w:u w:val="none"/>
      </w:rPr>
    </w:lvl>
    <w:lvl w:ilvl="3">
      <w:start w:val="1"/>
      <w:numFmt w:val="decimal"/>
      <w:lvlText w:val="%1.%2.%3.%4"/>
      <w:lvlJc w:val="left"/>
      <w:pPr>
        <w:ind w:left="1080" w:hanging="1080"/>
      </w:pPr>
      <w:rPr>
        <w:u w:val="none"/>
      </w:rPr>
    </w:lvl>
    <w:lvl w:ilvl="4">
      <w:start w:val="1"/>
      <w:numFmt w:val="decimal"/>
      <w:lvlText w:val="%1.%2.%3.%4.%5"/>
      <w:lvlJc w:val="left"/>
      <w:pPr>
        <w:ind w:left="1440" w:hanging="1440"/>
      </w:pPr>
      <w:rPr>
        <w:u w:val="none"/>
      </w:rPr>
    </w:lvl>
    <w:lvl w:ilvl="5">
      <w:start w:val="1"/>
      <w:numFmt w:val="decimal"/>
      <w:lvlText w:val="%1.%2.%3.%4.%5.%6"/>
      <w:lvlJc w:val="left"/>
      <w:pPr>
        <w:ind w:left="1440" w:hanging="1440"/>
      </w:pPr>
      <w:rPr>
        <w:u w:val="none"/>
      </w:rPr>
    </w:lvl>
    <w:lvl w:ilvl="6">
      <w:start w:val="1"/>
      <w:numFmt w:val="decimal"/>
      <w:lvlText w:val="%1.%2.%3.%4.%5.%6.%7"/>
      <w:lvlJc w:val="left"/>
      <w:pPr>
        <w:ind w:left="1800" w:hanging="1800"/>
      </w:pPr>
      <w:rPr>
        <w:u w:val="none"/>
      </w:rPr>
    </w:lvl>
    <w:lvl w:ilvl="7">
      <w:start w:val="1"/>
      <w:numFmt w:val="decimal"/>
      <w:lvlText w:val="%1.%2.%3.%4.%5.%6.%7.%8"/>
      <w:lvlJc w:val="left"/>
      <w:pPr>
        <w:ind w:left="1800" w:hanging="1800"/>
      </w:pPr>
      <w:rPr>
        <w:u w:val="none"/>
      </w:rPr>
    </w:lvl>
    <w:lvl w:ilvl="8">
      <w:start w:val="1"/>
      <w:numFmt w:val="decimal"/>
      <w:lvlText w:val="%1.%2.%3.%4.%5.%6.%7.%8.%9"/>
      <w:lvlJc w:val="left"/>
      <w:pPr>
        <w:ind w:left="2160" w:hanging="21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86/s12889-018-6060-y" TargetMode="External"/><Relationship Id="rId22" Type="http://schemas.openxmlformats.org/officeDocument/2006/relationships/hyperlink" Target="https://doi.org/10.1186/s12966-017-0628-2" TargetMode="External"/><Relationship Id="rId21" Type="http://schemas.openxmlformats.org/officeDocument/2006/relationships/hyperlink" Target="https://ncpd.go.ke/wp-content/uploads/2021/02/Brief-57-ADDRESSING-THE-RAISING-BURDEN-OF-NON%E2%80%91COMMUNICABLE%E2%80%91DISEASES%E2%80%91IN%E2%80%91KENYA.pdf" TargetMode="External"/><Relationship Id="rId24" Type="http://schemas.openxmlformats.org/officeDocument/2006/relationships/hyperlink" Target="https://blogs.ifas.ufl.edu/news/2024/12/09/uf-ifas-study-proves-color-coding-nutrition-labels-may-promote-healthier-eating/" TargetMode="External"/><Relationship Id="rId23" Type="http://schemas.openxmlformats.org/officeDocument/2006/relationships/hyperlink" Target="https://doi.org/10.1186/s12966-017-0628-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ssets.advocacyincubator.org/uploads/GHAI-FOPL-Evidence-Sheet-2024-1.pdf" TargetMode="External"/><Relationship Id="rId26" Type="http://schemas.openxmlformats.org/officeDocument/2006/relationships/hyperlink" Target="https://www.afro.who.int/news/kenya-launches-national-cardiovascular-disease-management-guidelines" TargetMode="External"/><Relationship Id="rId25" Type="http://schemas.openxmlformats.org/officeDocument/2006/relationships/hyperlink" Target="https://blogs.ifas.ufl.edu/news/2024/12/09/uf-ifas-study-proves-color-coding-nutrition-labels-may-promote-healthier-eating/" TargetMode="External"/><Relationship Id="rId28" Type="http://schemas.openxmlformats.org/officeDocument/2006/relationships/hyperlink" Target="https://blogs.ifas.ufl.edu/news/2024/12/09/uf-ifas-study-proves-color-coding-nutrition-labels-may-promote-healthier-eating/" TargetMode="External"/><Relationship Id="rId27" Type="http://schemas.openxmlformats.org/officeDocument/2006/relationships/hyperlink" Target="https://www.afro.who.int/news/kenya-launches-national-cardiovascular-disease-management-guidelines"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eader" Target="header1.xml"/><Relationship Id="rId7" Type="http://schemas.openxmlformats.org/officeDocument/2006/relationships/hyperlink" Target="https://doi.org/10.3390/nu14153119" TargetMode="External"/><Relationship Id="rId8" Type="http://schemas.openxmlformats.org/officeDocument/2006/relationships/hyperlink" Target="https://doi.org/10.3390/nu14153119" TargetMode="External"/><Relationship Id="rId30" Type="http://schemas.openxmlformats.org/officeDocument/2006/relationships/footer" Target="footer1.xml"/><Relationship Id="rId11" Type="http://schemas.openxmlformats.org/officeDocument/2006/relationships/hyperlink" Target="https://doi.org/10.3390/nu15184082" TargetMode="External"/><Relationship Id="rId10" Type="http://schemas.openxmlformats.org/officeDocument/2006/relationships/hyperlink" Target="https://assets.advocacyincubator.org/uploads/GHAI-FOPL-Evidence-Sheet-2024-1.pdf" TargetMode="External"/><Relationship Id="rId13" Type="http://schemas.openxmlformats.org/officeDocument/2006/relationships/hyperlink" Target="https://pmc.ncbi.nlm.nih.gov/articles/PMC10500374/" TargetMode="External"/><Relationship Id="rId12" Type="http://schemas.openxmlformats.org/officeDocument/2006/relationships/hyperlink" Target="https://doi.org/10.3390/nu15184082" TargetMode="External"/><Relationship Id="rId15" Type="http://schemas.openxmlformats.org/officeDocument/2006/relationships/hyperlink" Target="http://gov.uk" TargetMode="External"/><Relationship Id="rId14" Type="http://schemas.openxmlformats.org/officeDocument/2006/relationships/hyperlink" Target="https://pmc.ncbi.nlm.nih.gov/articles/PMC10500374/" TargetMode="External"/><Relationship Id="rId17" Type="http://schemas.openxmlformats.org/officeDocument/2006/relationships/hyperlink" Target="https://doi.org/10.3390/nu16223846" TargetMode="External"/><Relationship Id="rId16" Type="http://schemas.openxmlformats.org/officeDocument/2006/relationships/hyperlink" Target="https://nutritionhealth.or.ke/wp-content/uploads/Downloads/Kenya%20STEPwise%20Survey%20for%20Non%E2%80%91Communicable%20Diseases%20Risk%20Factors%20Report%202015.pdf" TargetMode="External"/><Relationship Id="rId19" Type="http://schemas.openxmlformats.org/officeDocument/2006/relationships/hyperlink" Target="https://doi.org/10.1186/s12889-018-6060-y" TargetMode="External"/><Relationship Id="rId18" Type="http://schemas.openxmlformats.org/officeDocument/2006/relationships/hyperlink" Target="https://doi.org/10.3390/nu1622384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