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7D9CBAD1" w14:textId="65C26A03" w:rsidR="00325248" w:rsidRDefault="568129C1" w:rsidP="2AD78302">
      <w:pPr>
        <w:sectPr w:rsidR="00325248" w:rsidSect="00B47C95">
          <w:headerReference w:type="default" r:id="rId8"/>
          <w:footerReference w:type="default" r:id="rId9"/>
          <w:pgSz w:w="16838" w:h="11906" w:orient="landscape"/>
          <w:pgMar w:top="0" w:right="0" w:bottom="0" w:left="0" w:header="706" w:footer="706" w:gutter="0"/>
          <w:pgNumType w:fmt="lowerRoman" w:start="2"/>
          <w:cols w:space="708"/>
          <w:docGrid w:linePitch="360"/>
        </w:sectPr>
      </w:pPr>
      <w:bookmarkStart w:id="0" w:name="_Toc332969467"/>
      <w:bookmarkStart w:id="1" w:name="_Toc346273563"/>
      <w:bookmarkStart w:id="2" w:name="_Toc352687551"/>
      <w:bookmarkStart w:id="3" w:name="_Toc354481213"/>
      <w:bookmarkStart w:id="4" w:name="_Toc354481287"/>
      <w:bookmarkStart w:id="5" w:name="_Toc354481788"/>
      <w:bookmarkStart w:id="6" w:name="_Toc387763165"/>
      <w:bookmarkEnd w:id="0"/>
      <w:bookmarkEnd w:id="1"/>
      <w:bookmarkEnd w:id="2"/>
      <w:bookmarkEnd w:id="3"/>
      <w:bookmarkEnd w:id="4"/>
      <w:bookmarkEnd w:id="5"/>
      <w:bookmarkEnd w:id="6"/>
      <w:r>
        <w:t>++++</w:t>
      </w:r>
      <w:r w:rsidR="3A99BA17">
        <w:rPr>
          <w:noProof/>
        </w:rPr>
        <w:drawing>
          <wp:anchor distT="0" distB="0" distL="114300" distR="114300" simplePos="0" relativeHeight="251658240" behindDoc="0" locked="0" layoutInCell="1" allowOverlap="1" wp14:anchorId="3286DCD0" wp14:editId="0CFE1880">
            <wp:simplePos x="0" y="0"/>
            <wp:positionH relativeFrom="column">
              <wp:align>left</wp:align>
            </wp:positionH>
            <wp:positionV relativeFrom="paragraph">
              <wp:posOffset>0</wp:posOffset>
            </wp:positionV>
            <wp:extent cx="10727037" cy="7582019"/>
            <wp:effectExtent l="0" t="0" r="0" b="0"/>
            <wp:wrapNone/>
            <wp:docPr id="94922245" name="Picture 23423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38196"/>
                    <pic:cNvPicPr/>
                  </pic:nvPicPr>
                  <pic:blipFill>
                    <a:blip r:embed="rId10">
                      <a:extLst>
                        <a:ext uri="{28A0092B-C50C-407E-A947-70E740481C1C}">
                          <a14:useLocalDpi xmlns:a14="http://schemas.microsoft.com/office/drawing/2010/main" val="0"/>
                        </a:ext>
                      </a:extLst>
                    </a:blip>
                    <a:stretch>
                      <a:fillRect/>
                    </a:stretch>
                  </pic:blipFill>
                  <pic:spPr>
                    <a:xfrm>
                      <a:off x="0" y="0"/>
                      <a:ext cx="10727037" cy="7582019"/>
                    </a:xfrm>
                    <a:prstGeom prst="rect">
                      <a:avLst/>
                    </a:prstGeom>
                  </pic:spPr>
                </pic:pic>
              </a:graphicData>
            </a:graphic>
            <wp14:sizeRelH relativeFrom="page">
              <wp14:pctWidth>0</wp14:pctWidth>
            </wp14:sizeRelH>
            <wp14:sizeRelV relativeFrom="page">
              <wp14:pctHeight>0</wp14:pctHeight>
            </wp14:sizeRelV>
          </wp:anchor>
        </w:drawing>
      </w:r>
      <w:r>
        <w:t>+++++++++++++++++++++++++++++++++++++++++++++++++++++++++++++++++++++++++++++++++++++++++++++++++++++++++++++++++++++++++++++++++++++++++++++++++</w:t>
      </w:r>
      <w:r w:rsidR="1D72DCBE">
        <w:t>++++++++++++++++++++++++++++++++++++++++++++++++++++++++++++++++++++++++++++++++++++++++++++++++++++++++++++++++++++++++++++++++++++++++++++++++++++++++++++++++++++++++++++++++++++++++++++++++++++++++++++++++++++++++++++++++++++++++++++++++++++++++++++++++++++++++++++++++++++++++++++++++++++++++++++++++++++++++++++++++++++++++++++++++++++++++++++++++++++++++++++++++++++++++++++++++++++++++++++++++++++++++++++++++++++++++++++++++++++++++++++++++++++++++++++++++++++++++++++++++++++++++++++++++++++++++++++++++++++++++++++++++++++++++++++++++++++++++++++++++++++++++++++++++++++++++++++++++++++++++++++++++++++++++++++++++++++++++++++++++++++++++++++++++++++++++++++++++++++++++++++++++++++++++++++++++++++++++++++++++++++++++++++++++++++++++++++++++++++++++++++++++++++++++++++++++++++++++++++++++++++++++++++++++++++++++++++++++++++++++++++++++++++++++++++++++++++++++++++++++++++++++++++++++++++++++++++++++++++++++++++++++++++++++++++++++++++++++++++++++++++++++++++++++++++++</w:t>
      </w:r>
      <w:r w:rsidR="1584770E">
        <w:t>+++++++++++++++++++++++++++++++++++++++++++++++++++++++++++++++++++++++++++++++++++++++++++++++++++++++++++++++++++++++++++++++++++++++++++++++++++++++++++++++++++++++++++++++++++++++++++++++++++++++++++++++++++++++++++++++++++++++++++++++++++++++++++++++++++++++++++++++++++++++++++++++++++++++++++++++++++++++++++++++++++++++++++++++++++++++++++++++++++++++++++++++++++++++++++++++++++++++++++++++++++++++++++++++++++++++++++++++++++++++++++++++++++++++++++++++++++++++++++++++++++++++++++++++++++++++++++++++++++++++++++++++++++++++++++++++++++++++++++++++++++++++++++++++++++++++++++++++++++++++++++++++++++++++++++++++++++++++++++++++++++++++++++++++++++++++++++++++++++++++++++++++++++++++++++++++++++++++++++++++++++++++++++++++++++++++++++++++++++++++++++++++++++++++++++++++++++++++++++++++++++++++++++++++++++++++++++++++++++++++++++++++++++++++++++++++++++++++++++++++++++++++++++++++++++++++++++++++++++++++++++++++++++++++++++++++++++++++++++++++++++++++++++++++++++++++++++++++++++++++++++++++++++++++++++++++++++++++++++++++++++++++++++++++++++++++++++++++++++++++++++++++++++++++++++++++++++++++++++++++++++++++++++++++++++++++++++++++++++++++++++++++++++++++++++++++++++++++++++++++++++++++++++++++++++++++++++++++++++++++++++++++++++++++++++++++++++++++++++++++++++++++++++++++++++++++++++++++++++++++++++++++++++++++++++++++++++++++++++++++++++++++++++++++++++++++++++++++++++++++++++++++++++++++++++++++++++++++++++++++++++++++++++++++++++++++++++++++++++++++++++++++++++++++++++++++++++++++++++++++++++++++++++++++++++++++++++++++++++++++++++++++++++++++++++++++++++++++++++++++++++++++++++++++++++++++++++++++++++++++++++++++++++++++++++++++++++++++++++++++++++++++++++++++++++++++++++++++++++++++++++++++++++++++++++++++++++++++++++++++++++++++++++++++++++++++++++++++++++++++++++++++++++++++++++</w:t>
      </w:r>
      <w:r w:rsidR="6F8D6F0D">
        <w:t>+++++++++++++++++++++++++++++++++++++++++++++++++++++++++++++++++++++++++++++++++++++++++++++++++++++++++++++++++++++++++++++++++++++++++++++++++++++++++++++++++++++++++++++++++++++++++++++++++++++++++++++++++++++++++++++++++++++++++++++++++++++++++++++++++++++++++++++++++++++++++++++++++++++++++++++++++++++++++++++++++++++++++++++++++++++++++++++++++++++++++++++++++++++++++++++++++++++++++++++++++++++++++++++++++++++++++++++++++++++++++++++++++++++++++++++++++++++++++++++++++++++++++++++++++++++++++++++++++++++++++++++++++++++++++++++++++++++++++++++++++++++++++++++++++++++++++++++++++++++++++++++++++++++++++++++++++++++++++++++++++++++++++++++++++++++++++++++++++++++++++++++++++++++++++++++++++++</w:t>
      </w:r>
    </w:p>
    <w:sdt>
      <w:sdtPr>
        <w:rPr>
          <w:rFonts w:ascii="Times New Roman" w:hAnsi="Times New Roman" w:cs="Times New Roman"/>
          <w:sz w:val="24"/>
          <w:szCs w:val="24"/>
          <w:highlight w:val="yellow"/>
        </w:rPr>
        <w:id w:val="-648594396"/>
        <w:docPartObj>
          <w:docPartGallery w:val="Table of Contents"/>
          <w:docPartUnique/>
        </w:docPartObj>
      </w:sdtPr>
      <w:sdtEndPr>
        <w:rPr>
          <w:b/>
          <w:bCs/>
          <w:noProof/>
        </w:rPr>
      </w:sdtEndPr>
      <w:sdtContent>
        <w:p w14:paraId="7735104D" w14:textId="5F81EB59" w:rsidR="00B21525" w:rsidRPr="003764E9" w:rsidRDefault="00B21525" w:rsidP="007B3213">
          <w:pPr>
            <w:tabs>
              <w:tab w:val="left" w:pos="3570"/>
            </w:tabs>
            <w:rPr>
              <w:rFonts w:ascii="Times New Roman" w:hAnsi="Times New Roman" w:cs="Times New Roman"/>
              <w:sz w:val="24"/>
              <w:szCs w:val="24"/>
              <w:highlight w:val="yellow"/>
            </w:rPr>
          </w:pPr>
        </w:p>
        <w:p w14:paraId="49BF5155" w14:textId="77777777" w:rsidR="000E0B57" w:rsidRPr="00B47C95" w:rsidRDefault="000E0B57">
          <w:pPr>
            <w:pStyle w:val="TOCHeading"/>
            <w:rPr>
              <w:rFonts w:ascii="Times New Roman" w:hAnsi="Times New Roman" w:cs="Times New Roman"/>
              <w:sz w:val="96"/>
              <w:szCs w:val="96"/>
            </w:rPr>
          </w:pPr>
          <w:r w:rsidRPr="00B47C95">
            <w:rPr>
              <w:rFonts w:ascii="Times New Roman" w:hAnsi="Times New Roman" w:cs="Times New Roman"/>
              <w:sz w:val="96"/>
              <w:szCs w:val="96"/>
            </w:rPr>
            <w:t>Contents</w:t>
          </w:r>
        </w:p>
        <w:p w14:paraId="184D6425" w14:textId="77777777" w:rsidR="00763C1E" w:rsidRDefault="000E0B57">
          <w:pPr>
            <w:pStyle w:val="TOC1"/>
            <w:rPr>
              <w:noProof/>
              <w:sz w:val="22"/>
              <w:szCs w:val="22"/>
              <w:lang w:val="en-US"/>
            </w:rPr>
          </w:pPr>
          <w:r w:rsidRPr="00F27FAE">
            <w:rPr>
              <w:rFonts w:ascii="Times New Roman" w:hAnsi="Times New Roman" w:cs="Times New Roman"/>
              <w:b/>
              <w:bCs/>
              <w:noProof/>
              <w:sz w:val="24"/>
              <w:szCs w:val="24"/>
              <w:highlight w:val="yellow"/>
            </w:rPr>
            <w:fldChar w:fldCharType="begin"/>
          </w:r>
          <w:r w:rsidRPr="00F27FAE">
            <w:rPr>
              <w:rFonts w:ascii="Times New Roman" w:hAnsi="Times New Roman" w:cs="Times New Roman"/>
              <w:b/>
              <w:bCs/>
              <w:noProof/>
              <w:sz w:val="24"/>
              <w:szCs w:val="24"/>
              <w:highlight w:val="yellow"/>
            </w:rPr>
            <w:instrText xml:space="preserve"> TOC \o "1-3" \h \z \u </w:instrText>
          </w:r>
          <w:r w:rsidRPr="00F27FAE">
            <w:rPr>
              <w:rFonts w:ascii="Times New Roman" w:hAnsi="Times New Roman" w:cs="Times New Roman"/>
              <w:b/>
              <w:bCs/>
              <w:noProof/>
              <w:sz w:val="24"/>
              <w:szCs w:val="24"/>
              <w:highlight w:val="yellow"/>
            </w:rPr>
            <w:fldChar w:fldCharType="separate"/>
          </w:r>
          <w:hyperlink w:anchor="_Toc141440537" w:history="1">
            <w:r w:rsidR="00763C1E" w:rsidRPr="00912DA5">
              <w:rPr>
                <w:rStyle w:val="Hyperlink"/>
                <w:rFonts w:ascii="Times New Roman" w:hAnsi="Times New Roman" w:cs="Times New Roman"/>
                <w:noProof/>
              </w:rPr>
              <w:t>List of Tables and Figures</w:t>
            </w:r>
            <w:r w:rsidR="00763C1E">
              <w:rPr>
                <w:noProof/>
                <w:webHidden/>
              </w:rPr>
              <w:tab/>
            </w:r>
            <w:r w:rsidR="00763C1E">
              <w:rPr>
                <w:noProof/>
                <w:webHidden/>
              </w:rPr>
              <w:fldChar w:fldCharType="begin"/>
            </w:r>
            <w:r w:rsidR="00763C1E">
              <w:rPr>
                <w:noProof/>
                <w:webHidden/>
              </w:rPr>
              <w:instrText xml:space="preserve"> PAGEREF _Toc141440537 \h </w:instrText>
            </w:r>
            <w:r w:rsidR="00763C1E">
              <w:rPr>
                <w:noProof/>
                <w:webHidden/>
              </w:rPr>
            </w:r>
            <w:r w:rsidR="00763C1E">
              <w:rPr>
                <w:noProof/>
                <w:webHidden/>
              </w:rPr>
              <w:fldChar w:fldCharType="separate"/>
            </w:r>
            <w:r w:rsidR="00763C1E">
              <w:rPr>
                <w:noProof/>
                <w:webHidden/>
              </w:rPr>
              <w:t>ii</w:t>
            </w:r>
            <w:r w:rsidR="00763C1E">
              <w:rPr>
                <w:noProof/>
                <w:webHidden/>
              </w:rPr>
              <w:fldChar w:fldCharType="end"/>
            </w:r>
          </w:hyperlink>
        </w:p>
        <w:p w14:paraId="6C078F8B" w14:textId="77777777" w:rsidR="00763C1E" w:rsidRDefault="00D35806">
          <w:pPr>
            <w:pStyle w:val="TOC1"/>
            <w:rPr>
              <w:noProof/>
              <w:sz w:val="22"/>
              <w:szCs w:val="22"/>
              <w:lang w:val="en-US"/>
            </w:rPr>
          </w:pPr>
          <w:hyperlink w:anchor="_Toc141440538" w:history="1">
            <w:r w:rsidR="00763C1E" w:rsidRPr="00912DA5">
              <w:rPr>
                <w:rStyle w:val="Hyperlink"/>
                <w:rFonts w:ascii="Times New Roman" w:hAnsi="Times New Roman" w:cs="Times New Roman"/>
                <w:noProof/>
              </w:rPr>
              <w:t>Executive Summary</w:t>
            </w:r>
            <w:r w:rsidR="00763C1E">
              <w:rPr>
                <w:noProof/>
                <w:webHidden/>
              </w:rPr>
              <w:tab/>
            </w:r>
            <w:r w:rsidR="00763C1E">
              <w:rPr>
                <w:noProof/>
                <w:webHidden/>
              </w:rPr>
              <w:fldChar w:fldCharType="begin"/>
            </w:r>
            <w:r w:rsidR="00763C1E">
              <w:rPr>
                <w:noProof/>
                <w:webHidden/>
              </w:rPr>
              <w:instrText xml:space="preserve"> PAGEREF _Toc141440538 \h </w:instrText>
            </w:r>
            <w:r w:rsidR="00763C1E">
              <w:rPr>
                <w:noProof/>
                <w:webHidden/>
              </w:rPr>
            </w:r>
            <w:r w:rsidR="00763C1E">
              <w:rPr>
                <w:noProof/>
                <w:webHidden/>
              </w:rPr>
              <w:fldChar w:fldCharType="separate"/>
            </w:r>
            <w:r w:rsidR="00763C1E">
              <w:rPr>
                <w:noProof/>
                <w:webHidden/>
              </w:rPr>
              <w:t>iii</w:t>
            </w:r>
            <w:r w:rsidR="00763C1E">
              <w:rPr>
                <w:noProof/>
                <w:webHidden/>
              </w:rPr>
              <w:fldChar w:fldCharType="end"/>
            </w:r>
          </w:hyperlink>
        </w:p>
        <w:p w14:paraId="791AB8DC" w14:textId="77777777" w:rsidR="00763C1E" w:rsidRDefault="00D35806">
          <w:pPr>
            <w:pStyle w:val="TOC1"/>
            <w:rPr>
              <w:noProof/>
              <w:sz w:val="22"/>
              <w:szCs w:val="22"/>
              <w:lang w:val="en-US"/>
            </w:rPr>
          </w:pPr>
          <w:hyperlink w:anchor="_Toc141440539" w:history="1">
            <w:r w:rsidR="00763C1E" w:rsidRPr="00912DA5">
              <w:rPr>
                <w:rStyle w:val="Hyperlink"/>
                <w:rFonts w:ascii="Times New Roman" w:hAnsi="Times New Roman" w:cs="Times New Roman"/>
                <w:noProof/>
              </w:rPr>
              <w:t>1.0 Introduction</w:t>
            </w:r>
            <w:r w:rsidR="00763C1E">
              <w:rPr>
                <w:noProof/>
                <w:webHidden/>
              </w:rPr>
              <w:tab/>
            </w:r>
            <w:r w:rsidR="00763C1E">
              <w:rPr>
                <w:noProof/>
                <w:webHidden/>
              </w:rPr>
              <w:fldChar w:fldCharType="begin"/>
            </w:r>
            <w:r w:rsidR="00763C1E">
              <w:rPr>
                <w:noProof/>
                <w:webHidden/>
              </w:rPr>
              <w:instrText xml:space="preserve"> PAGEREF _Toc141440539 \h </w:instrText>
            </w:r>
            <w:r w:rsidR="00763C1E">
              <w:rPr>
                <w:noProof/>
                <w:webHidden/>
              </w:rPr>
            </w:r>
            <w:r w:rsidR="00763C1E">
              <w:rPr>
                <w:noProof/>
                <w:webHidden/>
              </w:rPr>
              <w:fldChar w:fldCharType="separate"/>
            </w:r>
            <w:r w:rsidR="00763C1E">
              <w:rPr>
                <w:noProof/>
                <w:webHidden/>
              </w:rPr>
              <w:t>1</w:t>
            </w:r>
            <w:r w:rsidR="00763C1E">
              <w:rPr>
                <w:noProof/>
                <w:webHidden/>
              </w:rPr>
              <w:fldChar w:fldCharType="end"/>
            </w:r>
          </w:hyperlink>
        </w:p>
        <w:p w14:paraId="1132C962" w14:textId="77777777" w:rsidR="00763C1E" w:rsidRDefault="00D35806">
          <w:pPr>
            <w:pStyle w:val="TOC1"/>
            <w:rPr>
              <w:noProof/>
              <w:sz w:val="22"/>
              <w:szCs w:val="22"/>
              <w:lang w:val="en-US"/>
            </w:rPr>
          </w:pPr>
          <w:hyperlink w:anchor="_Toc141440540" w:history="1">
            <w:r w:rsidR="00763C1E" w:rsidRPr="00912DA5">
              <w:rPr>
                <w:rStyle w:val="Hyperlink"/>
                <w:rFonts w:ascii="Times New Roman" w:hAnsi="Times New Roman" w:cs="Times New Roman"/>
                <w:noProof/>
              </w:rPr>
              <w:t>2.0 Petroleum Products Supply Trends</w:t>
            </w:r>
            <w:r w:rsidR="00763C1E">
              <w:rPr>
                <w:noProof/>
                <w:webHidden/>
              </w:rPr>
              <w:tab/>
            </w:r>
            <w:r w:rsidR="00763C1E">
              <w:rPr>
                <w:noProof/>
                <w:webHidden/>
              </w:rPr>
              <w:fldChar w:fldCharType="begin"/>
            </w:r>
            <w:r w:rsidR="00763C1E">
              <w:rPr>
                <w:noProof/>
                <w:webHidden/>
              </w:rPr>
              <w:instrText xml:space="preserve"> PAGEREF _Toc141440540 \h </w:instrText>
            </w:r>
            <w:r w:rsidR="00763C1E">
              <w:rPr>
                <w:noProof/>
                <w:webHidden/>
              </w:rPr>
            </w:r>
            <w:r w:rsidR="00763C1E">
              <w:rPr>
                <w:noProof/>
                <w:webHidden/>
              </w:rPr>
              <w:fldChar w:fldCharType="separate"/>
            </w:r>
            <w:r w:rsidR="00763C1E">
              <w:rPr>
                <w:noProof/>
                <w:webHidden/>
              </w:rPr>
              <w:t>1</w:t>
            </w:r>
            <w:r w:rsidR="00763C1E">
              <w:rPr>
                <w:noProof/>
                <w:webHidden/>
              </w:rPr>
              <w:fldChar w:fldCharType="end"/>
            </w:r>
          </w:hyperlink>
        </w:p>
        <w:p w14:paraId="64647902" w14:textId="77777777" w:rsidR="00763C1E" w:rsidRDefault="00D35806">
          <w:pPr>
            <w:pStyle w:val="TOC2"/>
            <w:tabs>
              <w:tab w:val="right" w:leader="dot" w:pos="15694"/>
            </w:tabs>
            <w:rPr>
              <w:noProof/>
              <w:sz w:val="22"/>
              <w:szCs w:val="22"/>
              <w:lang w:val="en-US"/>
            </w:rPr>
          </w:pPr>
          <w:hyperlink w:anchor="_Toc141440541" w:history="1">
            <w:r w:rsidR="00763C1E" w:rsidRPr="00912DA5">
              <w:rPr>
                <w:rStyle w:val="Hyperlink"/>
                <w:rFonts w:ascii="Times New Roman" w:hAnsi="Times New Roman" w:cs="Times New Roman"/>
                <w:noProof/>
              </w:rPr>
              <w:t>2.1 Import of Petroleum Products</w:t>
            </w:r>
            <w:r w:rsidR="00763C1E">
              <w:rPr>
                <w:noProof/>
                <w:webHidden/>
              </w:rPr>
              <w:tab/>
            </w:r>
            <w:r w:rsidR="00763C1E">
              <w:rPr>
                <w:noProof/>
                <w:webHidden/>
              </w:rPr>
              <w:fldChar w:fldCharType="begin"/>
            </w:r>
            <w:r w:rsidR="00763C1E">
              <w:rPr>
                <w:noProof/>
                <w:webHidden/>
              </w:rPr>
              <w:instrText xml:space="preserve"> PAGEREF _Toc141440541 \h </w:instrText>
            </w:r>
            <w:r w:rsidR="00763C1E">
              <w:rPr>
                <w:noProof/>
                <w:webHidden/>
              </w:rPr>
            </w:r>
            <w:r w:rsidR="00763C1E">
              <w:rPr>
                <w:noProof/>
                <w:webHidden/>
              </w:rPr>
              <w:fldChar w:fldCharType="separate"/>
            </w:r>
            <w:r w:rsidR="00763C1E">
              <w:rPr>
                <w:noProof/>
                <w:webHidden/>
              </w:rPr>
              <w:t>2</w:t>
            </w:r>
            <w:r w:rsidR="00763C1E">
              <w:rPr>
                <w:noProof/>
                <w:webHidden/>
              </w:rPr>
              <w:fldChar w:fldCharType="end"/>
            </w:r>
          </w:hyperlink>
        </w:p>
        <w:p w14:paraId="7D833BB5" w14:textId="77777777" w:rsidR="00763C1E" w:rsidRDefault="00D35806">
          <w:pPr>
            <w:pStyle w:val="TOC2"/>
            <w:tabs>
              <w:tab w:val="right" w:leader="dot" w:pos="15694"/>
            </w:tabs>
            <w:rPr>
              <w:noProof/>
              <w:sz w:val="22"/>
              <w:szCs w:val="22"/>
              <w:lang w:val="en-US"/>
            </w:rPr>
          </w:pPr>
          <w:hyperlink w:anchor="_Toc141440542" w:history="1">
            <w:r w:rsidR="00763C1E" w:rsidRPr="00912DA5">
              <w:rPr>
                <w:rStyle w:val="Hyperlink"/>
                <w:rFonts w:ascii="Times New Roman" w:hAnsi="Times New Roman" w:cs="Times New Roman"/>
                <w:noProof/>
              </w:rPr>
              <w:t>2.1.1 International Suppliers Import Performance</w:t>
            </w:r>
            <w:r w:rsidR="00763C1E">
              <w:rPr>
                <w:noProof/>
                <w:webHidden/>
              </w:rPr>
              <w:tab/>
            </w:r>
            <w:r w:rsidR="00763C1E">
              <w:rPr>
                <w:noProof/>
                <w:webHidden/>
              </w:rPr>
              <w:fldChar w:fldCharType="begin"/>
            </w:r>
            <w:r w:rsidR="00763C1E">
              <w:rPr>
                <w:noProof/>
                <w:webHidden/>
              </w:rPr>
              <w:instrText xml:space="preserve"> PAGEREF _Toc141440542 \h </w:instrText>
            </w:r>
            <w:r w:rsidR="00763C1E">
              <w:rPr>
                <w:noProof/>
                <w:webHidden/>
              </w:rPr>
            </w:r>
            <w:r w:rsidR="00763C1E">
              <w:rPr>
                <w:noProof/>
                <w:webHidden/>
              </w:rPr>
              <w:fldChar w:fldCharType="separate"/>
            </w:r>
            <w:r w:rsidR="00763C1E">
              <w:rPr>
                <w:noProof/>
                <w:webHidden/>
              </w:rPr>
              <w:t>2</w:t>
            </w:r>
            <w:r w:rsidR="00763C1E">
              <w:rPr>
                <w:noProof/>
                <w:webHidden/>
              </w:rPr>
              <w:fldChar w:fldCharType="end"/>
            </w:r>
          </w:hyperlink>
        </w:p>
        <w:p w14:paraId="2E9683DE" w14:textId="77777777" w:rsidR="00763C1E" w:rsidRDefault="00D35806">
          <w:pPr>
            <w:pStyle w:val="TOC2"/>
            <w:tabs>
              <w:tab w:val="right" w:leader="dot" w:pos="15694"/>
            </w:tabs>
            <w:rPr>
              <w:noProof/>
              <w:sz w:val="22"/>
              <w:szCs w:val="22"/>
              <w:lang w:val="en-US"/>
            </w:rPr>
          </w:pPr>
          <w:hyperlink w:anchor="_Toc141440543" w:history="1">
            <w:r w:rsidR="00763C1E" w:rsidRPr="00912DA5">
              <w:rPr>
                <w:rStyle w:val="Hyperlink"/>
                <w:rFonts w:ascii="Times New Roman" w:hAnsi="Times New Roman" w:cs="Times New Roman"/>
                <w:noProof/>
              </w:rPr>
              <w:t>2.2 Local Production of Refined Petroleum Products</w:t>
            </w:r>
            <w:r w:rsidR="00763C1E">
              <w:rPr>
                <w:noProof/>
                <w:webHidden/>
              </w:rPr>
              <w:tab/>
            </w:r>
            <w:r w:rsidR="00763C1E">
              <w:rPr>
                <w:noProof/>
                <w:webHidden/>
              </w:rPr>
              <w:fldChar w:fldCharType="begin"/>
            </w:r>
            <w:r w:rsidR="00763C1E">
              <w:rPr>
                <w:noProof/>
                <w:webHidden/>
              </w:rPr>
              <w:instrText xml:space="preserve"> PAGEREF _Toc141440543 \h </w:instrText>
            </w:r>
            <w:r w:rsidR="00763C1E">
              <w:rPr>
                <w:noProof/>
                <w:webHidden/>
              </w:rPr>
            </w:r>
            <w:r w:rsidR="00763C1E">
              <w:rPr>
                <w:noProof/>
                <w:webHidden/>
              </w:rPr>
              <w:fldChar w:fldCharType="separate"/>
            </w:r>
            <w:r w:rsidR="00763C1E">
              <w:rPr>
                <w:noProof/>
                <w:webHidden/>
              </w:rPr>
              <w:t>3</w:t>
            </w:r>
            <w:r w:rsidR="00763C1E">
              <w:rPr>
                <w:noProof/>
                <w:webHidden/>
              </w:rPr>
              <w:fldChar w:fldCharType="end"/>
            </w:r>
          </w:hyperlink>
        </w:p>
        <w:p w14:paraId="5F4DB1E4" w14:textId="77777777" w:rsidR="00763C1E" w:rsidRDefault="00D35806">
          <w:pPr>
            <w:pStyle w:val="TOC2"/>
            <w:tabs>
              <w:tab w:val="right" w:leader="dot" w:pos="15694"/>
            </w:tabs>
            <w:rPr>
              <w:noProof/>
              <w:sz w:val="22"/>
              <w:szCs w:val="22"/>
              <w:lang w:val="en-US"/>
            </w:rPr>
          </w:pPr>
          <w:hyperlink w:anchor="_Toc141440544" w:history="1">
            <w:r w:rsidR="00763C1E" w:rsidRPr="00912DA5">
              <w:rPr>
                <w:rStyle w:val="Hyperlink"/>
                <w:rFonts w:ascii="Times New Roman" w:hAnsi="Times New Roman" w:cs="Times New Roman"/>
                <w:noProof/>
              </w:rPr>
              <w:t>2.3 Inventory of Refined Petroleum Products</w:t>
            </w:r>
            <w:r w:rsidR="00763C1E">
              <w:rPr>
                <w:noProof/>
                <w:webHidden/>
              </w:rPr>
              <w:tab/>
            </w:r>
            <w:r w:rsidR="00763C1E">
              <w:rPr>
                <w:noProof/>
                <w:webHidden/>
              </w:rPr>
              <w:fldChar w:fldCharType="begin"/>
            </w:r>
            <w:r w:rsidR="00763C1E">
              <w:rPr>
                <w:noProof/>
                <w:webHidden/>
              </w:rPr>
              <w:instrText xml:space="preserve"> PAGEREF _Toc141440544 \h </w:instrText>
            </w:r>
            <w:r w:rsidR="00763C1E">
              <w:rPr>
                <w:noProof/>
                <w:webHidden/>
              </w:rPr>
            </w:r>
            <w:r w:rsidR="00763C1E">
              <w:rPr>
                <w:noProof/>
                <w:webHidden/>
              </w:rPr>
              <w:fldChar w:fldCharType="separate"/>
            </w:r>
            <w:r w:rsidR="00763C1E">
              <w:rPr>
                <w:noProof/>
                <w:webHidden/>
              </w:rPr>
              <w:t>3</w:t>
            </w:r>
            <w:r w:rsidR="00763C1E">
              <w:rPr>
                <w:noProof/>
                <w:webHidden/>
              </w:rPr>
              <w:fldChar w:fldCharType="end"/>
            </w:r>
          </w:hyperlink>
        </w:p>
        <w:p w14:paraId="42AE544A" w14:textId="77777777" w:rsidR="00763C1E" w:rsidRDefault="00D35806">
          <w:pPr>
            <w:pStyle w:val="TOC1"/>
            <w:rPr>
              <w:noProof/>
              <w:sz w:val="22"/>
              <w:szCs w:val="22"/>
              <w:lang w:val="en-US"/>
            </w:rPr>
          </w:pPr>
          <w:hyperlink w:anchor="_Toc141440545" w:history="1">
            <w:r w:rsidR="00763C1E" w:rsidRPr="00912DA5">
              <w:rPr>
                <w:rStyle w:val="Hyperlink"/>
                <w:rFonts w:ascii="Times New Roman" w:hAnsi="Times New Roman" w:cs="Times New Roman"/>
                <w:noProof/>
              </w:rPr>
              <w:t>3.0 Petroleum Products Demand Trends</w:t>
            </w:r>
            <w:r w:rsidR="00763C1E">
              <w:rPr>
                <w:noProof/>
                <w:webHidden/>
              </w:rPr>
              <w:tab/>
            </w:r>
            <w:r w:rsidR="00763C1E">
              <w:rPr>
                <w:noProof/>
                <w:webHidden/>
              </w:rPr>
              <w:fldChar w:fldCharType="begin"/>
            </w:r>
            <w:r w:rsidR="00763C1E">
              <w:rPr>
                <w:noProof/>
                <w:webHidden/>
              </w:rPr>
              <w:instrText xml:space="preserve"> PAGEREF _Toc141440545 \h </w:instrText>
            </w:r>
            <w:r w:rsidR="00763C1E">
              <w:rPr>
                <w:noProof/>
                <w:webHidden/>
              </w:rPr>
            </w:r>
            <w:r w:rsidR="00763C1E">
              <w:rPr>
                <w:noProof/>
                <w:webHidden/>
              </w:rPr>
              <w:fldChar w:fldCharType="separate"/>
            </w:r>
            <w:r w:rsidR="00763C1E">
              <w:rPr>
                <w:noProof/>
                <w:webHidden/>
              </w:rPr>
              <w:t>4</w:t>
            </w:r>
            <w:r w:rsidR="00763C1E">
              <w:rPr>
                <w:noProof/>
                <w:webHidden/>
              </w:rPr>
              <w:fldChar w:fldCharType="end"/>
            </w:r>
          </w:hyperlink>
        </w:p>
        <w:p w14:paraId="34E47A44" w14:textId="77777777" w:rsidR="00763C1E" w:rsidRDefault="00D35806">
          <w:pPr>
            <w:pStyle w:val="TOC2"/>
            <w:tabs>
              <w:tab w:val="right" w:leader="dot" w:pos="15694"/>
            </w:tabs>
            <w:rPr>
              <w:noProof/>
              <w:sz w:val="22"/>
              <w:szCs w:val="22"/>
              <w:lang w:val="en-US"/>
            </w:rPr>
          </w:pPr>
          <w:hyperlink w:anchor="_Toc141440546" w:history="1">
            <w:r w:rsidR="00763C1E" w:rsidRPr="00912DA5">
              <w:rPr>
                <w:rStyle w:val="Hyperlink"/>
                <w:rFonts w:ascii="Times New Roman" w:hAnsi="Times New Roman" w:cs="Times New Roman"/>
                <w:noProof/>
              </w:rPr>
              <w:t>3.1 Domestic Demand of Refined Petroleum Products</w:t>
            </w:r>
            <w:r w:rsidR="00763C1E">
              <w:rPr>
                <w:noProof/>
                <w:webHidden/>
              </w:rPr>
              <w:tab/>
            </w:r>
            <w:r w:rsidR="00763C1E">
              <w:rPr>
                <w:noProof/>
                <w:webHidden/>
              </w:rPr>
              <w:fldChar w:fldCharType="begin"/>
            </w:r>
            <w:r w:rsidR="00763C1E">
              <w:rPr>
                <w:noProof/>
                <w:webHidden/>
              </w:rPr>
              <w:instrText xml:space="preserve"> PAGEREF _Toc141440546 \h </w:instrText>
            </w:r>
            <w:r w:rsidR="00763C1E">
              <w:rPr>
                <w:noProof/>
                <w:webHidden/>
              </w:rPr>
            </w:r>
            <w:r w:rsidR="00763C1E">
              <w:rPr>
                <w:noProof/>
                <w:webHidden/>
              </w:rPr>
              <w:fldChar w:fldCharType="separate"/>
            </w:r>
            <w:r w:rsidR="00763C1E">
              <w:rPr>
                <w:noProof/>
                <w:webHidden/>
              </w:rPr>
              <w:t>4</w:t>
            </w:r>
            <w:r w:rsidR="00763C1E">
              <w:rPr>
                <w:noProof/>
                <w:webHidden/>
              </w:rPr>
              <w:fldChar w:fldCharType="end"/>
            </w:r>
          </w:hyperlink>
        </w:p>
        <w:p w14:paraId="3C33654F" w14:textId="77777777" w:rsidR="00763C1E" w:rsidRDefault="00D35806">
          <w:pPr>
            <w:pStyle w:val="TOC2"/>
            <w:tabs>
              <w:tab w:val="right" w:leader="dot" w:pos="15694"/>
            </w:tabs>
            <w:rPr>
              <w:noProof/>
              <w:sz w:val="22"/>
              <w:szCs w:val="22"/>
              <w:lang w:val="en-US"/>
            </w:rPr>
          </w:pPr>
          <w:hyperlink w:anchor="_Toc141440547" w:history="1">
            <w:r w:rsidR="00763C1E" w:rsidRPr="00912DA5">
              <w:rPr>
                <w:rStyle w:val="Hyperlink"/>
                <w:rFonts w:ascii="Times New Roman" w:hAnsi="Times New Roman" w:cs="Times New Roman"/>
                <w:noProof/>
              </w:rPr>
              <w:t>3.1.1 Regional Demand of Petroleum Products</w:t>
            </w:r>
            <w:r w:rsidR="00763C1E">
              <w:rPr>
                <w:noProof/>
                <w:webHidden/>
              </w:rPr>
              <w:tab/>
            </w:r>
            <w:r w:rsidR="00763C1E">
              <w:rPr>
                <w:noProof/>
                <w:webHidden/>
              </w:rPr>
              <w:fldChar w:fldCharType="begin"/>
            </w:r>
            <w:r w:rsidR="00763C1E">
              <w:rPr>
                <w:noProof/>
                <w:webHidden/>
              </w:rPr>
              <w:instrText xml:space="preserve"> PAGEREF _Toc141440547 \h </w:instrText>
            </w:r>
            <w:r w:rsidR="00763C1E">
              <w:rPr>
                <w:noProof/>
                <w:webHidden/>
              </w:rPr>
            </w:r>
            <w:r w:rsidR="00763C1E">
              <w:rPr>
                <w:noProof/>
                <w:webHidden/>
              </w:rPr>
              <w:fldChar w:fldCharType="separate"/>
            </w:r>
            <w:r w:rsidR="00763C1E">
              <w:rPr>
                <w:noProof/>
                <w:webHidden/>
              </w:rPr>
              <w:t>5</w:t>
            </w:r>
            <w:r w:rsidR="00763C1E">
              <w:rPr>
                <w:noProof/>
                <w:webHidden/>
              </w:rPr>
              <w:fldChar w:fldCharType="end"/>
            </w:r>
          </w:hyperlink>
        </w:p>
        <w:p w14:paraId="1AC2630A" w14:textId="77777777" w:rsidR="00763C1E" w:rsidRDefault="00D35806">
          <w:pPr>
            <w:pStyle w:val="TOC1"/>
            <w:rPr>
              <w:noProof/>
              <w:sz w:val="22"/>
              <w:szCs w:val="22"/>
              <w:lang w:val="en-US"/>
            </w:rPr>
          </w:pPr>
          <w:hyperlink w:anchor="_Toc141440548" w:history="1">
            <w:r w:rsidR="00763C1E" w:rsidRPr="00912DA5">
              <w:rPr>
                <w:rStyle w:val="Hyperlink"/>
                <w:rFonts w:eastAsiaTheme="majorEastAsia"/>
                <w:noProof/>
              </w:rPr>
              <w:t>3.2 Export of Refined Petroleum Products</w:t>
            </w:r>
            <w:r w:rsidR="00763C1E">
              <w:rPr>
                <w:noProof/>
                <w:webHidden/>
              </w:rPr>
              <w:tab/>
            </w:r>
            <w:r w:rsidR="00763C1E">
              <w:rPr>
                <w:noProof/>
                <w:webHidden/>
              </w:rPr>
              <w:fldChar w:fldCharType="begin"/>
            </w:r>
            <w:r w:rsidR="00763C1E">
              <w:rPr>
                <w:noProof/>
                <w:webHidden/>
              </w:rPr>
              <w:instrText xml:space="preserve"> PAGEREF _Toc141440548 \h </w:instrText>
            </w:r>
            <w:r w:rsidR="00763C1E">
              <w:rPr>
                <w:noProof/>
                <w:webHidden/>
              </w:rPr>
            </w:r>
            <w:r w:rsidR="00763C1E">
              <w:rPr>
                <w:noProof/>
                <w:webHidden/>
              </w:rPr>
              <w:fldChar w:fldCharType="separate"/>
            </w:r>
            <w:r w:rsidR="00763C1E">
              <w:rPr>
                <w:noProof/>
                <w:webHidden/>
              </w:rPr>
              <w:t>5</w:t>
            </w:r>
            <w:r w:rsidR="00763C1E">
              <w:rPr>
                <w:noProof/>
                <w:webHidden/>
              </w:rPr>
              <w:fldChar w:fldCharType="end"/>
            </w:r>
          </w:hyperlink>
        </w:p>
        <w:p w14:paraId="2E5E3A38" w14:textId="77777777" w:rsidR="00763C1E" w:rsidRDefault="00D35806">
          <w:pPr>
            <w:pStyle w:val="TOC1"/>
            <w:rPr>
              <w:noProof/>
              <w:sz w:val="22"/>
              <w:szCs w:val="22"/>
              <w:lang w:val="en-US"/>
            </w:rPr>
          </w:pPr>
          <w:hyperlink w:anchor="_Toc141440549" w:history="1">
            <w:r w:rsidR="00763C1E" w:rsidRPr="00912DA5">
              <w:rPr>
                <w:rStyle w:val="Hyperlink"/>
                <w:rFonts w:ascii="Times New Roman" w:hAnsi="Times New Roman" w:cs="Times New Roman"/>
                <w:noProof/>
              </w:rPr>
              <w:t>4.0 Performance of Petroleum Service Providers</w:t>
            </w:r>
            <w:r w:rsidR="00763C1E">
              <w:rPr>
                <w:noProof/>
                <w:webHidden/>
              </w:rPr>
              <w:tab/>
            </w:r>
            <w:r w:rsidR="00763C1E">
              <w:rPr>
                <w:noProof/>
                <w:webHidden/>
              </w:rPr>
              <w:fldChar w:fldCharType="begin"/>
            </w:r>
            <w:r w:rsidR="00763C1E">
              <w:rPr>
                <w:noProof/>
                <w:webHidden/>
              </w:rPr>
              <w:instrText xml:space="preserve"> PAGEREF _Toc141440549 \h </w:instrText>
            </w:r>
            <w:r w:rsidR="00763C1E">
              <w:rPr>
                <w:noProof/>
                <w:webHidden/>
              </w:rPr>
            </w:r>
            <w:r w:rsidR="00763C1E">
              <w:rPr>
                <w:noProof/>
                <w:webHidden/>
              </w:rPr>
              <w:fldChar w:fldCharType="separate"/>
            </w:r>
            <w:r w:rsidR="00763C1E">
              <w:rPr>
                <w:noProof/>
                <w:webHidden/>
              </w:rPr>
              <w:t>6</w:t>
            </w:r>
            <w:r w:rsidR="00763C1E">
              <w:rPr>
                <w:noProof/>
                <w:webHidden/>
              </w:rPr>
              <w:fldChar w:fldCharType="end"/>
            </w:r>
          </w:hyperlink>
        </w:p>
        <w:p w14:paraId="6FEC4A09" w14:textId="77777777" w:rsidR="00763C1E" w:rsidRDefault="00D35806">
          <w:pPr>
            <w:pStyle w:val="TOC2"/>
            <w:tabs>
              <w:tab w:val="right" w:leader="dot" w:pos="15694"/>
            </w:tabs>
            <w:rPr>
              <w:noProof/>
              <w:sz w:val="22"/>
              <w:szCs w:val="22"/>
              <w:lang w:val="en-US"/>
            </w:rPr>
          </w:pPr>
          <w:hyperlink w:anchor="_Toc141440550" w:history="1">
            <w:r w:rsidR="00763C1E" w:rsidRPr="00912DA5">
              <w:rPr>
                <w:rStyle w:val="Hyperlink"/>
                <w:rFonts w:ascii="Times New Roman" w:hAnsi="Times New Roman" w:cs="Times New Roman"/>
                <w:noProof/>
              </w:rPr>
              <w:t>4.1 BIDEC Market Performance</w:t>
            </w:r>
            <w:r w:rsidR="00763C1E">
              <w:rPr>
                <w:noProof/>
                <w:webHidden/>
              </w:rPr>
              <w:tab/>
            </w:r>
            <w:r w:rsidR="00763C1E">
              <w:rPr>
                <w:noProof/>
                <w:webHidden/>
              </w:rPr>
              <w:fldChar w:fldCharType="begin"/>
            </w:r>
            <w:r w:rsidR="00763C1E">
              <w:rPr>
                <w:noProof/>
                <w:webHidden/>
              </w:rPr>
              <w:instrText xml:space="preserve"> PAGEREF _Toc141440550 \h </w:instrText>
            </w:r>
            <w:r w:rsidR="00763C1E">
              <w:rPr>
                <w:noProof/>
                <w:webHidden/>
              </w:rPr>
            </w:r>
            <w:r w:rsidR="00763C1E">
              <w:rPr>
                <w:noProof/>
                <w:webHidden/>
              </w:rPr>
              <w:fldChar w:fldCharType="separate"/>
            </w:r>
            <w:r w:rsidR="00763C1E">
              <w:rPr>
                <w:noProof/>
                <w:webHidden/>
              </w:rPr>
              <w:t>6</w:t>
            </w:r>
            <w:r w:rsidR="00763C1E">
              <w:rPr>
                <w:noProof/>
                <w:webHidden/>
              </w:rPr>
              <w:fldChar w:fldCharType="end"/>
            </w:r>
          </w:hyperlink>
        </w:p>
        <w:p w14:paraId="56E1375A" w14:textId="77777777" w:rsidR="00763C1E" w:rsidRDefault="00D35806">
          <w:pPr>
            <w:pStyle w:val="TOC2"/>
            <w:tabs>
              <w:tab w:val="right" w:leader="dot" w:pos="15694"/>
            </w:tabs>
            <w:rPr>
              <w:noProof/>
              <w:sz w:val="22"/>
              <w:szCs w:val="22"/>
              <w:lang w:val="en-US"/>
            </w:rPr>
          </w:pPr>
          <w:hyperlink w:anchor="_Toc141440551" w:history="1">
            <w:r w:rsidR="00763C1E" w:rsidRPr="00912DA5">
              <w:rPr>
                <w:rStyle w:val="Hyperlink"/>
                <w:rFonts w:ascii="Times New Roman" w:hAnsi="Times New Roman" w:cs="Times New Roman"/>
                <w:noProof/>
              </w:rPr>
              <w:t>4.1.1 BIDECs Market Competition</w:t>
            </w:r>
            <w:r w:rsidR="00763C1E">
              <w:rPr>
                <w:noProof/>
                <w:webHidden/>
              </w:rPr>
              <w:tab/>
            </w:r>
            <w:r w:rsidR="00763C1E">
              <w:rPr>
                <w:noProof/>
                <w:webHidden/>
              </w:rPr>
              <w:fldChar w:fldCharType="begin"/>
            </w:r>
            <w:r w:rsidR="00763C1E">
              <w:rPr>
                <w:noProof/>
                <w:webHidden/>
              </w:rPr>
              <w:instrText xml:space="preserve"> PAGEREF _Toc141440551 \h </w:instrText>
            </w:r>
            <w:r w:rsidR="00763C1E">
              <w:rPr>
                <w:noProof/>
                <w:webHidden/>
              </w:rPr>
            </w:r>
            <w:r w:rsidR="00763C1E">
              <w:rPr>
                <w:noProof/>
                <w:webHidden/>
              </w:rPr>
              <w:fldChar w:fldCharType="separate"/>
            </w:r>
            <w:r w:rsidR="00763C1E">
              <w:rPr>
                <w:noProof/>
                <w:webHidden/>
              </w:rPr>
              <w:t>7</w:t>
            </w:r>
            <w:r w:rsidR="00763C1E">
              <w:rPr>
                <w:noProof/>
                <w:webHidden/>
              </w:rPr>
              <w:fldChar w:fldCharType="end"/>
            </w:r>
          </w:hyperlink>
        </w:p>
        <w:p w14:paraId="191549BF" w14:textId="77777777" w:rsidR="00763C1E" w:rsidRDefault="00D35806">
          <w:pPr>
            <w:pStyle w:val="TOC2"/>
            <w:tabs>
              <w:tab w:val="right" w:leader="dot" w:pos="15694"/>
            </w:tabs>
            <w:rPr>
              <w:noProof/>
              <w:sz w:val="22"/>
              <w:szCs w:val="22"/>
              <w:lang w:val="en-US"/>
            </w:rPr>
          </w:pPr>
          <w:hyperlink w:anchor="_Toc141440552" w:history="1">
            <w:r w:rsidR="00763C1E" w:rsidRPr="00912DA5">
              <w:rPr>
                <w:rStyle w:val="Hyperlink"/>
                <w:rFonts w:ascii="Times New Roman" w:hAnsi="Times New Roman" w:cs="Times New Roman"/>
                <w:noProof/>
              </w:rPr>
              <w:t>4.2 OMC/LPGMC Market Performance</w:t>
            </w:r>
            <w:r w:rsidR="00763C1E">
              <w:rPr>
                <w:noProof/>
                <w:webHidden/>
              </w:rPr>
              <w:tab/>
            </w:r>
            <w:r w:rsidR="00763C1E">
              <w:rPr>
                <w:noProof/>
                <w:webHidden/>
              </w:rPr>
              <w:fldChar w:fldCharType="begin"/>
            </w:r>
            <w:r w:rsidR="00763C1E">
              <w:rPr>
                <w:noProof/>
                <w:webHidden/>
              </w:rPr>
              <w:instrText xml:space="preserve"> PAGEREF _Toc141440552 \h </w:instrText>
            </w:r>
            <w:r w:rsidR="00763C1E">
              <w:rPr>
                <w:noProof/>
                <w:webHidden/>
              </w:rPr>
            </w:r>
            <w:r w:rsidR="00763C1E">
              <w:rPr>
                <w:noProof/>
                <w:webHidden/>
              </w:rPr>
              <w:fldChar w:fldCharType="separate"/>
            </w:r>
            <w:r w:rsidR="00763C1E">
              <w:rPr>
                <w:noProof/>
                <w:webHidden/>
              </w:rPr>
              <w:t>7</w:t>
            </w:r>
            <w:r w:rsidR="00763C1E">
              <w:rPr>
                <w:noProof/>
                <w:webHidden/>
              </w:rPr>
              <w:fldChar w:fldCharType="end"/>
            </w:r>
          </w:hyperlink>
        </w:p>
        <w:p w14:paraId="60BAD3E4" w14:textId="77777777" w:rsidR="00763C1E" w:rsidRDefault="00D35806">
          <w:pPr>
            <w:pStyle w:val="TOC2"/>
            <w:tabs>
              <w:tab w:val="right" w:leader="dot" w:pos="15694"/>
            </w:tabs>
            <w:rPr>
              <w:noProof/>
              <w:sz w:val="22"/>
              <w:szCs w:val="22"/>
              <w:lang w:val="en-US"/>
            </w:rPr>
          </w:pPr>
          <w:hyperlink w:anchor="_Toc141440553" w:history="1">
            <w:r w:rsidR="00763C1E" w:rsidRPr="00912DA5">
              <w:rPr>
                <w:rStyle w:val="Hyperlink"/>
                <w:rFonts w:ascii="Times New Roman" w:hAnsi="Times New Roman" w:cs="Times New Roman"/>
                <w:noProof/>
              </w:rPr>
              <w:t>4.2.1 OMC/LPGMC Market Competition</w:t>
            </w:r>
            <w:r w:rsidR="00763C1E">
              <w:rPr>
                <w:noProof/>
                <w:webHidden/>
              </w:rPr>
              <w:tab/>
            </w:r>
            <w:r w:rsidR="00763C1E">
              <w:rPr>
                <w:noProof/>
                <w:webHidden/>
              </w:rPr>
              <w:fldChar w:fldCharType="begin"/>
            </w:r>
            <w:r w:rsidR="00763C1E">
              <w:rPr>
                <w:noProof/>
                <w:webHidden/>
              </w:rPr>
              <w:instrText xml:space="preserve"> PAGEREF _Toc141440553 \h </w:instrText>
            </w:r>
            <w:r w:rsidR="00763C1E">
              <w:rPr>
                <w:noProof/>
                <w:webHidden/>
              </w:rPr>
            </w:r>
            <w:r w:rsidR="00763C1E">
              <w:rPr>
                <w:noProof/>
                <w:webHidden/>
              </w:rPr>
              <w:fldChar w:fldCharType="separate"/>
            </w:r>
            <w:r w:rsidR="00763C1E">
              <w:rPr>
                <w:noProof/>
                <w:webHidden/>
              </w:rPr>
              <w:t>8</w:t>
            </w:r>
            <w:r w:rsidR="00763C1E">
              <w:rPr>
                <w:noProof/>
                <w:webHidden/>
              </w:rPr>
              <w:fldChar w:fldCharType="end"/>
            </w:r>
          </w:hyperlink>
        </w:p>
        <w:p w14:paraId="7A5FB1CF" w14:textId="77777777" w:rsidR="00763C1E" w:rsidRDefault="00D35806">
          <w:pPr>
            <w:pStyle w:val="TOC2"/>
            <w:tabs>
              <w:tab w:val="right" w:leader="dot" w:pos="15694"/>
            </w:tabs>
            <w:rPr>
              <w:noProof/>
              <w:sz w:val="22"/>
              <w:szCs w:val="22"/>
              <w:lang w:val="en-US"/>
            </w:rPr>
          </w:pPr>
          <w:hyperlink w:anchor="_Toc141440554" w:history="1">
            <w:r w:rsidR="00763C1E" w:rsidRPr="00912DA5">
              <w:rPr>
                <w:rStyle w:val="Hyperlink"/>
                <w:rFonts w:ascii="Times New Roman" w:hAnsi="Times New Roman" w:cs="Times New Roman"/>
                <w:noProof/>
              </w:rPr>
              <w:t>4.3 Storage Depot Market Performance</w:t>
            </w:r>
            <w:r w:rsidR="00763C1E">
              <w:rPr>
                <w:noProof/>
                <w:webHidden/>
              </w:rPr>
              <w:tab/>
            </w:r>
            <w:r w:rsidR="00763C1E">
              <w:rPr>
                <w:noProof/>
                <w:webHidden/>
              </w:rPr>
              <w:fldChar w:fldCharType="begin"/>
            </w:r>
            <w:r w:rsidR="00763C1E">
              <w:rPr>
                <w:noProof/>
                <w:webHidden/>
              </w:rPr>
              <w:instrText xml:space="preserve"> PAGEREF _Toc141440554 \h </w:instrText>
            </w:r>
            <w:r w:rsidR="00763C1E">
              <w:rPr>
                <w:noProof/>
                <w:webHidden/>
              </w:rPr>
            </w:r>
            <w:r w:rsidR="00763C1E">
              <w:rPr>
                <w:noProof/>
                <w:webHidden/>
              </w:rPr>
              <w:fldChar w:fldCharType="separate"/>
            </w:r>
            <w:r w:rsidR="00763C1E">
              <w:rPr>
                <w:noProof/>
                <w:webHidden/>
              </w:rPr>
              <w:t>8</w:t>
            </w:r>
            <w:r w:rsidR="00763C1E">
              <w:rPr>
                <w:noProof/>
                <w:webHidden/>
              </w:rPr>
              <w:fldChar w:fldCharType="end"/>
            </w:r>
          </w:hyperlink>
        </w:p>
        <w:p w14:paraId="12FE9499" w14:textId="14B9C229" w:rsidR="00FA1637" w:rsidRDefault="00D35806" w:rsidP="00B47C95">
          <w:pPr>
            <w:pStyle w:val="TOC2"/>
            <w:tabs>
              <w:tab w:val="right" w:leader="dot" w:pos="15694"/>
            </w:tabs>
            <w:rPr>
              <w:rStyle w:val="Hyperlink"/>
              <w:noProof/>
            </w:rPr>
          </w:pPr>
          <w:hyperlink w:anchor="_Toc141440555" w:history="1">
            <w:r w:rsidR="00763C1E" w:rsidRPr="00912DA5">
              <w:rPr>
                <w:rStyle w:val="Hyperlink"/>
                <w:rFonts w:ascii="Times New Roman" w:hAnsi="Times New Roman" w:cs="Times New Roman"/>
                <w:noProof/>
              </w:rPr>
              <w:t>4.3.1 Storage Depot Utilization Rate</w:t>
            </w:r>
            <w:r w:rsidR="00763C1E">
              <w:rPr>
                <w:noProof/>
                <w:webHidden/>
              </w:rPr>
              <w:tab/>
            </w:r>
            <w:r w:rsidR="00763C1E">
              <w:rPr>
                <w:noProof/>
                <w:webHidden/>
              </w:rPr>
              <w:fldChar w:fldCharType="begin"/>
            </w:r>
            <w:r w:rsidR="00763C1E">
              <w:rPr>
                <w:noProof/>
                <w:webHidden/>
              </w:rPr>
              <w:instrText xml:space="preserve"> PAGEREF _Toc141440555 \h </w:instrText>
            </w:r>
            <w:r w:rsidR="00763C1E">
              <w:rPr>
                <w:noProof/>
                <w:webHidden/>
              </w:rPr>
            </w:r>
            <w:r w:rsidR="00763C1E">
              <w:rPr>
                <w:noProof/>
                <w:webHidden/>
              </w:rPr>
              <w:fldChar w:fldCharType="separate"/>
            </w:r>
            <w:r w:rsidR="00763C1E">
              <w:rPr>
                <w:noProof/>
                <w:webHidden/>
              </w:rPr>
              <w:t>9</w:t>
            </w:r>
            <w:r w:rsidR="00763C1E">
              <w:rPr>
                <w:noProof/>
                <w:webHidden/>
              </w:rPr>
              <w:fldChar w:fldCharType="end"/>
            </w:r>
          </w:hyperlink>
        </w:p>
        <w:p w14:paraId="4AD2802B" w14:textId="77777777" w:rsidR="00763C1E" w:rsidRDefault="00D35806">
          <w:pPr>
            <w:pStyle w:val="TOC2"/>
            <w:tabs>
              <w:tab w:val="right" w:leader="dot" w:pos="15694"/>
            </w:tabs>
            <w:rPr>
              <w:noProof/>
              <w:sz w:val="22"/>
              <w:szCs w:val="22"/>
              <w:lang w:val="en-US"/>
            </w:rPr>
          </w:pPr>
          <w:hyperlink w:anchor="_Toc141440556" w:history="1">
            <w:r w:rsidR="00763C1E" w:rsidRPr="00912DA5">
              <w:rPr>
                <w:rStyle w:val="Hyperlink"/>
                <w:rFonts w:ascii="Times New Roman" w:hAnsi="Times New Roman" w:cs="Times New Roman"/>
                <w:noProof/>
              </w:rPr>
              <w:t>4.4 Discharge Facilities Market Performance</w:t>
            </w:r>
            <w:r w:rsidR="00763C1E">
              <w:rPr>
                <w:noProof/>
                <w:webHidden/>
              </w:rPr>
              <w:tab/>
            </w:r>
            <w:r w:rsidR="00763C1E">
              <w:rPr>
                <w:noProof/>
                <w:webHidden/>
              </w:rPr>
              <w:fldChar w:fldCharType="begin"/>
            </w:r>
            <w:r w:rsidR="00763C1E">
              <w:rPr>
                <w:noProof/>
                <w:webHidden/>
              </w:rPr>
              <w:instrText xml:space="preserve"> PAGEREF _Toc141440556 \h </w:instrText>
            </w:r>
            <w:r w:rsidR="00763C1E">
              <w:rPr>
                <w:noProof/>
                <w:webHidden/>
              </w:rPr>
            </w:r>
            <w:r w:rsidR="00763C1E">
              <w:rPr>
                <w:noProof/>
                <w:webHidden/>
              </w:rPr>
              <w:fldChar w:fldCharType="separate"/>
            </w:r>
            <w:r w:rsidR="00763C1E">
              <w:rPr>
                <w:noProof/>
                <w:webHidden/>
              </w:rPr>
              <w:t>10</w:t>
            </w:r>
            <w:r w:rsidR="00763C1E">
              <w:rPr>
                <w:noProof/>
                <w:webHidden/>
              </w:rPr>
              <w:fldChar w:fldCharType="end"/>
            </w:r>
          </w:hyperlink>
        </w:p>
        <w:p w14:paraId="09AA6563" w14:textId="4B975E04" w:rsidR="009E7368" w:rsidRPr="00B47C95" w:rsidRDefault="00D35806" w:rsidP="00B47C95">
          <w:pPr>
            <w:pStyle w:val="TOC1"/>
            <w:rPr>
              <w:noProof/>
              <w:color w:val="F49100" w:themeColor="hyperlink"/>
              <w:u w:val="single"/>
            </w:rPr>
          </w:pPr>
          <w:hyperlink w:anchor="_Toc141440557" w:history="1">
            <w:r w:rsidR="00763C1E" w:rsidRPr="00912DA5">
              <w:rPr>
                <w:rStyle w:val="Hyperlink"/>
                <w:rFonts w:ascii="Times New Roman" w:hAnsi="Times New Roman" w:cs="Times New Roman"/>
                <w:noProof/>
              </w:rPr>
              <w:t>5.0 Petroleum Products Pricing</w:t>
            </w:r>
            <w:r w:rsidR="00763C1E">
              <w:rPr>
                <w:noProof/>
                <w:webHidden/>
              </w:rPr>
              <w:tab/>
            </w:r>
            <w:r w:rsidR="00763C1E">
              <w:rPr>
                <w:noProof/>
                <w:webHidden/>
              </w:rPr>
              <w:fldChar w:fldCharType="begin"/>
            </w:r>
            <w:r w:rsidR="00763C1E">
              <w:rPr>
                <w:noProof/>
                <w:webHidden/>
              </w:rPr>
              <w:instrText xml:space="preserve"> PAGEREF _Toc141440557 \h </w:instrText>
            </w:r>
            <w:r w:rsidR="00763C1E">
              <w:rPr>
                <w:noProof/>
                <w:webHidden/>
              </w:rPr>
            </w:r>
            <w:r w:rsidR="00763C1E">
              <w:rPr>
                <w:noProof/>
                <w:webHidden/>
              </w:rPr>
              <w:fldChar w:fldCharType="separate"/>
            </w:r>
            <w:r w:rsidR="00763C1E">
              <w:rPr>
                <w:noProof/>
                <w:webHidden/>
              </w:rPr>
              <w:t>10</w:t>
            </w:r>
            <w:r w:rsidR="00763C1E">
              <w:rPr>
                <w:noProof/>
                <w:webHidden/>
              </w:rPr>
              <w:fldChar w:fldCharType="end"/>
            </w:r>
          </w:hyperlink>
        </w:p>
        <w:p w14:paraId="78E63E8F" w14:textId="77777777" w:rsidR="00763C1E" w:rsidRDefault="00D35806">
          <w:pPr>
            <w:pStyle w:val="TOC2"/>
            <w:tabs>
              <w:tab w:val="right" w:leader="dot" w:pos="15694"/>
            </w:tabs>
            <w:rPr>
              <w:noProof/>
              <w:sz w:val="22"/>
              <w:szCs w:val="22"/>
              <w:lang w:val="en-US"/>
            </w:rPr>
          </w:pPr>
          <w:hyperlink w:anchor="_Toc141440558" w:history="1">
            <w:r w:rsidR="00763C1E" w:rsidRPr="00912DA5">
              <w:rPr>
                <w:rStyle w:val="Hyperlink"/>
                <w:rFonts w:ascii="Times New Roman" w:hAnsi="Times New Roman" w:cs="Times New Roman"/>
                <w:noProof/>
              </w:rPr>
              <w:t>5.1 FOB Prices of Crude Oil</w:t>
            </w:r>
            <w:r w:rsidR="00763C1E">
              <w:rPr>
                <w:noProof/>
                <w:webHidden/>
              </w:rPr>
              <w:tab/>
            </w:r>
            <w:r w:rsidR="00763C1E">
              <w:rPr>
                <w:noProof/>
                <w:webHidden/>
              </w:rPr>
              <w:fldChar w:fldCharType="begin"/>
            </w:r>
            <w:r w:rsidR="00763C1E">
              <w:rPr>
                <w:noProof/>
                <w:webHidden/>
              </w:rPr>
              <w:instrText xml:space="preserve"> PAGEREF _Toc141440558 \h </w:instrText>
            </w:r>
            <w:r w:rsidR="00763C1E">
              <w:rPr>
                <w:noProof/>
                <w:webHidden/>
              </w:rPr>
            </w:r>
            <w:r w:rsidR="00763C1E">
              <w:rPr>
                <w:noProof/>
                <w:webHidden/>
              </w:rPr>
              <w:fldChar w:fldCharType="separate"/>
            </w:r>
            <w:r w:rsidR="00763C1E">
              <w:rPr>
                <w:noProof/>
                <w:webHidden/>
              </w:rPr>
              <w:t>10</w:t>
            </w:r>
            <w:r w:rsidR="00763C1E">
              <w:rPr>
                <w:noProof/>
                <w:webHidden/>
              </w:rPr>
              <w:fldChar w:fldCharType="end"/>
            </w:r>
          </w:hyperlink>
        </w:p>
        <w:p w14:paraId="33FAE4A4" w14:textId="77777777" w:rsidR="00763C1E" w:rsidRDefault="00D35806">
          <w:pPr>
            <w:pStyle w:val="TOC2"/>
            <w:tabs>
              <w:tab w:val="right" w:leader="dot" w:pos="15694"/>
            </w:tabs>
            <w:rPr>
              <w:noProof/>
              <w:sz w:val="22"/>
              <w:szCs w:val="22"/>
              <w:lang w:val="en-US"/>
            </w:rPr>
          </w:pPr>
          <w:hyperlink w:anchor="_Toc141440559" w:history="1">
            <w:r w:rsidR="00763C1E" w:rsidRPr="00912DA5">
              <w:rPr>
                <w:rStyle w:val="Hyperlink"/>
                <w:rFonts w:ascii="Times New Roman" w:hAnsi="Times New Roman" w:cs="Times New Roman"/>
                <w:noProof/>
              </w:rPr>
              <w:t>5.2 FOB Prices of Petroleum Products</w:t>
            </w:r>
            <w:r w:rsidR="00763C1E">
              <w:rPr>
                <w:noProof/>
                <w:webHidden/>
              </w:rPr>
              <w:tab/>
            </w:r>
            <w:r w:rsidR="00763C1E">
              <w:rPr>
                <w:noProof/>
                <w:webHidden/>
              </w:rPr>
              <w:fldChar w:fldCharType="begin"/>
            </w:r>
            <w:r w:rsidR="00763C1E">
              <w:rPr>
                <w:noProof/>
                <w:webHidden/>
              </w:rPr>
              <w:instrText xml:space="preserve"> PAGEREF _Toc141440559 \h </w:instrText>
            </w:r>
            <w:r w:rsidR="00763C1E">
              <w:rPr>
                <w:noProof/>
                <w:webHidden/>
              </w:rPr>
            </w:r>
            <w:r w:rsidR="00763C1E">
              <w:rPr>
                <w:noProof/>
                <w:webHidden/>
              </w:rPr>
              <w:fldChar w:fldCharType="separate"/>
            </w:r>
            <w:r w:rsidR="00763C1E">
              <w:rPr>
                <w:noProof/>
                <w:webHidden/>
              </w:rPr>
              <w:t>11</w:t>
            </w:r>
            <w:r w:rsidR="00763C1E">
              <w:rPr>
                <w:noProof/>
                <w:webHidden/>
              </w:rPr>
              <w:fldChar w:fldCharType="end"/>
            </w:r>
          </w:hyperlink>
        </w:p>
        <w:p w14:paraId="3B22489C" w14:textId="77777777" w:rsidR="00763C1E" w:rsidRDefault="00D35806">
          <w:pPr>
            <w:pStyle w:val="TOC2"/>
            <w:tabs>
              <w:tab w:val="right" w:leader="dot" w:pos="15694"/>
            </w:tabs>
            <w:rPr>
              <w:noProof/>
              <w:sz w:val="22"/>
              <w:szCs w:val="22"/>
              <w:lang w:val="en-US"/>
            </w:rPr>
          </w:pPr>
          <w:hyperlink w:anchor="_Toc141440560" w:history="1">
            <w:r w:rsidR="00763C1E" w:rsidRPr="00912DA5">
              <w:rPr>
                <w:rStyle w:val="Hyperlink"/>
                <w:rFonts w:ascii="Times New Roman" w:hAnsi="Times New Roman" w:cs="Times New Roman"/>
                <w:noProof/>
              </w:rPr>
              <w:t>5.3 Ex- Refinery Prices</w:t>
            </w:r>
            <w:r w:rsidR="00763C1E">
              <w:rPr>
                <w:noProof/>
                <w:webHidden/>
              </w:rPr>
              <w:tab/>
            </w:r>
            <w:r w:rsidR="00763C1E">
              <w:rPr>
                <w:noProof/>
                <w:webHidden/>
              </w:rPr>
              <w:fldChar w:fldCharType="begin"/>
            </w:r>
            <w:r w:rsidR="00763C1E">
              <w:rPr>
                <w:noProof/>
                <w:webHidden/>
              </w:rPr>
              <w:instrText xml:space="preserve"> PAGEREF _Toc141440560 \h </w:instrText>
            </w:r>
            <w:r w:rsidR="00763C1E">
              <w:rPr>
                <w:noProof/>
                <w:webHidden/>
              </w:rPr>
            </w:r>
            <w:r w:rsidR="00763C1E">
              <w:rPr>
                <w:noProof/>
                <w:webHidden/>
              </w:rPr>
              <w:fldChar w:fldCharType="separate"/>
            </w:r>
            <w:r w:rsidR="00763C1E">
              <w:rPr>
                <w:noProof/>
                <w:webHidden/>
              </w:rPr>
              <w:t>11</w:t>
            </w:r>
            <w:r w:rsidR="00763C1E">
              <w:rPr>
                <w:noProof/>
                <w:webHidden/>
              </w:rPr>
              <w:fldChar w:fldCharType="end"/>
            </w:r>
          </w:hyperlink>
        </w:p>
        <w:p w14:paraId="2D486B21" w14:textId="77777777" w:rsidR="00763C1E" w:rsidRDefault="00D35806">
          <w:pPr>
            <w:pStyle w:val="TOC2"/>
            <w:tabs>
              <w:tab w:val="right" w:leader="dot" w:pos="15694"/>
            </w:tabs>
            <w:rPr>
              <w:noProof/>
              <w:sz w:val="22"/>
              <w:szCs w:val="22"/>
              <w:lang w:val="en-US"/>
            </w:rPr>
          </w:pPr>
          <w:hyperlink w:anchor="_Toc141440561" w:history="1">
            <w:r w:rsidR="00763C1E" w:rsidRPr="00912DA5">
              <w:rPr>
                <w:rStyle w:val="Hyperlink"/>
                <w:rFonts w:ascii="Times New Roman" w:hAnsi="Times New Roman" w:cs="Times New Roman"/>
                <w:noProof/>
              </w:rPr>
              <w:t>5.4 Ex- Pump Prices of Refined Petroleum Products</w:t>
            </w:r>
            <w:r w:rsidR="00763C1E">
              <w:rPr>
                <w:noProof/>
                <w:webHidden/>
              </w:rPr>
              <w:tab/>
            </w:r>
            <w:r w:rsidR="00763C1E">
              <w:rPr>
                <w:noProof/>
                <w:webHidden/>
              </w:rPr>
              <w:fldChar w:fldCharType="begin"/>
            </w:r>
            <w:r w:rsidR="00763C1E">
              <w:rPr>
                <w:noProof/>
                <w:webHidden/>
              </w:rPr>
              <w:instrText xml:space="preserve"> PAGEREF _Toc141440561 \h </w:instrText>
            </w:r>
            <w:r w:rsidR="00763C1E">
              <w:rPr>
                <w:noProof/>
                <w:webHidden/>
              </w:rPr>
            </w:r>
            <w:r w:rsidR="00763C1E">
              <w:rPr>
                <w:noProof/>
                <w:webHidden/>
              </w:rPr>
              <w:fldChar w:fldCharType="separate"/>
            </w:r>
            <w:r w:rsidR="00763C1E">
              <w:rPr>
                <w:noProof/>
                <w:webHidden/>
              </w:rPr>
              <w:t>11</w:t>
            </w:r>
            <w:r w:rsidR="00763C1E">
              <w:rPr>
                <w:noProof/>
                <w:webHidden/>
              </w:rPr>
              <w:fldChar w:fldCharType="end"/>
            </w:r>
          </w:hyperlink>
        </w:p>
        <w:p w14:paraId="4E429E63" w14:textId="77777777" w:rsidR="00763C1E" w:rsidRDefault="00D35806">
          <w:pPr>
            <w:pStyle w:val="TOC2"/>
            <w:tabs>
              <w:tab w:val="right" w:leader="dot" w:pos="15694"/>
            </w:tabs>
            <w:rPr>
              <w:noProof/>
              <w:sz w:val="22"/>
              <w:szCs w:val="22"/>
              <w:lang w:val="en-US"/>
            </w:rPr>
          </w:pPr>
          <w:hyperlink w:anchor="_Toc141440562" w:history="1">
            <w:r w:rsidR="00763C1E" w:rsidRPr="00912DA5">
              <w:rPr>
                <w:rStyle w:val="Hyperlink"/>
                <w:rFonts w:ascii="Times New Roman" w:hAnsi="Times New Roman" w:cs="Times New Roman"/>
                <w:noProof/>
              </w:rPr>
              <w:t>5.5 BIDEC Suppliers Premium for Refined Petroleum Products</w:t>
            </w:r>
            <w:r w:rsidR="00763C1E">
              <w:rPr>
                <w:noProof/>
                <w:webHidden/>
              </w:rPr>
              <w:tab/>
            </w:r>
            <w:r w:rsidR="00763C1E">
              <w:rPr>
                <w:noProof/>
                <w:webHidden/>
              </w:rPr>
              <w:fldChar w:fldCharType="begin"/>
            </w:r>
            <w:r w:rsidR="00763C1E">
              <w:rPr>
                <w:noProof/>
                <w:webHidden/>
              </w:rPr>
              <w:instrText xml:space="preserve"> PAGEREF _Toc141440562 \h </w:instrText>
            </w:r>
            <w:r w:rsidR="00763C1E">
              <w:rPr>
                <w:noProof/>
                <w:webHidden/>
              </w:rPr>
            </w:r>
            <w:r w:rsidR="00763C1E">
              <w:rPr>
                <w:noProof/>
                <w:webHidden/>
              </w:rPr>
              <w:fldChar w:fldCharType="separate"/>
            </w:r>
            <w:r w:rsidR="00763C1E">
              <w:rPr>
                <w:noProof/>
                <w:webHidden/>
              </w:rPr>
              <w:t>12</w:t>
            </w:r>
            <w:r w:rsidR="00763C1E">
              <w:rPr>
                <w:noProof/>
                <w:webHidden/>
              </w:rPr>
              <w:fldChar w:fldCharType="end"/>
            </w:r>
          </w:hyperlink>
        </w:p>
        <w:p w14:paraId="6CC32E27" w14:textId="77777777" w:rsidR="00763C1E" w:rsidRDefault="00D35806">
          <w:pPr>
            <w:pStyle w:val="TOC2"/>
            <w:tabs>
              <w:tab w:val="right" w:leader="dot" w:pos="15694"/>
            </w:tabs>
            <w:rPr>
              <w:noProof/>
              <w:sz w:val="22"/>
              <w:szCs w:val="22"/>
              <w:lang w:val="en-US"/>
            </w:rPr>
          </w:pPr>
          <w:hyperlink w:anchor="_Toc141440563" w:history="1">
            <w:r w:rsidR="00763C1E" w:rsidRPr="00912DA5">
              <w:rPr>
                <w:rStyle w:val="Hyperlink"/>
                <w:rFonts w:ascii="Times New Roman" w:hAnsi="Times New Roman" w:cs="Times New Roman"/>
                <w:noProof/>
              </w:rPr>
              <w:t>5.6 Marketers Margin for Refined Petroleum Products</w:t>
            </w:r>
            <w:r w:rsidR="00763C1E">
              <w:rPr>
                <w:noProof/>
                <w:webHidden/>
              </w:rPr>
              <w:tab/>
            </w:r>
            <w:r w:rsidR="00763C1E">
              <w:rPr>
                <w:noProof/>
                <w:webHidden/>
              </w:rPr>
              <w:fldChar w:fldCharType="begin"/>
            </w:r>
            <w:r w:rsidR="00763C1E">
              <w:rPr>
                <w:noProof/>
                <w:webHidden/>
              </w:rPr>
              <w:instrText xml:space="preserve"> PAGEREF _Toc141440563 \h </w:instrText>
            </w:r>
            <w:r w:rsidR="00763C1E">
              <w:rPr>
                <w:noProof/>
                <w:webHidden/>
              </w:rPr>
            </w:r>
            <w:r w:rsidR="00763C1E">
              <w:rPr>
                <w:noProof/>
                <w:webHidden/>
              </w:rPr>
              <w:fldChar w:fldCharType="separate"/>
            </w:r>
            <w:r w:rsidR="00763C1E">
              <w:rPr>
                <w:noProof/>
                <w:webHidden/>
              </w:rPr>
              <w:t>12</w:t>
            </w:r>
            <w:r w:rsidR="00763C1E">
              <w:rPr>
                <w:noProof/>
                <w:webHidden/>
              </w:rPr>
              <w:fldChar w:fldCharType="end"/>
            </w:r>
          </w:hyperlink>
        </w:p>
        <w:p w14:paraId="16CE877B" w14:textId="77777777" w:rsidR="00763C1E" w:rsidRDefault="00D35806">
          <w:pPr>
            <w:pStyle w:val="TOC1"/>
            <w:rPr>
              <w:noProof/>
              <w:sz w:val="22"/>
              <w:szCs w:val="22"/>
              <w:lang w:val="en-US"/>
            </w:rPr>
          </w:pPr>
          <w:hyperlink w:anchor="_Toc141440564" w:history="1">
            <w:r w:rsidR="00763C1E" w:rsidRPr="00912DA5">
              <w:rPr>
                <w:rStyle w:val="Hyperlink"/>
                <w:rFonts w:ascii="Times New Roman" w:hAnsi="Times New Roman" w:cs="Times New Roman"/>
                <w:noProof/>
              </w:rPr>
              <w:t>6.0 Policy Issues</w:t>
            </w:r>
            <w:r w:rsidR="00763C1E">
              <w:rPr>
                <w:noProof/>
                <w:webHidden/>
              </w:rPr>
              <w:tab/>
            </w:r>
            <w:r w:rsidR="00763C1E">
              <w:rPr>
                <w:noProof/>
                <w:webHidden/>
              </w:rPr>
              <w:fldChar w:fldCharType="begin"/>
            </w:r>
            <w:r w:rsidR="00763C1E">
              <w:rPr>
                <w:noProof/>
                <w:webHidden/>
              </w:rPr>
              <w:instrText xml:space="preserve"> PAGEREF _Toc141440564 \h </w:instrText>
            </w:r>
            <w:r w:rsidR="00763C1E">
              <w:rPr>
                <w:noProof/>
                <w:webHidden/>
              </w:rPr>
            </w:r>
            <w:r w:rsidR="00763C1E">
              <w:rPr>
                <w:noProof/>
                <w:webHidden/>
              </w:rPr>
              <w:fldChar w:fldCharType="separate"/>
            </w:r>
            <w:r w:rsidR="00763C1E">
              <w:rPr>
                <w:noProof/>
                <w:webHidden/>
              </w:rPr>
              <w:t>13</w:t>
            </w:r>
            <w:r w:rsidR="00763C1E">
              <w:rPr>
                <w:noProof/>
                <w:webHidden/>
              </w:rPr>
              <w:fldChar w:fldCharType="end"/>
            </w:r>
          </w:hyperlink>
        </w:p>
        <w:p w14:paraId="0C303029" w14:textId="77777777" w:rsidR="00763C1E" w:rsidRDefault="00D35806">
          <w:pPr>
            <w:pStyle w:val="TOC1"/>
            <w:rPr>
              <w:noProof/>
              <w:sz w:val="22"/>
              <w:szCs w:val="22"/>
              <w:lang w:val="en-US"/>
            </w:rPr>
          </w:pPr>
          <w:hyperlink w:anchor="_Toc141440565" w:history="1">
            <w:r w:rsidR="00763C1E" w:rsidRPr="00912DA5">
              <w:rPr>
                <w:rStyle w:val="Hyperlink"/>
                <w:rFonts w:ascii="Times New Roman" w:hAnsi="Times New Roman" w:cs="Times New Roman"/>
                <w:noProof/>
              </w:rPr>
              <w:t>7.0 Industry News</w:t>
            </w:r>
            <w:r w:rsidR="00763C1E">
              <w:rPr>
                <w:noProof/>
                <w:webHidden/>
              </w:rPr>
              <w:tab/>
            </w:r>
            <w:r w:rsidR="00763C1E">
              <w:rPr>
                <w:noProof/>
                <w:webHidden/>
              </w:rPr>
              <w:fldChar w:fldCharType="begin"/>
            </w:r>
            <w:r w:rsidR="00763C1E">
              <w:rPr>
                <w:noProof/>
                <w:webHidden/>
              </w:rPr>
              <w:instrText xml:space="preserve"> PAGEREF _Toc141440565 \h </w:instrText>
            </w:r>
            <w:r w:rsidR="00763C1E">
              <w:rPr>
                <w:noProof/>
                <w:webHidden/>
              </w:rPr>
            </w:r>
            <w:r w:rsidR="00763C1E">
              <w:rPr>
                <w:noProof/>
                <w:webHidden/>
              </w:rPr>
              <w:fldChar w:fldCharType="separate"/>
            </w:r>
            <w:r w:rsidR="00763C1E">
              <w:rPr>
                <w:noProof/>
                <w:webHidden/>
              </w:rPr>
              <w:t>13</w:t>
            </w:r>
            <w:r w:rsidR="00763C1E">
              <w:rPr>
                <w:noProof/>
                <w:webHidden/>
              </w:rPr>
              <w:fldChar w:fldCharType="end"/>
            </w:r>
          </w:hyperlink>
        </w:p>
        <w:p w14:paraId="2FB44A65" w14:textId="77777777" w:rsidR="00763C1E" w:rsidRDefault="00D35806">
          <w:pPr>
            <w:pStyle w:val="TOC1"/>
            <w:rPr>
              <w:noProof/>
              <w:sz w:val="22"/>
              <w:szCs w:val="22"/>
              <w:lang w:val="en-US"/>
            </w:rPr>
          </w:pPr>
          <w:hyperlink w:anchor="_Toc141440566" w:history="1">
            <w:r w:rsidR="00763C1E" w:rsidRPr="00912DA5">
              <w:rPr>
                <w:rStyle w:val="Hyperlink"/>
                <w:rFonts w:ascii="Times New Roman" w:hAnsi="Times New Roman" w:cs="Times New Roman"/>
                <w:noProof/>
              </w:rPr>
              <w:t>8.0 Conclusion</w:t>
            </w:r>
            <w:r w:rsidR="00763C1E">
              <w:rPr>
                <w:noProof/>
                <w:webHidden/>
              </w:rPr>
              <w:tab/>
            </w:r>
            <w:r w:rsidR="00763C1E">
              <w:rPr>
                <w:noProof/>
                <w:webHidden/>
              </w:rPr>
              <w:fldChar w:fldCharType="begin"/>
            </w:r>
            <w:r w:rsidR="00763C1E">
              <w:rPr>
                <w:noProof/>
                <w:webHidden/>
              </w:rPr>
              <w:instrText xml:space="preserve"> PAGEREF _Toc141440566 \h </w:instrText>
            </w:r>
            <w:r w:rsidR="00763C1E">
              <w:rPr>
                <w:noProof/>
                <w:webHidden/>
              </w:rPr>
            </w:r>
            <w:r w:rsidR="00763C1E">
              <w:rPr>
                <w:noProof/>
                <w:webHidden/>
              </w:rPr>
              <w:fldChar w:fldCharType="separate"/>
            </w:r>
            <w:r w:rsidR="00763C1E">
              <w:rPr>
                <w:noProof/>
                <w:webHidden/>
              </w:rPr>
              <w:t>14</w:t>
            </w:r>
            <w:r w:rsidR="00763C1E">
              <w:rPr>
                <w:noProof/>
                <w:webHidden/>
              </w:rPr>
              <w:fldChar w:fldCharType="end"/>
            </w:r>
          </w:hyperlink>
        </w:p>
        <w:p w14:paraId="34A2894E" w14:textId="64949828" w:rsidR="000E0B57" w:rsidRPr="003764E9" w:rsidRDefault="000E0B57">
          <w:pPr>
            <w:rPr>
              <w:rFonts w:ascii="Times New Roman" w:hAnsi="Times New Roman" w:cs="Times New Roman"/>
              <w:sz w:val="24"/>
              <w:szCs w:val="24"/>
              <w:highlight w:val="yellow"/>
            </w:rPr>
          </w:pPr>
          <w:r w:rsidRPr="00F27FAE">
            <w:rPr>
              <w:rFonts w:ascii="Times New Roman" w:hAnsi="Times New Roman" w:cs="Times New Roman"/>
              <w:b/>
              <w:bCs/>
              <w:noProof/>
              <w:sz w:val="24"/>
              <w:szCs w:val="24"/>
              <w:highlight w:val="yellow"/>
            </w:rPr>
            <w:fldChar w:fldCharType="end"/>
          </w:r>
        </w:p>
      </w:sdtContent>
    </w:sdt>
    <w:p w14:paraId="5266D015" w14:textId="77777777" w:rsidR="00C02C98" w:rsidRDefault="00C02C98" w:rsidP="00C02C98">
      <w:pPr>
        <w:rPr>
          <w:rFonts w:ascii="Times New Roman" w:hAnsi="Times New Roman" w:cs="Times New Roman"/>
          <w:sz w:val="24"/>
          <w:szCs w:val="24"/>
          <w:highlight w:val="yellow"/>
        </w:rPr>
      </w:pPr>
      <w:bookmarkStart w:id="7" w:name="_Toc162241"/>
    </w:p>
    <w:p w14:paraId="4E610397" w14:textId="77777777" w:rsidR="009E7368" w:rsidRDefault="009E7368" w:rsidP="00C02C98">
      <w:pPr>
        <w:rPr>
          <w:rFonts w:ascii="Times New Roman" w:hAnsi="Times New Roman" w:cs="Times New Roman"/>
          <w:sz w:val="24"/>
          <w:szCs w:val="24"/>
          <w:highlight w:val="yellow"/>
        </w:rPr>
      </w:pPr>
    </w:p>
    <w:p w14:paraId="26505BC9" w14:textId="77777777" w:rsidR="009E7368" w:rsidRDefault="009E7368" w:rsidP="00C02C98">
      <w:pPr>
        <w:rPr>
          <w:rFonts w:ascii="Times New Roman" w:hAnsi="Times New Roman" w:cs="Times New Roman"/>
          <w:sz w:val="24"/>
          <w:szCs w:val="24"/>
          <w:highlight w:val="yellow"/>
        </w:rPr>
      </w:pPr>
    </w:p>
    <w:p w14:paraId="73DDE3D1" w14:textId="77777777" w:rsidR="009E7368" w:rsidRDefault="009E7368" w:rsidP="00C02C98">
      <w:pPr>
        <w:rPr>
          <w:rFonts w:ascii="Times New Roman" w:hAnsi="Times New Roman" w:cs="Times New Roman"/>
          <w:sz w:val="24"/>
          <w:szCs w:val="24"/>
          <w:highlight w:val="yellow"/>
        </w:rPr>
      </w:pPr>
    </w:p>
    <w:p w14:paraId="61CC186A" w14:textId="77777777" w:rsidR="009E7368" w:rsidRDefault="009E7368" w:rsidP="00C02C98">
      <w:pPr>
        <w:rPr>
          <w:rFonts w:ascii="Times New Roman" w:hAnsi="Times New Roman" w:cs="Times New Roman"/>
          <w:sz w:val="24"/>
          <w:szCs w:val="24"/>
          <w:highlight w:val="yellow"/>
        </w:rPr>
      </w:pPr>
    </w:p>
    <w:p w14:paraId="58F0C34A" w14:textId="77777777" w:rsidR="009E7368" w:rsidRDefault="009E7368" w:rsidP="00C02C98">
      <w:pPr>
        <w:rPr>
          <w:rFonts w:ascii="Times New Roman" w:hAnsi="Times New Roman" w:cs="Times New Roman"/>
          <w:sz w:val="24"/>
          <w:szCs w:val="24"/>
          <w:highlight w:val="yellow"/>
        </w:rPr>
      </w:pPr>
    </w:p>
    <w:p w14:paraId="26BEFEC8" w14:textId="77777777" w:rsidR="00B47C95" w:rsidRDefault="00B47C95" w:rsidP="00C02C98">
      <w:pPr>
        <w:rPr>
          <w:rFonts w:ascii="Times New Roman" w:hAnsi="Times New Roman" w:cs="Times New Roman"/>
          <w:sz w:val="24"/>
          <w:szCs w:val="24"/>
          <w:highlight w:val="yellow"/>
        </w:rPr>
      </w:pPr>
    </w:p>
    <w:p w14:paraId="0BE95E4A" w14:textId="77777777" w:rsidR="00B47C95" w:rsidRDefault="00B47C95" w:rsidP="00C02C98">
      <w:pPr>
        <w:rPr>
          <w:rFonts w:ascii="Times New Roman" w:hAnsi="Times New Roman" w:cs="Times New Roman"/>
          <w:sz w:val="24"/>
          <w:szCs w:val="24"/>
          <w:highlight w:val="yellow"/>
        </w:rPr>
      </w:pPr>
    </w:p>
    <w:p w14:paraId="02FB8B10" w14:textId="1E5AD442" w:rsidR="00982208" w:rsidRPr="00B47C95" w:rsidRDefault="00982208" w:rsidP="00E502D0">
      <w:pPr>
        <w:pStyle w:val="Heading1"/>
        <w:rPr>
          <w:rFonts w:ascii="Times New Roman" w:hAnsi="Times New Roman" w:cs="Times New Roman"/>
          <w:sz w:val="56"/>
          <w:szCs w:val="56"/>
        </w:rPr>
      </w:pPr>
      <w:bookmarkStart w:id="8" w:name="_Toc141440537"/>
      <w:r w:rsidRPr="00B47C95">
        <w:rPr>
          <w:rFonts w:ascii="Times New Roman" w:hAnsi="Times New Roman" w:cs="Times New Roman"/>
          <w:sz w:val="56"/>
          <w:szCs w:val="56"/>
        </w:rPr>
        <w:lastRenderedPageBreak/>
        <w:t xml:space="preserve">List of </w:t>
      </w:r>
      <w:r w:rsidR="00466DF1" w:rsidRPr="00B47C95">
        <w:rPr>
          <w:rFonts w:ascii="Times New Roman" w:hAnsi="Times New Roman" w:cs="Times New Roman"/>
          <w:sz w:val="56"/>
          <w:szCs w:val="56"/>
        </w:rPr>
        <w:t xml:space="preserve">Tables and </w:t>
      </w:r>
      <w:r w:rsidRPr="00B47C95">
        <w:rPr>
          <w:rFonts w:ascii="Times New Roman" w:hAnsi="Times New Roman" w:cs="Times New Roman"/>
          <w:sz w:val="56"/>
          <w:szCs w:val="56"/>
        </w:rPr>
        <w:t>Figures</w:t>
      </w:r>
      <w:bookmarkEnd w:id="8"/>
    </w:p>
    <w:p w14:paraId="4642620F" w14:textId="0D784A0A" w:rsidR="00E65BD1" w:rsidRDefault="00466DF1">
      <w:pPr>
        <w:pStyle w:val="TableofFigures"/>
        <w:tabs>
          <w:tab w:val="right" w:leader="dot" w:pos="9016"/>
        </w:tabs>
        <w:rPr>
          <w:noProof/>
          <w:kern w:val="2"/>
          <w14:ligatures w14:val="standardContextual"/>
        </w:rPr>
      </w:pPr>
      <w:r>
        <w:fldChar w:fldCharType="begin"/>
      </w:r>
      <w:r>
        <w:instrText xml:space="preserve"> TOC \h \z \c "Table" </w:instrText>
      </w:r>
      <w:r>
        <w:fldChar w:fldCharType="separate"/>
      </w:r>
      <w:hyperlink w:anchor="_Toc136871779" w:history="1">
        <w:r w:rsidR="00E65BD1" w:rsidRPr="00EB6E5F">
          <w:rPr>
            <w:rStyle w:val="Hyperlink"/>
            <w:noProof/>
          </w:rPr>
          <w:t>Table 1: Crude Oil FOB Price (US$/BBL)</w:t>
        </w:r>
        <w:r w:rsidR="00E65BD1">
          <w:rPr>
            <w:noProof/>
            <w:webHidden/>
          </w:rPr>
          <w:tab/>
        </w:r>
        <w:r w:rsidR="00E65BD1">
          <w:rPr>
            <w:noProof/>
            <w:webHidden/>
          </w:rPr>
          <w:fldChar w:fldCharType="begin"/>
        </w:r>
        <w:r w:rsidR="00E65BD1">
          <w:rPr>
            <w:noProof/>
            <w:webHidden/>
          </w:rPr>
          <w:instrText xml:space="preserve"> PAGEREF _Toc136871779 \h </w:instrText>
        </w:r>
        <w:r w:rsidR="00E65BD1">
          <w:rPr>
            <w:noProof/>
            <w:webHidden/>
          </w:rPr>
        </w:r>
        <w:r w:rsidR="00E65BD1">
          <w:rPr>
            <w:noProof/>
            <w:webHidden/>
          </w:rPr>
          <w:fldChar w:fldCharType="separate"/>
        </w:r>
        <w:r w:rsidR="00E65BD1">
          <w:rPr>
            <w:noProof/>
            <w:webHidden/>
          </w:rPr>
          <w:t>11</w:t>
        </w:r>
        <w:r w:rsidR="00E65BD1">
          <w:rPr>
            <w:noProof/>
            <w:webHidden/>
          </w:rPr>
          <w:fldChar w:fldCharType="end"/>
        </w:r>
      </w:hyperlink>
    </w:p>
    <w:p w14:paraId="7BB8ACEB" w14:textId="68D1FCB4" w:rsidR="00E65BD1" w:rsidRDefault="00D35806">
      <w:pPr>
        <w:pStyle w:val="TableofFigures"/>
        <w:tabs>
          <w:tab w:val="right" w:leader="dot" w:pos="9016"/>
        </w:tabs>
        <w:rPr>
          <w:noProof/>
          <w:kern w:val="2"/>
          <w14:ligatures w14:val="standardContextual"/>
        </w:rPr>
      </w:pPr>
      <w:hyperlink w:anchor="_Toc136871780" w:history="1">
        <w:r w:rsidR="00E65BD1" w:rsidRPr="00EB6E5F">
          <w:rPr>
            <w:rStyle w:val="Hyperlink"/>
            <w:noProof/>
          </w:rPr>
          <w:t>Table 2: Petroleum Products FOB Price (US$/MT)</w:t>
        </w:r>
        <w:r w:rsidR="00E65BD1">
          <w:rPr>
            <w:noProof/>
            <w:webHidden/>
          </w:rPr>
          <w:tab/>
        </w:r>
        <w:r w:rsidR="00E65BD1">
          <w:rPr>
            <w:noProof/>
            <w:webHidden/>
          </w:rPr>
          <w:fldChar w:fldCharType="begin"/>
        </w:r>
        <w:r w:rsidR="00E65BD1">
          <w:rPr>
            <w:noProof/>
            <w:webHidden/>
          </w:rPr>
          <w:instrText xml:space="preserve"> PAGEREF _Toc136871780 \h </w:instrText>
        </w:r>
        <w:r w:rsidR="00E65BD1">
          <w:rPr>
            <w:noProof/>
            <w:webHidden/>
          </w:rPr>
        </w:r>
        <w:r w:rsidR="00E65BD1">
          <w:rPr>
            <w:noProof/>
            <w:webHidden/>
          </w:rPr>
          <w:fldChar w:fldCharType="separate"/>
        </w:r>
        <w:r w:rsidR="00E65BD1">
          <w:rPr>
            <w:noProof/>
            <w:webHidden/>
          </w:rPr>
          <w:t>12</w:t>
        </w:r>
        <w:r w:rsidR="00E65BD1">
          <w:rPr>
            <w:noProof/>
            <w:webHidden/>
          </w:rPr>
          <w:fldChar w:fldCharType="end"/>
        </w:r>
      </w:hyperlink>
    </w:p>
    <w:p w14:paraId="76CE9A8B" w14:textId="07AFB863" w:rsidR="00E65BD1" w:rsidRDefault="00D35806">
      <w:pPr>
        <w:pStyle w:val="TableofFigures"/>
        <w:tabs>
          <w:tab w:val="right" w:leader="dot" w:pos="9016"/>
        </w:tabs>
        <w:rPr>
          <w:noProof/>
          <w:kern w:val="2"/>
          <w14:ligatures w14:val="standardContextual"/>
        </w:rPr>
      </w:pPr>
      <w:hyperlink w:anchor="_Toc136871781" w:history="1">
        <w:r w:rsidR="00E65BD1" w:rsidRPr="00EB6E5F">
          <w:rPr>
            <w:rStyle w:val="Hyperlink"/>
            <w:noProof/>
          </w:rPr>
          <w:t>Table 3: Ex-Refinery Prices of Petroleum Products (GHC/Lt/Kg)</w:t>
        </w:r>
        <w:r w:rsidR="00E65BD1">
          <w:rPr>
            <w:noProof/>
            <w:webHidden/>
          </w:rPr>
          <w:tab/>
        </w:r>
        <w:r w:rsidR="00E65BD1">
          <w:rPr>
            <w:noProof/>
            <w:webHidden/>
          </w:rPr>
          <w:fldChar w:fldCharType="begin"/>
        </w:r>
        <w:r w:rsidR="00E65BD1">
          <w:rPr>
            <w:noProof/>
            <w:webHidden/>
          </w:rPr>
          <w:instrText xml:space="preserve"> PAGEREF _Toc136871781 \h </w:instrText>
        </w:r>
        <w:r w:rsidR="00E65BD1">
          <w:rPr>
            <w:noProof/>
            <w:webHidden/>
          </w:rPr>
        </w:r>
        <w:r w:rsidR="00E65BD1">
          <w:rPr>
            <w:noProof/>
            <w:webHidden/>
          </w:rPr>
          <w:fldChar w:fldCharType="separate"/>
        </w:r>
        <w:r w:rsidR="00E65BD1">
          <w:rPr>
            <w:noProof/>
            <w:webHidden/>
          </w:rPr>
          <w:t>12</w:t>
        </w:r>
        <w:r w:rsidR="00E65BD1">
          <w:rPr>
            <w:noProof/>
            <w:webHidden/>
          </w:rPr>
          <w:fldChar w:fldCharType="end"/>
        </w:r>
      </w:hyperlink>
    </w:p>
    <w:p w14:paraId="6F0BCB57" w14:textId="78843A8F" w:rsidR="00E65BD1" w:rsidRDefault="00D35806">
      <w:pPr>
        <w:pStyle w:val="TableofFigures"/>
        <w:tabs>
          <w:tab w:val="right" w:leader="dot" w:pos="9016"/>
        </w:tabs>
        <w:rPr>
          <w:noProof/>
          <w:kern w:val="2"/>
          <w14:ligatures w14:val="standardContextual"/>
        </w:rPr>
      </w:pPr>
      <w:hyperlink w:anchor="_Toc136871782" w:history="1">
        <w:r w:rsidR="00E65BD1" w:rsidRPr="00EB6E5F">
          <w:rPr>
            <w:rStyle w:val="Hyperlink"/>
            <w:noProof/>
          </w:rPr>
          <w:t>Table 4: Ex-Pump Prices of Petroleum Products (GHS/Lt/Kg)</w:t>
        </w:r>
        <w:r w:rsidR="00E65BD1">
          <w:rPr>
            <w:noProof/>
            <w:webHidden/>
          </w:rPr>
          <w:tab/>
        </w:r>
        <w:r w:rsidR="00E65BD1">
          <w:rPr>
            <w:noProof/>
            <w:webHidden/>
          </w:rPr>
          <w:fldChar w:fldCharType="begin"/>
        </w:r>
        <w:r w:rsidR="00E65BD1">
          <w:rPr>
            <w:noProof/>
            <w:webHidden/>
          </w:rPr>
          <w:instrText xml:space="preserve"> PAGEREF _Toc136871782 \h </w:instrText>
        </w:r>
        <w:r w:rsidR="00E65BD1">
          <w:rPr>
            <w:noProof/>
            <w:webHidden/>
          </w:rPr>
        </w:r>
        <w:r w:rsidR="00E65BD1">
          <w:rPr>
            <w:noProof/>
            <w:webHidden/>
          </w:rPr>
          <w:fldChar w:fldCharType="separate"/>
        </w:r>
        <w:r w:rsidR="00E65BD1">
          <w:rPr>
            <w:noProof/>
            <w:webHidden/>
          </w:rPr>
          <w:t>13</w:t>
        </w:r>
        <w:r w:rsidR="00E65BD1">
          <w:rPr>
            <w:noProof/>
            <w:webHidden/>
          </w:rPr>
          <w:fldChar w:fldCharType="end"/>
        </w:r>
      </w:hyperlink>
    </w:p>
    <w:p w14:paraId="3284CAC2" w14:textId="306C7AE8" w:rsidR="00E65BD1" w:rsidRDefault="00D35806">
      <w:pPr>
        <w:pStyle w:val="TableofFigures"/>
        <w:tabs>
          <w:tab w:val="right" w:leader="dot" w:pos="9016"/>
        </w:tabs>
        <w:rPr>
          <w:noProof/>
          <w:kern w:val="2"/>
          <w14:ligatures w14:val="standardContextual"/>
        </w:rPr>
      </w:pPr>
      <w:hyperlink w:anchor="_Toc136871783" w:history="1">
        <w:r w:rsidR="00E65BD1" w:rsidRPr="00EB6E5F">
          <w:rPr>
            <w:rStyle w:val="Hyperlink"/>
            <w:noProof/>
          </w:rPr>
          <w:t>Table 5: IOTC Suppliers Premium (US$/MT)</w:t>
        </w:r>
        <w:r w:rsidR="00E65BD1">
          <w:rPr>
            <w:noProof/>
            <w:webHidden/>
          </w:rPr>
          <w:tab/>
        </w:r>
        <w:r w:rsidR="00E65BD1">
          <w:rPr>
            <w:noProof/>
            <w:webHidden/>
          </w:rPr>
          <w:fldChar w:fldCharType="begin"/>
        </w:r>
        <w:r w:rsidR="00E65BD1">
          <w:rPr>
            <w:noProof/>
            <w:webHidden/>
          </w:rPr>
          <w:instrText xml:space="preserve"> PAGEREF _Toc136871783 \h </w:instrText>
        </w:r>
        <w:r w:rsidR="00E65BD1">
          <w:rPr>
            <w:noProof/>
            <w:webHidden/>
          </w:rPr>
        </w:r>
        <w:r w:rsidR="00E65BD1">
          <w:rPr>
            <w:noProof/>
            <w:webHidden/>
          </w:rPr>
          <w:fldChar w:fldCharType="separate"/>
        </w:r>
        <w:r w:rsidR="00E65BD1">
          <w:rPr>
            <w:noProof/>
            <w:webHidden/>
          </w:rPr>
          <w:t>13</w:t>
        </w:r>
        <w:r w:rsidR="00E65BD1">
          <w:rPr>
            <w:noProof/>
            <w:webHidden/>
          </w:rPr>
          <w:fldChar w:fldCharType="end"/>
        </w:r>
      </w:hyperlink>
    </w:p>
    <w:p w14:paraId="2B633B96" w14:textId="2D8FFA8F" w:rsidR="00E65BD1" w:rsidRDefault="00D35806">
      <w:pPr>
        <w:pStyle w:val="TableofFigures"/>
        <w:tabs>
          <w:tab w:val="right" w:leader="dot" w:pos="9016"/>
        </w:tabs>
        <w:rPr>
          <w:noProof/>
          <w:kern w:val="2"/>
          <w14:ligatures w14:val="standardContextual"/>
        </w:rPr>
      </w:pPr>
      <w:hyperlink w:anchor="_Toc136871784" w:history="1">
        <w:r w:rsidR="00E65BD1" w:rsidRPr="00EB6E5F">
          <w:rPr>
            <w:rStyle w:val="Hyperlink"/>
            <w:noProof/>
          </w:rPr>
          <w:t>Table 6: Marketer's Margin for Petroleum Products (GHS/Lt/Kg)</w:t>
        </w:r>
        <w:r w:rsidR="00E65BD1">
          <w:rPr>
            <w:noProof/>
            <w:webHidden/>
          </w:rPr>
          <w:tab/>
        </w:r>
        <w:r w:rsidR="00E65BD1">
          <w:rPr>
            <w:noProof/>
            <w:webHidden/>
          </w:rPr>
          <w:fldChar w:fldCharType="begin"/>
        </w:r>
        <w:r w:rsidR="00E65BD1">
          <w:rPr>
            <w:noProof/>
            <w:webHidden/>
          </w:rPr>
          <w:instrText xml:space="preserve"> PAGEREF _Toc136871784 \h </w:instrText>
        </w:r>
        <w:r w:rsidR="00E65BD1">
          <w:rPr>
            <w:noProof/>
            <w:webHidden/>
          </w:rPr>
        </w:r>
        <w:r w:rsidR="00E65BD1">
          <w:rPr>
            <w:noProof/>
            <w:webHidden/>
          </w:rPr>
          <w:fldChar w:fldCharType="separate"/>
        </w:r>
        <w:r w:rsidR="00E65BD1">
          <w:rPr>
            <w:noProof/>
            <w:webHidden/>
          </w:rPr>
          <w:t>13</w:t>
        </w:r>
        <w:r w:rsidR="00E65BD1">
          <w:rPr>
            <w:noProof/>
            <w:webHidden/>
          </w:rPr>
          <w:fldChar w:fldCharType="end"/>
        </w:r>
      </w:hyperlink>
    </w:p>
    <w:p w14:paraId="058529A2" w14:textId="18F1AB6F" w:rsidR="00B74F2F" w:rsidRPr="00B74F2F" w:rsidRDefault="00466DF1" w:rsidP="00B74F2F">
      <w:r>
        <w:fldChar w:fldCharType="end"/>
      </w:r>
    </w:p>
    <w:p w14:paraId="427837AC" w14:textId="2C6D444D" w:rsidR="001B3282" w:rsidRDefault="00982208">
      <w:pPr>
        <w:pStyle w:val="TableofFigures"/>
        <w:tabs>
          <w:tab w:val="right" w:leader="dot" w:pos="9016"/>
        </w:tabs>
        <w:rPr>
          <w:noProof/>
          <w:kern w:val="2"/>
          <w14:ligatures w14:val="standardContextual"/>
        </w:rPr>
      </w:pPr>
      <w:r>
        <w:rPr>
          <w:rFonts w:ascii="Times New Roman" w:hAnsi="Times New Roman" w:cs="Times New Roman"/>
          <w:sz w:val="24"/>
          <w:szCs w:val="24"/>
          <w:highlight w:val="yellow"/>
        </w:rPr>
        <w:fldChar w:fldCharType="begin"/>
      </w:r>
      <w:r>
        <w:rPr>
          <w:rFonts w:ascii="Times New Roman" w:hAnsi="Times New Roman" w:cs="Times New Roman"/>
          <w:sz w:val="24"/>
          <w:szCs w:val="24"/>
          <w:highlight w:val="yellow"/>
        </w:rPr>
        <w:instrText xml:space="preserve"> TOC \h \z \c "Figure" </w:instrText>
      </w:r>
      <w:r>
        <w:rPr>
          <w:rFonts w:ascii="Times New Roman" w:hAnsi="Times New Roman" w:cs="Times New Roman"/>
          <w:sz w:val="24"/>
          <w:szCs w:val="24"/>
          <w:highlight w:val="yellow"/>
        </w:rPr>
        <w:fldChar w:fldCharType="separate"/>
      </w:r>
      <w:hyperlink w:anchor="_Toc136872325" w:history="1">
        <w:r w:rsidR="001B3282" w:rsidRPr="00C2087D">
          <w:rPr>
            <w:rStyle w:val="Hyperlink"/>
            <w:noProof/>
          </w:rPr>
          <w:t>Figure 1: Supply of Refined Petroleum Products (MT)</w:t>
        </w:r>
        <w:r w:rsidR="001B3282">
          <w:rPr>
            <w:noProof/>
            <w:webHidden/>
          </w:rPr>
          <w:tab/>
        </w:r>
        <w:r w:rsidR="001B3282">
          <w:rPr>
            <w:noProof/>
            <w:webHidden/>
          </w:rPr>
          <w:fldChar w:fldCharType="begin"/>
        </w:r>
        <w:r w:rsidR="001B3282">
          <w:rPr>
            <w:noProof/>
            <w:webHidden/>
          </w:rPr>
          <w:instrText xml:space="preserve"> PAGEREF _Toc136872325 \h </w:instrText>
        </w:r>
        <w:r w:rsidR="001B3282">
          <w:rPr>
            <w:noProof/>
            <w:webHidden/>
          </w:rPr>
        </w:r>
        <w:r w:rsidR="001B3282">
          <w:rPr>
            <w:noProof/>
            <w:webHidden/>
          </w:rPr>
          <w:fldChar w:fldCharType="separate"/>
        </w:r>
        <w:r w:rsidR="001B3282">
          <w:rPr>
            <w:noProof/>
            <w:webHidden/>
          </w:rPr>
          <w:t>1</w:t>
        </w:r>
        <w:r w:rsidR="001B3282">
          <w:rPr>
            <w:noProof/>
            <w:webHidden/>
          </w:rPr>
          <w:fldChar w:fldCharType="end"/>
        </w:r>
      </w:hyperlink>
    </w:p>
    <w:p w14:paraId="18FC9914" w14:textId="386D815D" w:rsidR="001B3282" w:rsidRDefault="00D35806">
      <w:pPr>
        <w:pStyle w:val="TableofFigures"/>
        <w:tabs>
          <w:tab w:val="right" w:leader="dot" w:pos="9016"/>
        </w:tabs>
        <w:rPr>
          <w:noProof/>
          <w:kern w:val="2"/>
          <w14:ligatures w14:val="standardContextual"/>
        </w:rPr>
      </w:pPr>
      <w:hyperlink w:anchor="_Toc136872326" w:history="1">
        <w:r w:rsidR="001B3282" w:rsidRPr="00C2087D">
          <w:rPr>
            <w:rStyle w:val="Hyperlink"/>
            <w:noProof/>
          </w:rPr>
          <w:t>Figure 2: Shares of Refined Petroleum Products Supply (%)</w:t>
        </w:r>
        <w:r w:rsidR="001B3282">
          <w:rPr>
            <w:noProof/>
            <w:webHidden/>
          </w:rPr>
          <w:tab/>
        </w:r>
        <w:r w:rsidR="001B3282">
          <w:rPr>
            <w:noProof/>
            <w:webHidden/>
          </w:rPr>
          <w:fldChar w:fldCharType="begin"/>
        </w:r>
        <w:r w:rsidR="001B3282">
          <w:rPr>
            <w:noProof/>
            <w:webHidden/>
          </w:rPr>
          <w:instrText xml:space="preserve"> PAGEREF _Toc136872326 \h </w:instrText>
        </w:r>
        <w:r w:rsidR="001B3282">
          <w:rPr>
            <w:noProof/>
            <w:webHidden/>
          </w:rPr>
        </w:r>
        <w:r w:rsidR="001B3282">
          <w:rPr>
            <w:noProof/>
            <w:webHidden/>
          </w:rPr>
          <w:fldChar w:fldCharType="separate"/>
        </w:r>
        <w:r w:rsidR="001B3282">
          <w:rPr>
            <w:noProof/>
            <w:webHidden/>
          </w:rPr>
          <w:t>2</w:t>
        </w:r>
        <w:r w:rsidR="001B3282">
          <w:rPr>
            <w:noProof/>
            <w:webHidden/>
          </w:rPr>
          <w:fldChar w:fldCharType="end"/>
        </w:r>
      </w:hyperlink>
    </w:p>
    <w:p w14:paraId="2D8954B5" w14:textId="4A2BE5D0" w:rsidR="001B3282" w:rsidRDefault="00D35806">
      <w:pPr>
        <w:pStyle w:val="TableofFigures"/>
        <w:tabs>
          <w:tab w:val="right" w:leader="dot" w:pos="9016"/>
        </w:tabs>
        <w:rPr>
          <w:noProof/>
          <w:kern w:val="2"/>
          <w14:ligatures w14:val="standardContextual"/>
        </w:rPr>
      </w:pPr>
      <w:hyperlink w:anchor="_Toc136872327" w:history="1">
        <w:r w:rsidR="001B3282" w:rsidRPr="00C2087D">
          <w:rPr>
            <w:rStyle w:val="Hyperlink"/>
            <w:noProof/>
          </w:rPr>
          <w:t>Figure 3: Import of Refined Petroleum Products (MT)</w:t>
        </w:r>
        <w:r w:rsidR="001B3282">
          <w:rPr>
            <w:noProof/>
            <w:webHidden/>
          </w:rPr>
          <w:tab/>
        </w:r>
        <w:r w:rsidR="001B3282">
          <w:rPr>
            <w:noProof/>
            <w:webHidden/>
          </w:rPr>
          <w:fldChar w:fldCharType="begin"/>
        </w:r>
        <w:r w:rsidR="001B3282">
          <w:rPr>
            <w:noProof/>
            <w:webHidden/>
          </w:rPr>
          <w:instrText xml:space="preserve"> PAGEREF _Toc136872327 \h </w:instrText>
        </w:r>
        <w:r w:rsidR="001B3282">
          <w:rPr>
            <w:noProof/>
            <w:webHidden/>
          </w:rPr>
        </w:r>
        <w:r w:rsidR="001B3282">
          <w:rPr>
            <w:noProof/>
            <w:webHidden/>
          </w:rPr>
          <w:fldChar w:fldCharType="separate"/>
        </w:r>
        <w:r w:rsidR="001B3282">
          <w:rPr>
            <w:noProof/>
            <w:webHidden/>
          </w:rPr>
          <w:t>2</w:t>
        </w:r>
        <w:r w:rsidR="001B3282">
          <w:rPr>
            <w:noProof/>
            <w:webHidden/>
          </w:rPr>
          <w:fldChar w:fldCharType="end"/>
        </w:r>
      </w:hyperlink>
    </w:p>
    <w:p w14:paraId="08835F53" w14:textId="73754C59" w:rsidR="001B3282" w:rsidRDefault="00D35806">
      <w:pPr>
        <w:pStyle w:val="TableofFigures"/>
        <w:tabs>
          <w:tab w:val="right" w:leader="dot" w:pos="9016"/>
        </w:tabs>
        <w:rPr>
          <w:noProof/>
          <w:kern w:val="2"/>
          <w14:ligatures w14:val="standardContextual"/>
        </w:rPr>
      </w:pPr>
      <w:hyperlink w:anchor="_Toc136872328" w:history="1">
        <w:r w:rsidR="001B3282" w:rsidRPr="00C2087D">
          <w:rPr>
            <w:rStyle w:val="Hyperlink"/>
            <w:noProof/>
          </w:rPr>
          <w:t>Figure 4: Share of Import Refined Products by International Suppliers (%)</w:t>
        </w:r>
        <w:r w:rsidR="001B3282">
          <w:rPr>
            <w:noProof/>
            <w:webHidden/>
          </w:rPr>
          <w:tab/>
        </w:r>
        <w:r w:rsidR="001B3282">
          <w:rPr>
            <w:noProof/>
            <w:webHidden/>
          </w:rPr>
          <w:fldChar w:fldCharType="begin"/>
        </w:r>
        <w:r w:rsidR="001B3282">
          <w:rPr>
            <w:noProof/>
            <w:webHidden/>
          </w:rPr>
          <w:instrText xml:space="preserve"> PAGEREF _Toc136872328 \h </w:instrText>
        </w:r>
        <w:r w:rsidR="001B3282">
          <w:rPr>
            <w:noProof/>
            <w:webHidden/>
          </w:rPr>
        </w:r>
        <w:r w:rsidR="001B3282">
          <w:rPr>
            <w:noProof/>
            <w:webHidden/>
          </w:rPr>
          <w:fldChar w:fldCharType="separate"/>
        </w:r>
        <w:r w:rsidR="001B3282">
          <w:rPr>
            <w:noProof/>
            <w:webHidden/>
          </w:rPr>
          <w:t>3</w:t>
        </w:r>
        <w:r w:rsidR="001B3282">
          <w:rPr>
            <w:noProof/>
            <w:webHidden/>
          </w:rPr>
          <w:fldChar w:fldCharType="end"/>
        </w:r>
      </w:hyperlink>
    </w:p>
    <w:p w14:paraId="32ECB624" w14:textId="2C825E2B" w:rsidR="001B3282" w:rsidRDefault="00D35806">
      <w:pPr>
        <w:pStyle w:val="TableofFigures"/>
        <w:tabs>
          <w:tab w:val="right" w:leader="dot" w:pos="9016"/>
        </w:tabs>
        <w:rPr>
          <w:noProof/>
          <w:kern w:val="2"/>
          <w14:ligatures w14:val="standardContextual"/>
        </w:rPr>
      </w:pPr>
      <w:hyperlink w:anchor="_Toc136872329" w:history="1">
        <w:r w:rsidR="001B3282" w:rsidRPr="00C2087D">
          <w:rPr>
            <w:rStyle w:val="Hyperlink"/>
            <w:noProof/>
          </w:rPr>
          <w:t>Figure 5: Local Production of Refined Petroleum Products (%)</w:t>
        </w:r>
        <w:r w:rsidR="001B3282">
          <w:rPr>
            <w:noProof/>
            <w:webHidden/>
          </w:rPr>
          <w:tab/>
        </w:r>
        <w:r w:rsidR="001B3282">
          <w:rPr>
            <w:noProof/>
            <w:webHidden/>
          </w:rPr>
          <w:fldChar w:fldCharType="begin"/>
        </w:r>
        <w:r w:rsidR="001B3282">
          <w:rPr>
            <w:noProof/>
            <w:webHidden/>
          </w:rPr>
          <w:instrText xml:space="preserve"> PAGEREF _Toc136872329 \h </w:instrText>
        </w:r>
        <w:r w:rsidR="001B3282">
          <w:rPr>
            <w:noProof/>
            <w:webHidden/>
          </w:rPr>
        </w:r>
        <w:r w:rsidR="001B3282">
          <w:rPr>
            <w:noProof/>
            <w:webHidden/>
          </w:rPr>
          <w:fldChar w:fldCharType="separate"/>
        </w:r>
        <w:r w:rsidR="001B3282">
          <w:rPr>
            <w:noProof/>
            <w:webHidden/>
          </w:rPr>
          <w:t>3</w:t>
        </w:r>
        <w:r w:rsidR="001B3282">
          <w:rPr>
            <w:noProof/>
            <w:webHidden/>
          </w:rPr>
          <w:fldChar w:fldCharType="end"/>
        </w:r>
      </w:hyperlink>
    </w:p>
    <w:p w14:paraId="3E144564" w14:textId="66EE6DF0" w:rsidR="001B3282" w:rsidRDefault="00D35806">
      <w:pPr>
        <w:pStyle w:val="TableofFigures"/>
        <w:tabs>
          <w:tab w:val="right" w:leader="dot" w:pos="9016"/>
        </w:tabs>
        <w:rPr>
          <w:noProof/>
          <w:kern w:val="2"/>
          <w14:ligatures w14:val="standardContextual"/>
        </w:rPr>
      </w:pPr>
      <w:hyperlink w:anchor="_Toc136872330" w:history="1">
        <w:r w:rsidR="001B3282" w:rsidRPr="00C2087D">
          <w:rPr>
            <w:rStyle w:val="Hyperlink"/>
            <w:noProof/>
          </w:rPr>
          <w:t>Figure 6: Inventory of Refined Petroleum Products (MT)</w:t>
        </w:r>
        <w:r w:rsidR="001B3282">
          <w:rPr>
            <w:noProof/>
            <w:webHidden/>
          </w:rPr>
          <w:tab/>
        </w:r>
        <w:r w:rsidR="001B3282">
          <w:rPr>
            <w:noProof/>
            <w:webHidden/>
          </w:rPr>
          <w:fldChar w:fldCharType="begin"/>
        </w:r>
        <w:r w:rsidR="001B3282">
          <w:rPr>
            <w:noProof/>
            <w:webHidden/>
          </w:rPr>
          <w:instrText xml:space="preserve"> PAGEREF _Toc136872330 \h </w:instrText>
        </w:r>
        <w:r w:rsidR="001B3282">
          <w:rPr>
            <w:noProof/>
            <w:webHidden/>
          </w:rPr>
        </w:r>
        <w:r w:rsidR="001B3282">
          <w:rPr>
            <w:noProof/>
            <w:webHidden/>
          </w:rPr>
          <w:fldChar w:fldCharType="separate"/>
        </w:r>
        <w:r w:rsidR="001B3282">
          <w:rPr>
            <w:noProof/>
            <w:webHidden/>
          </w:rPr>
          <w:t>4</w:t>
        </w:r>
        <w:r w:rsidR="001B3282">
          <w:rPr>
            <w:noProof/>
            <w:webHidden/>
          </w:rPr>
          <w:fldChar w:fldCharType="end"/>
        </w:r>
      </w:hyperlink>
    </w:p>
    <w:p w14:paraId="2AB6DDA7" w14:textId="149FCD71" w:rsidR="001B3282" w:rsidRDefault="00D35806">
      <w:pPr>
        <w:pStyle w:val="TableofFigures"/>
        <w:tabs>
          <w:tab w:val="right" w:leader="dot" w:pos="9016"/>
        </w:tabs>
        <w:rPr>
          <w:noProof/>
          <w:kern w:val="2"/>
          <w14:ligatures w14:val="standardContextual"/>
        </w:rPr>
      </w:pPr>
      <w:hyperlink w:anchor="_Toc136872331" w:history="1">
        <w:r w:rsidR="001B3282" w:rsidRPr="00C2087D">
          <w:rPr>
            <w:rStyle w:val="Hyperlink"/>
            <w:noProof/>
          </w:rPr>
          <w:t>Figure 7: Domestic Consumption of Refined Petroleum Products (MT)</w:t>
        </w:r>
        <w:r w:rsidR="001B3282">
          <w:rPr>
            <w:noProof/>
            <w:webHidden/>
          </w:rPr>
          <w:tab/>
        </w:r>
        <w:r w:rsidR="001B3282">
          <w:rPr>
            <w:noProof/>
            <w:webHidden/>
          </w:rPr>
          <w:fldChar w:fldCharType="begin"/>
        </w:r>
        <w:r w:rsidR="001B3282">
          <w:rPr>
            <w:noProof/>
            <w:webHidden/>
          </w:rPr>
          <w:instrText xml:space="preserve"> PAGEREF _Toc136872331 \h </w:instrText>
        </w:r>
        <w:r w:rsidR="001B3282">
          <w:rPr>
            <w:noProof/>
            <w:webHidden/>
          </w:rPr>
        </w:r>
        <w:r w:rsidR="001B3282">
          <w:rPr>
            <w:noProof/>
            <w:webHidden/>
          </w:rPr>
          <w:fldChar w:fldCharType="separate"/>
        </w:r>
        <w:r w:rsidR="001B3282">
          <w:rPr>
            <w:noProof/>
            <w:webHidden/>
          </w:rPr>
          <w:t>4</w:t>
        </w:r>
        <w:r w:rsidR="001B3282">
          <w:rPr>
            <w:noProof/>
            <w:webHidden/>
          </w:rPr>
          <w:fldChar w:fldCharType="end"/>
        </w:r>
      </w:hyperlink>
    </w:p>
    <w:p w14:paraId="44621EB8" w14:textId="052C1E25" w:rsidR="001B3282" w:rsidRDefault="00D35806">
      <w:pPr>
        <w:pStyle w:val="TableofFigures"/>
        <w:tabs>
          <w:tab w:val="right" w:leader="dot" w:pos="9016"/>
        </w:tabs>
        <w:rPr>
          <w:noProof/>
          <w:kern w:val="2"/>
          <w14:ligatures w14:val="standardContextual"/>
        </w:rPr>
      </w:pPr>
      <w:hyperlink w:anchor="_Toc136872332" w:history="1">
        <w:r w:rsidR="001B3282" w:rsidRPr="00C2087D">
          <w:rPr>
            <w:rStyle w:val="Hyperlink"/>
            <w:noProof/>
          </w:rPr>
          <w:t>Figure 8: Regional Consumption of Refined Petroleum Products (MT)</w:t>
        </w:r>
        <w:r w:rsidR="001B3282">
          <w:rPr>
            <w:noProof/>
            <w:webHidden/>
          </w:rPr>
          <w:tab/>
        </w:r>
        <w:r w:rsidR="001B3282">
          <w:rPr>
            <w:noProof/>
            <w:webHidden/>
          </w:rPr>
          <w:fldChar w:fldCharType="begin"/>
        </w:r>
        <w:r w:rsidR="001B3282">
          <w:rPr>
            <w:noProof/>
            <w:webHidden/>
          </w:rPr>
          <w:instrText xml:space="preserve"> PAGEREF _Toc136872332 \h </w:instrText>
        </w:r>
        <w:r w:rsidR="001B3282">
          <w:rPr>
            <w:noProof/>
            <w:webHidden/>
          </w:rPr>
        </w:r>
        <w:r w:rsidR="001B3282">
          <w:rPr>
            <w:noProof/>
            <w:webHidden/>
          </w:rPr>
          <w:fldChar w:fldCharType="separate"/>
        </w:r>
        <w:r w:rsidR="001B3282">
          <w:rPr>
            <w:noProof/>
            <w:webHidden/>
          </w:rPr>
          <w:t>5</w:t>
        </w:r>
        <w:r w:rsidR="001B3282">
          <w:rPr>
            <w:noProof/>
            <w:webHidden/>
          </w:rPr>
          <w:fldChar w:fldCharType="end"/>
        </w:r>
      </w:hyperlink>
    </w:p>
    <w:p w14:paraId="03414486" w14:textId="76BE6573" w:rsidR="001B3282" w:rsidRDefault="00D35806">
      <w:pPr>
        <w:pStyle w:val="TableofFigures"/>
        <w:tabs>
          <w:tab w:val="right" w:leader="dot" w:pos="9016"/>
        </w:tabs>
        <w:rPr>
          <w:noProof/>
          <w:kern w:val="2"/>
          <w14:ligatures w14:val="standardContextual"/>
        </w:rPr>
      </w:pPr>
      <w:hyperlink w:anchor="_Toc136872333" w:history="1">
        <w:r w:rsidR="001B3282" w:rsidRPr="00C2087D">
          <w:rPr>
            <w:rStyle w:val="Hyperlink"/>
            <w:noProof/>
          </w:rPr>
          <w:t>Figure 9: Regional Share of Domestic Consumption (%)</w:t>
        </w:r>
        <w:r w:rsidR="001B3282">
          <w:rPr>
            <w:noProof/>
            <w:webHidden/>
          </w:rPr>
          <w:tab/>
        </w:r>
        <w:r w:rsidR="001B3282">
          <w:rPr>
            <w:noProof/>
            <w:webHidden/>
          </w:rPr>
          <w:fldChar w:fldCharType="begin"/>
        </w:r>
        <w:r w:rsidR="001B3282">
          <w:rPr>
            <w:noProof/>
            <w:webHidden/>
          </w:rPr>
          <w:instrText xml:space="preserve"> PAGEREF _Toc136872333 \h </w:instrText>
        </w:r>
        <w:r w:rsidR="001B3282">
          <w:rPr>
            <w:noProof/>
            <w:webHidden/>
          </w:rPr>
        </w:r>
        <w:r w:rsidR="001B3282">
          <w:rPr>
            <w:noProof/>
            <w:webHidden/>
          </w:rPr>
          <w:fldChar w:fldCharType="separate"/>
        </w:r>
        <w:r w:rsidR="001B3282">
          <w:rPr>
            <w:noProof/>
            <w:webHidden/>
          </w:rPr>
          <w:t>5</w:t>
        </w:r>
        <w:r w:rsidR="001B3282">
          <w:rPr>
            <w:noProof/>
            <w:webHidden/>
          </w:rPr>
          <w:fldChar w:fldCharType="end"/>
        </w:r>
      </w:hyperlink>
    </w:p>
    <w:p w14:paraId="79EE8DAF" w14:textId="79CFD935" w:rsidR="001B3282" w:rsidRDefault="00D35806">
      <w:pPr>
        <w:pStyle w:val="TableofFigures"/>
        <w:tabs>
          <w:tab w:val="right" w:leader="dot" w:pos="9016"/>
        </w:tabs>
        <w:rPr>
          <w:noProof/>
          <w:kern w:val="2"/>
          <w14:ligatures w14:val="standardContextual"/>
        </w:rPr>
      </w:pPr>
      <w:hyperlink w:anchor="_Toc136872334" w:history="1">
        <w:r w:rsidR="001B3282" w:rsidRPr="00C2087D">
          <w:rPr>
            <w:rStyle w:val="Hyperlink"/>
            <w:noProof/>
          </w:rPr>
          <w:t>Figure 10: Export of Refined Petroleum Products to Neighbouring Countries (%)</w:t>
        </w:r>
        <w:r w:rsidR="001B3282">
          <w:rPr>
            <w:noProof/>
            <w:webHidden/>
          </w:rPr>
          <w:tab/>
        </w:r>
        <w:r w:rsidR="001B3282">
          <w:rPr>
            <w:noProof/>
            <w:webHidden/>
          </w:rPr>
          <w:fldChar w:fldCharType="begin"/>
        </w:r>
        <w:r w:rsidR="001B3282">
          <w:rPr>
            <w:noProof/>
            <w:webHidden/>
          </w:rPr>
          <w:instrText xml:space="preserve"> PAGEREF _Toc136872334 \h </w:instrText>
        </w:r>
        <w:r w:rsidR="001B3282">
          <w:rPr>
            <w:noProof/>
            <w:webHidden/>
          </w:rPr>
        </w:r>
        <w:r w:rsidR="001B3282">
          <w:rPr>
            <w:noProof/>
            <w:webHidden/>
          </w:rPr>
          <w:fldChar w:fldCharType="separate"/>
        </w:r>
        <w:r w:rsidR="001B3282">
          <w:rPr>
            <w:noProof/>
            <w:webHidden/>
          </w:rPr>
          <w:t>6</w:t>
        </w:r>
        <w:r w:rsidR="001B3282">
          <w:rPr>
            <w:noProof/>
            <w:webHidden/>
          </w:rPr>
          <w:fldChar w:fldCharType="end"/>
        </w:r>
      </w:hyperlink>
    </w:p>
    <w:p w14:paraId="4FBE7DF1" w14:textId="542ED606" w:rsidR="001B3282" w:rsidRDefault="00D35806">
      <w:pPr>
        <w:pStyle w:val="TableofFigures"/>
        <w:tabs>
          <w:tab w:val="right" w:leader="dot" w:pos="9016"/>
        </w:tabs>
        <w:rPr>
          <w:noProof/>
          <w:kern w:val="2"/>
          <w14:ligatures w14:val="standardContextual"/>
        </w:rPr>
      </w:pPr>
      <w:hyperlink w:anchor="_Toc136872335" w:history="1">
        <w:r w:rsidR="001B3282" w:rsidRPr="00C2087D">
          <w:rPr>
            <w:rStyle w:val="Hyperlink"/>
            <w:noProof/>
          </w:rPr>
          <w:t>Figure 11: Export of Refined Petroleum Products (%)</w:t>
        </w:r>
        <w:r w:rsidR="001B3282">
          <w:rPr>
            <w:noProof/>
            <w:webHidden/>
          </w:rPr>
          <w:tab/>
        </w:r>
        <w:r w:rsidR="001B3282">
          <w:rPr>
            <w:noProof/>
            <w:webHidden/>
          </w:rPr>
          <w:fldChar w:fldCharType="begin"/>
        </w:r>
        <w:r w:rsidR="001B3282">
          <w:rPr>
            <w:noProof/>
            <w:webHidden/>
          </w:rPr>
          <w:instrText xml:space="preserve"> PAGEREF _Toc136872335 \h </w:instrText>
        </w:r>
        <w:r w:rsidR="001B3282">
          <w:rPr>
            <w:noProof/>
            <w:webHidden/>
          </w:rPr>
        </w:r>
        <w:r w:rsidR="001B3282">
          <w:rPr>
            <w:noProof/>
            <w:webHidden/>
          </w:rPr>
          <w:fldChar w:fldCharType="separate"/>
        </w:r>
        <w:r w:rsidR="001B3282">
          <w:rPr>
            <w:noProof/>
            <w:webHidden/>
          </w:rPr>
          <w:t>6</w:t>
        </w:r>
        <w:r w:rsidR="001B3282">
          <w:rPr>
            <w:noProof/>
            <w:webHidden/>
          </w:rPr>
          <w:fldChar w:fldCharType="end"/>
        </w:r>
      </w:hyperlink>
    </w:p>
    <w:p w14:paraId="59F271C6" w14:textId="6A850F3B" w:rsidR="001B3282" w:rsidRDefault="00D35806">
      <w:pPr>
        <w:pStyle w:val="TableofFigures"/>
        <w:tabs>
          <w:tab w:val="right" w:leader="dot" w:pos="9016"/>
        </w:tabs>
        <w:rPr>
          <w:noProof/>
          <w:kern w:val="2"/>
          <w14:ligatures w14:val="standardContextual"/>
        </w:rPr>
      </w:pPr>
      <w:hyperlink w:anchor="_Toc136872336" w:history="1">
        <w:r w:rsidR="001B3282" w:rsidRPr="00C2087D">
          <w:rPr>
            <w:rStyle w:val="Hyperlink"/>
            <w:noProof/>
          </w:rPr>
          <w:t>Figure 12: Top 20 BIDEC Market Share (%)</w:t>
        </w:r>
        <w:r w:rsidR="001B3282">
          <w:rPr>
            <w:noProof/>
            <w:webHidden/>
          </w:rPr>
          <w:tab/>
        </w:r>
        <w:r w:rsidR="001B3282">
          <w:rPr>
            <w:noProof/>
            <w:webHidden/>
          </w:rPr>
          <w:fldChar w:fldCharType="begin"/>
        </w:r>
        <w:r w:rsidR="001B3282">
          <w:rPr>
            <w:noProof/>
            <w:webHidden/>
          </w:rPr>
          <w:instrText xml:space="preserve"> PAGEREF _Toc136872336 \h </w:instrText>
        </w:r>
        <w:r w:rsidR="001B3282">
          <w:rPr>
            <w:noProof/>
            <w:webHidden/>
          </w:rPr>
        </w:r>
        <w:r w:rsidR="001B3282">
          <w:rPr>
            <w:noProof/>
            <w:webHidden/>
          </w:rPr>
          <w:fldChar w:fldCharType="separate"/>
        </w:r>
        <w:r w:rsidR="001B3282">
          <w:rPr>
            <w:noProof/>
            <w:webHidden/>
          </w:rPr>
          <w:t>7</w:t>
        </w:r>
        <w:r w:rsidR="001B3282">
          <w:rPr>
            <w:noProof/>
            <w:webHidden/>
          </w:rPr>
          <w:fldChar w:fldCharType="end"/>
        </w:r>
      </w:hyperlink>
    </w:p>
    <w:p w14:paraId="45038FFF" w14:textId="03C98600" w:rsidR="001B3282" w:rsidRDefault="00D35806">
      <w:pPr>
        <w:pStyle w:val="TableofFigures"/>
        <w:tabs>
          <w:tab w:val="right" w:leader="dot" w:pos="9016"/>
        </w:tabs>
        <w:rPr>
          <w:noProof/>
          <w:kern w:val="2"/>
          <w14:ligatures w14:val="standardContextual"/>
        </w:rPr>
      </w:pPr>
      <w:hyperlink w:anchor="_Toc136872337" w:history="1">
        <w:r w:rsidR="001B3282" w:rsidRPr="00C2087D">
          <w:rPr>
            <w:rStyle w:val="Hyperlink"/>
            <w:noProof/>
          </w:rPr>
          <w:t>Figure 13: HHI for BIDECs All Products Market</w:t>
        </w:r>
        <w:r w:rsidR="001B3282">
          <w:rPr>
            <w:noProof/>
            <w:webHidden/>
          </w:rPr>
          <w:tab/>
        </w:r>
        <w:r w:rsidR="001B3282">
          <w:rPr>
            <w:noProof/>
            <w:webHidden/>
          </w:rPr>
          <w:fldChar w:fldCharType="begin"/>
        </w:r>
        <w:r w:rsidR="001B3282">
          <w:rPr>
            <w:noProof/>
            <w:webHidden/>
          </w:rPr>
          <w:instrText xml:space="preserve"> PAGEREF _Toc136872337 \h </w:instrText>
        </w:r>
        <w:r w:rsidR="001B3282">
          <w:rPr>
            <w:noProof/>
            <w:webHidden/>
          </w:rPr>
        </w:r>
        <w:r w:rsidR="001B3282">
          <w:rPr>
            <w:noProof/>
            <w:webHidden/>
          </w:rPr>
          <w:fldChar w:fldCharType="separate"/>
        </w:r>
        <w:r w:rsidR="001B3282">
          <w:rPr>
            <w:noProof/>
            <w:webHidden/>
          </w:rPr>
          <w:t>7</w:t>
        </w:r>
        <w:r w:rsidR="001B3282">
          <w:rPr>
            <w:noProof/>
            <w:webHidden/>
          </w:rPr>
          <w:fldChar w:fldCharType="end"/>
        </w:r>
      </w:hyperlink>
    </w:p>
    <w:p w14:paraId="34B80606" w14:textId="0BB33352" w:rsidR="001B3282" w:rsidRDefault="00D35806">
      <w:pPr>
        <w:pStyle w:val="TableofFigures"/>
        <w:tabs>
          <w:tab w:val="right" w:leader="dot" w:pos="9016"/>
        </w:tabs>
        <w:rPr>
          <w:noProof/>
          <w:kern w:val="2"/>
          <w14:ligatures w14:val="standardContextual"/>
        </w:rPr>
      </w:pPr>
      <w:hyperlink w:anchor="_Toc136872338" w:history="1">
        <w:r w:rsidR="001B3282" w:rsidRPr="00C2087D">
          <w:rPr>
            <w:rStyle w:val="Hyperlink"/>
            <w:noProof/>
          </w:rPr>
          <w:t>Figure 14: Top 20 OMC Market Share (%)</w:t>
        </w:r>
        <w:r w:rsidR="001B3282">
          <w:rPr>
            <w:noProof/>
            <w:webHidden/>
          </w:rPr>
          <w:tab/>
        </w:r>
        <w:r w:rsidR="001B3282">
          <w:rPr>
            <w:noProof/>
            <w:webHidden/>
          </w:rPr>
          <w:fldChar w:fldCharType="begin"/>
        </w:r>
        <w:r w:rsidR="001B3282">
          <w:rPr>
            <w:noProof/>
            <w:webHidden/>
          </w:rPr>
          <w:instrText xml:space="preserve"> PAGEREF _Toc136872338 \h </w:instrText>
        </w:r>
        <w:r w:rsidR="001B3282">
          <w:rPr>
            <w:noProof/>
            <w:webHidden/>
          </w:rPr>
        </w:r>
        <w:r w:rsidR="001B3282">
          <w:rPr>
            <w:noProof/>
            <w:webHidden/>
          </w:rPr>
          <w:fldChar w:fldCharType="separate"/>
        </w:r>
        <w:r w:rsidR="001B3282">
          <w:rPr>
            <w:noProof/>
            <w:webHidden/>
          </w:rPr>
          <w:t>8</w:t>
        </w:r>
        <w:r w:rsidR="001B3282">
          <w:rPr>
            <w:noProof/>
            <w:webHidden/>
          </w:rPr>
          <w:fldChar w:fldCharType="end"/>
        </w:r>
      </w:hyperlink>
    </w:p>
    <w:p w14:paraId="12CBEC99" w14:textId="206F7F94" w:rsidR="001B3282" w:rsidRDefault="00D35806">
      <w:pPr>
        <w:pStyle w:val="TableofFigures"/>
        <w:tabs>
          <w:tab w:val="right" w:leader="dot" w:pos="9016"/>
        </w:tabs>
        <w:rPr>
          <w:noProof/>
          <w:kern w:val="2"/>
          <w14:ligatures w14:val="standardContextual"/>
        </w:rPr>
      </w:pPr>
      <w:hyperlink w:anchor="_Toc136872339" w:history="1">
        <w:r w:rsidR="001B3282" w:rsidRPr="00C2087D">
          <w:rPr>
            <w:rStyle w:val="Hyperlink"/>
            <w:noProof/>
          </w:rPr>
          <w:t>Figure 15: HHI for OMC/LPGMC All Products Market</w:t>
        </w:r>
        <w:r w:rsidR="001B3282">
          <w:rPr>
            <w:noProof/>
            <w:webHidden/>
          </w:rPr>
          <w:tab/>
        </w:r>
        <w:r w:rsidR="001B3282">
          <w:rPr>
            <w:noProof/>
            <w:webHidden/>
          </w:rPr>
          <w:fldChar w:fldCharType="begin"/>
        </w:r>
        <w:r w:rsidR="001B3282">
          <w:rPr>
            <w:noProof/>
            <w:webHidden/>
          </w:rPr>
          <w:instrText xml:space="preserve"> PAGEREF _Toc136872339 \h </w:instrText>
        </w:r>
        <w:r w:rsidR="001B3282">
          <w:rPr>
            <w:noProof/>
            <w:webHidden/>
          </w:rPr>
        </w:r>
        <w:r w:rsidR="001B3282">
          <w:rPr>
            <w:noProof/>
            <w:webHidden/>
          </w:rPr>
          <w:fldChar w:fldCharType="separate"/>
        </w:r>
        <w:r w:rsidR="001B3282">
          <w:rPr>
            <w:noProof/>
            <w:webHidden/>
          </w:rPr>
          <w:t>8</w:t>
        </w:r>
        <w:r w:rsidR="001B3282">
          <w:rPr>
            <w:noProof/>
            <w:webHidden/>
          </w:rPr>
          <w:fldChar w:fldCharType="end"/>
        </w:r>
      </w:hyperlink>
    </w:p>
    <w:p w14:paraId="344069F2" w14:textId="70BC7C94" w:rsidR="001B3282" w:rsidRDefault="00D35806">
      <w:pPr>
        <w:pStyle w:val="TableofFigures"/>
        <w:tabs>
          <w:tab w:val="right" w:leader="dot" w:pos="9016"/>
        </w:tabs>
        <w:rPr>
          <w:noProof/>
          <w:kern w:val="2"/>
          <w14:ligatures w14:val="standardContextual"/>
        </w:rPr>
      </w:pPr>
      <w:hyperlink w:anchor="_Toc136872340" w:history="1">
        <w:r w:rsidR="001B3282" w:rsidRPr="00C2087D">
          <w:rPr>
            <w:rStyle w:val="Hyperlink"/>
            <w:noProof/>
          </w:rPr>
          <w:t>Figure 16: Storage Depot Market Share (%)</w:t>
        </w:r>
        <w:r w:rsidR="001B3282">
          <w:rPr>
            <w:noProof/>
            <w:webHidden/>
          </w:rPr>
          <w:tab/>
        </w:r>
        <w:r w:rsidR="001B3282">
          <w:rPr>
            <w:noProof/>
            <w:webHidden/>
          </w:rPr>
          <w:fldChar w:fldCharType="begin"/>
        </w:r>
        <w:r w:rsidR="001B3282">
          <w:rPr>
            <w:noProof/>
            <w:webHidden/>
          </w:rPr>
          <w:instrText xml:space="preserve"> PAGEREF _Toc136872340 \h </w:instrText>
        </w:r>
        <w:r w:rsidR="001B3282">
          <w:rPr>
            <w:noProof/>
            <w:webHidden/>
          </w:rPr>
        </w:r>
        <w:r w:rsidR="001B3282">
          <w:rPr>
            <w:noProof/>
            <w:webHidden/>
          </w:rPr>
          <w:fldChar w:fldCharType="separate"/>
        </w:r>
        <w:r w:rsidR="001B3282">
          <w:rPr>
            <w:noProof/>
            <w:webHidden/>
          </w:rPr>
          <w:t>9</w:t>
        </w:r>
        <w:r w:rsidR="001B3282">
          <w:rPr>
            <w:noProof/>
            <w:webHidden/>
          </w:rPr>
          <w:fldChar w:fldCharType="end"/>
        </w:r>
      </w:hyperlink>
    </w:p>
    <w:p w14:paraId="262D43E1" w14:textId="0DD06BE0" w:rsidR="001B3282" w:rsidRDefault="00D35806">
      <w:pPr>
        <w:pStyle w:val="TableofFigures"/>
        <w:tabs>
          <w:tab w:val="right" w:leader="dot" w:pos="9016"/>
        </w:tabs>
        <w:rPr>
          <w:noProof/>
          <w:kern w:val="2"/>
          <w14:ligatures w14:val="standardContextual"/>
        </w:rPr>
      </w:pPr>
      <w:hyperlink w:anchor="_Toc136872341" w:history="1">
        <w:r w:rsidR="001B3282" w:rsidRPr="00C2087D">
          <w:rPr>
            <w:rStyle w:val="Hyperlink"/>
            <w:noProof/>
          </w:rPr>
          <w:t>Figure 17: Storage Depot Utilization Rates (%)</w:t>
        </w:r>
        <w:r w:rsidR="001B3282">
          <w:rPr>
            <w:noProof/>
            <w:webHidden/>
          </w:rPr>
          <w:tab/>
        </w:r>
        <w:r w:rsidR="001B3282">
          <w:rPr>
            <w:noProof/>
            <w:webHidden/>
          </w:rPr>
          <w:fldChar w:fldCharType="begin"/>
        </w:r>
        <w:r w:rsidR="001B3282">
          <w:rPr>
            <w:noProof/>
            <w:webHidden/>
          </w:rPr>
          <w:instrText xml:space="preserve"> PAGEREF _Toc136872341 \h </w:instrText>
        </w:r>
        <w:r w:rsidR="001B3282">
          <w:rPr>
            <w:noProof/>
            <w:webHidden/>
          </w:rPr>
        </w:r>
        <w:r w:rsidR="001B3282">
          <w:rPr>
            <w:noProof/>
            <w:webHidden/>
          </w:rPr>
          <w:fldChar w:fldCharType="separate"/>
        </w:r>
        <w:r w:rsidR="001B3282">
          <w:rPr>
            <w:noProof/>
            <w:webHidden/>
          </w:rPr>
          <w:t>10</w:t>
        </w:r>
        <w:r w:rsidR="001B3282">
          <w:rPr>
            <w:noProof/>
            <w:webHidden/>
          </w:rPr>
          <w:fldChar w:fldCharType="end"/>
        </w:r>
      </w:hyperlink>
    </w:p>
    <w:p w14:paraId="3191D5D9" w14:textId="72F7F1C4" w:rsidR="001B3282" w:rsidRDefault="00D35806">
      <w:pPr>
        <w:pStyle w:val="TableofFigures"/>
        <w:tabs>
          <w:tab w:val="right" w:leader="dot" w:pos="9016"/>
        </w:tabs>
        <w:rPr>
          <w:noProof/>
          <w:kern w:val="2"/>
          <w14:ligatures w14:val="standardContextual"/>
        </w:rPr>
      </w:pPr>
      <w:hyperlink w:anchor="_Toc136872342" w:history="1">
        <w:r w:rsidR="001B3282" w:rsidRPr="00C2087D">
          <w:rPr>
            <w:rStyle w:val="Hyperlink"/>
            <w:noProof/>
          </w:rPr>
          <w:t>Figure 18: HHI for Storage Depots All Products Market</w:t>
        </w:r>
        <w:r w:rsidR="001B3282">
          <w:rPr>
            <w:noProof/>
            <w:webHidden/>
          </w:rPr>
          <w:tab/>
        </w:r>
        <w:r w:rsidR="001B3282">
          <w:rPr>
            <w:noProof/>
            <w:webHidden/>
          </w:rPr>
          <w:fldChar w:fldCharType="begin"/>
        </w:r>
        <w:r w:rsidR="001B3282">
          <w:rPr>
            <w:noProof/>
            <w:webHidden/>
          </w:rPr>
          <w:instrText xml:space="preserve"> PAGEREF _Toc136872342 \h </w:instrText>
        </w:r>
        <w:r w:rsidR="001B3282">
          <w:rPr>
            <w:noProof/>
            <w:webHidden/>
          </w:rPr>
        </w:r>
        <w:r w:rsidR="001B3282">
          <w:rPr>
            <w:noProof/>
            <w:webHidden/>
          </w:rPr>
          <w:fldChar w:fldCharType="separate"/>
        </w:r>
        <w:r w:rsidR="001B3282">
          <w:rPr>
            <w:noProof/>
            <w:webHidden/>
          </w:rPr>
          <w:t>10</w:t>
        </w:r>
        <w:r w:rsidR="001B3282">
          <w:rPr>
            <w:noProof/>
            <w:webHidden/>
          </w:rPr>
          <w:fldChar w:fldCharType="end"/>
        </w:r>
      </w:hyperlink>
    </w:p>
    <w:p w14:paraId="42C5A7C5" w14:textId="517CBCCF" w:rsidR="001B3282" w:rsidRDefault="00D35806">
      <w:pPr>
        <w:pStyle w:val="TableofFigures"/>
        <w:tabs>
          <w:tab w:val="right" w:leader="dot" w:pos="9016"/>
        </w:tabs>
        <w:rPr>
          <w:noProof/>
          <w:kern w:val="2"/>
          <w14:ligatures w14:val="standardContextual"/>
        </w:rPr>
      </w:pPr>
      <w:hyperlink w:anchor="_Toc136872343" w:history="1">
        <w:r w:rsidR="001B3282" w:rsidRPr="00C2087D">
          <w:rPr>
            <w:rStyle w:val="Hyperlink"/>
            <w:noProof/>
          </w:rPr>
          <w:t>Figure 19: Discharge Facilities Market Share (%)</w:t>
        </w:r>
        <w:r w:rsidR="001B3282">
          <w:rPr>
            <w:noProof/>
            <w:webHidden/>
          </w:rPr>
          <w:tab/>
        </w:r>
        <w:r w:rsidR="001B3282">
          <w:rPr>
            <w:noProof/>
            <w:webHidden/>
          </w:rPr>
          <w:fldChar w:fldCharType="begin"/>
        </w:r>
        <w:r w:rsidR="001B3282">
          <w:rPr>
            <w:noProof/>
            <w:webHidden/>
          </w:rPr>
          <w:instrText xml:space="preserve"> PAGEREF _Toc136872343 \h </w:instrText>
        </w:r>
        <w:r w:rsidR="001B3282">
          <w:rPr>
            <w:noProof/>
            <w:webHidden/>
          </w:rPr>
        </w:r>
        <w:r w:rsidR="001B3282">
          <w:rPr>
            <w:noProof/>
            <w:webHidden/>
          </w:rPr>
          <w:fldChar w:fldCharType="separate"/>
        </w:r>
        <w:r w:rsidR="001B3282">
          <w:rPr>
            <w:noProof/>
            <w:webHidden/>
          </w:rPr>
          <w:t>11</w:t>
        </w:r>
        <w:r w:rsidR="001B3282">
          <w:rPr>
            <w:noProof/>
            <w:webHidden/>
          </w:rPr>
          <w:fldChar w:fldCharType="end"/>
        </w:r>
      </w:hyperlink>
    </w:p>
    <w:p w14:paraId="44DAFA83" w14:textId="77777777" w:rsidR="00D72105" w:rsidRDefault="00982208" w:rsidP="00C02C98">
      <w:pPr>
        <w:rPr>
          <w:rFonts w:ascii="Times New Roman" w:hAnsi="Times New Roman" w:cs="Times New Roman"/>
          <w:sz w:val="24"/>
          <w:szCs w:val="24"/>
          <w:highlight w:val="yellow"/>
        </w:rPr>
      </w:pPr>
      <w:r>
        <w:rPr>
          <w:rFonts w:ascii="Times New Roman" w:hAnsi="Times New Roman" w:cs="Times New Roman"/>
          <w:sz w:val="24"/>
          <w:szCs w:val="24"/>
          <w:highlight w:val="yellow"/>
        </w:rPr>
        <w:fldChar w:fldCharType="end"/>
      </w:r>
    </w:p>
    <w:p w14:paraId="690037E4" w14:textId="77777777" w:rsidR="009E7368" w:rsidRDefault="009E7368" w:rsidP="00C02C98">
      <w:pPr>
        <w:rPr>
          <w:rFonts w:ascii="Times New Roman" w:hAnsi="Times New Roman" w:cs="Times New Roman"/>
          <w:sz w:val="24"/>
          <w:szCs w:val="24"/>
          <w:highlight w:val="yellow"/>
        </w:rPr>
      </w:pPr>
    </w:p>
    <w:p w14:paraId="486D171F" w14:textId="77777777" w:rsidR="009E7368" w:rsidRDefault="009E7368" w:rsidP="00C02C98">
      <w:pPr>
        <w:rPr>
          <w:rFonts w:ascii="Times New Roman" w:hAnsi="Times New Roman" w:cs="Times New Roman"/>
          <w:sz w:val="24"/>
          <w:szCs w:val="24"/>
          <w:highlight w:val="yellow"/>
        </w:rPr>
      </w:pPr>
    </w:p>
    <w:p w14:paraId="1C1CCC51" w14:textId="77777777" w:rsidR="009E7368" w:rsidRDefault="009E7368" w:rsidP="00C02C98">
      <w:pPr>
        <w:rPr>
          <w:rFonts w:ascii="Times New Roman" w:hAnsi="Times New Roman" w:cs="Times New Roman"/>
          <w:sz w:val="24"/>
          <w:szCs w:val="24"/>
          <w:highlight w:val="yellow"/>
        </w:rPr>
      </w:pPr>
    </w:p>
    <w:p w14:paraId="17D700EA" w14:textId="77777777" w:rsidR="009E7368" w:rsidRDefault="009E7368" w:rsidP="00C02C98">
      <w:pPr>
        <w:rPr>
          <w:rFonts w:ascii="Times New Roman" w:hAnsi="Times New Roman" w:cs="Times New Roman"/>
          <w:sz w:val="24"/>
          <w:szCs w:val="24"/>
          <w:highlight w:val="yellow"/>
        </w:rPr>
      </w:pPr>
    </w:p>
    <w:p w14:paraId="2E4AE168" w14:textId="77777777" w:rsidR="009E7368" w:rsidRDefault="009E7368" w:rsidP="00C02C98">
      <w:pPr>
        <w:rPr>
          <w:rFonts w:ascii="Times New Roman" w:hAnsi="Times New Roman" w:cs="Times New Roman"/>
          <w:sz w:val="24"/>
          <w:szCs w:val="24"/>
          <w:highlight w:val="yellow"/>
        </w:rPr>
      </w:pPr>
    </w:p>
    <w:p w14:paraId="09B628CD" w14:textId="77777777" w:rsidR="009E7368" w:rsidRDefault="009E7368" w:rsidP="00C02C98">
      <w:pPr>
        <w:rPr>
          <w:rFonts w:ascii="Times New Roman" w:hAnsi="Times New Roman" w:cs="Times New Roman"/>
          <w:sz w:val="24"/>
          <w:szCs w:val="24"/>
          <w:highlight w:val="yellow"/>
        </w:rPr>
      </w:pPr>
    </w:p>
    <w:p w14:paraId="2C480808" w14:textId="77777777" w:rsidR="009E7368" w:rsidRDefault="009E7368" w:rsidP="00C02C98">
      <w:pPr>
        <w:rPr>
          <w:rFonts w:ascii="Times New Roman" w:hAnsi="Times New Roman" w:cs="Times New Roman"/>
          <w:sz w:val="24"/>
          <w:szCs w:val="24"/>
          <w:highlight w:val="yellow"/>
        </w:rPr>
      </w:pPr>
    </w:p>
    <w:p w14:paraId="6268E04A" w14:textId="77777777" w:rsidR="009E7368" w:rsidRDefault="009E7368" w:rsidP="00C02C98">
      <w:pPr>
        <w:rPr>
          <w:rFonts w:ascii="Times New Roman" w:hAnsi="Times New Roman" w:cs="Times New Roman"/>
          <w:sz w:val="24"/>
          <w:szCs w:val="24"/>
          <w:highlight w:val="yellow"/>
        </w:rPr>
      </w:pPr>
    </w:p>
    <w:p w14:paraId="6C71585D" w14:textId="77777777" w:rsidR="009E7368" w:rsidRDefault="009E7368" w:rsidP="00C02C98">
      <w:pPr>
        <w:rPr>
          <w:rFonts w:ascii="Times New Roman" w:hAnsi="Times New Roman" w:cs="Times New Roman"/>
          <w:sz w:val="24"/>
          <w:szCs w:val="24"/>
          <w:highlight w:val="yellow"/>
        </w:rPr>
      </w:pPr>
    </w:p>
    <w:p w14:paraId="1DF5301D" w14:textId="77777777" w:rsidR="00B47C95" w:rsidRDefault="00B47C95" w:rsidP="00C02C98">
      <w:pPr>
        <w:rPr>
          <w:rFonts w:ascii="Times New Roman" w:hAnsi="Times New Roman" w:cs="Times New Roman"/>
          <w:sz w:val="24"/>
          <w:szCs w:val="24"/>
          <w:highlight w:val="yellow"/>
        </w:rPr>
      </w:pPr>
    </w:p>
    <w:p w14:paraId="6243811B" w14:textId="77777777" w:rsidR="00B47C95" w:rsidRDefault="00B47C95" w:rsidP="00C02C98">
      <w:pPr>
        <w:rPr>
          <w:rFonts w:ascii="Times New Roman" w:hAnsi="Times New Roman" w:cs="Times New Roman"/>
          <w:sz w:val="24"/>
          <w:szCs w:val="24"/>
          <w:highlight w:val="yellow"/>
        </w:rPr>
      </w:pPr>
    </w:p>
    <w:p w14:paraId="1F30AEC0" w14:textId="3510E5A6" w:rsidR="00A12541" w:rsidRDefault="00D637C6" w:rsidP="00B47C95">
      <w:pPr>
        <w:pStyle w:val="Heading1"/>
      </w:pPr>
      <w:bookmarkStart w:id="9" w:name="_Toc141440538"/>
      <w:r w:rsidRPr="00B47C95">
        <w:rPr>
          <w:rFonts w:ascii="Times New Roman" w:hAnsi="Times New Roman" w:cs="Times New Roman"/>
          <w:sz w:val="56"/>
          <w:szCs w:val="56"/>
        </w:rPr>
        <w:lastRenderedPageBreak/>
        <w:t>Executive Summary</w:t>
      </w:r>
      <w:bookmarkEnd w:id="9"/>
    </w:p>
    <w:p w14:paraId="33EACAE8" w14:textId="5D018AB7" w:rsidR="00D637C6" w:rsidRPr="00B47C95" w:rsidRDefault="00D637C6" w:rsidP="00B47C95">
      <w:pPr>
        <w:jc w:val="both"/>
        <w:rPr>
          <w:rFonts w:ascii="Times New Roman" w:hAnsi="Times New Roman" w:cs="Times New Roman"/>
          <w:sz w:val="24"/>
          <w:szCs w:val="24"/>
        </w:rPr>
      </w:pPr>
      <w:r w:rsidRPr="00B47C95">
        <w:rPr>
          <w:rFonts w:ascii="Times New Roman" w:hAnsi="Times New Roman" w:cs="Times New Roman"/>
          <w:sz w:val="24"/>
          <w:szCs w:val="24"/>
        </w:rPr>
        <w:t>This report is the maiden edition of quarterly downstream industry analytical reports to be published by the Research Department of the National Petroleum Authority (NPA</w:t>
      </w:r>
      <w:r w:rsidR="00CB1AB0" w:rsidRPr="00B47C95">
        <w:rPr>
          <w:rFonts w:ascii="Times New Roman" w:hAnsi="Times New Roman" w:cs="Times New Roman"/>
          <w:sz w:val="24"/>
          <w:szCs w:val="24"/>
        </w:rPr>
        <w:t>).</w:t>
      </w:r>
      <w:r w:rsidRPr="00B47C95">
        <w:rPr>
          <w:rFonts w:ascii="Times New Roman" w:hAnsi="Times New Roman" w:cs="Times New Roman"/>
          <w:sz w:val="24"/>
          <w:szCs w:val="24"/>
        </w:rPr>
        <w:t xml:space="preserve"> The report is tailor-made to keep industry players up to speed with key developments in Ghana’s downstream petroleum industry and could serve as a useful source of information for informed decision making. Through these reports, the NPA also hopes to open a two-way medium of communication through which industry sentiments and feedback from the general public may be obtained. To this end, the current edition </w:t>
      </w:r>
      <w:r w:rsidR="00432591" w:rsidRPr="00B47C95">
        <w:rPr>
          <w:rFonts w:ascii="Times New Roman" w:hAnsi="Times New Roman" w:cs="Times New Roman"/>
          <w:sz w:val="24"/>
          <w:szCs w:val="24"/>
        </w:rPr>
        <w:t>themed “</w:t>
      </w:r>
      <w:r w:rsidR="003D3216" w:rsidRPr="00B47C95">
        <w:rPr>
          <w:rFonts w:ascii="Times New Roman" w:hAnsi="Times New Roman" w:cs="Times New Roman"/>
          <w:sz w:val="24"/>
          <w:szCs w:val="24"/>
        </w:rPr>
        <w:t>increasing petroleum products demand in a less competitive market</w:t>
      </w:r>
      <w:r w:rsidR="00432591" w:rsidRPr="00B47C95">
        <w:rPr>
          <w:rFonts w:ascii="Times New Roman" w:hAnsi="Times New Roman" w:cs="Times New Roman"/>
          <w:sz w:val="24"/>
          <w:szCs w:val="24"/>
        </w:rPr>
        <w:t xml:space="preserve">”, </w:t>
      </w:r>
      <w:r w:rsidRPr="00B47C95">
        <w:rPr>
          <w:rFonts w:ascii="Times New Roman" w:hAnsi="Times New Roman" w:cs="Times New Roman"/>
          <w:sz w:val="24"/>
          <w:szCs w:val="24"/>
        </w:rPr>
        <w:t xml:space="preserve">primarily focuses on analysis of national demand and supply of refined petroleum products, </w:t>
      </w:r>
      <w:r w:rsidR="00CB1AB0" w:rsidRPr="00B47C95">
        <w:rPr>
          <w:rFonts w:ascii="Times New Roman" w:hAnsi="Times New Roman" w:cs="Times New Roman"/>
          <w:sz w:val="24"/>
          <w:szCs w:val="24"/>
        </w:rPr>
        <w:t>prices, performance</w:t>
      </w:r>
      <w:r w:rsidRPr="00B47C95">
        <w:rPr>
          <w:rFonts w:ascii="Times New Roman" w:hAnsi="Times New Roman" w:cs="Times New Roman"/>
          <w:sz w:val="24"/>
          <w:szCs w:val="24"/>
        </w:rPr>
        <w:t xml:space="preserve"> of major petroleum service providers</w:t>
      </w:r>
      <w:r w:rsidR="003D3216" w:rsidRPr="00B47C95">
        <w:rPr>
          <w:rFonts w:ascii="Times New Roman" w:hAnsi="Times New Roman" w:cs="Times New Roman"/>
          <w:sz w:val="24"/>
          <w:szCs w:val="24"/>
        </w:rPr>
        <w:t xml:space="preserve"> as well as other developments in the industry</w:t>
      </w:r>
      <w:r w:rsidRPr="00B47C95">
        <w:rPr>
          <w:rFonts w:ascii="Times New Roman" w:hAnsi="Times New Roman" w:cs="Times New Roman"/>
          <w:sz w:val="24"/>
          <w:szCs w:val="24"/>
        </w:rPr>
        <w:t xml:space="preserve">. Subsequent editions are expected to build on this version.  </w:t>
      </w:r>
    </w:p>
    <w:p w14:paraId="5658C54D" w14:textId="346C2C36" w:rsidR="004266B4" w:rsidRPr="00B47C95" w:rsidRDefault="004266B4" w:rsidP="00B47C95">
      <w:pPr>
        <w:jc w:val="both"/>
        <w:rPr>
          <w:rFonts w:ascii="Times New Roman" w:hAnsi="Times New Roman" w:cs="Times New Roman"/>
          <w:sz w:val="24"/>
          <w:szCs w:val="24"/>
        </w:rPr>
      </w:pPr>
      <w:r w:rsidRPr="00B47C95">
        <w:rPr>
          <w:rFonts w:ascii="Times New Roman" w:hAnsi="Times New Roman" w:cs="Times New Roman"/>
          <w:sz w:val="24"/>
          <w:szCs w:val="24"/>
        </w:rPr>
        <w:t xml:space="preserve">The report </w:t>
      </w:r>
      <w:r w:rsidR="003D3216" w:rsidRPr="00B47C95">
        <w:rPr>
          <w:rFonts w:ascii="Times New Roman" w:hAnsi="Times New Roman" w:cs="Times New Roman"/>
          <w:sz w:val="24"/>
          <w:szCs w:val="24"/>
        </w:rPr>
        <w:t>discusses</w:t>
      </w:r>
      <w:r w:rsidRPr="00B47C95">
        <w:rPr>
          <w:rFonts w:ascii="Times New Roman" w:hAnsi="Times New Roman" w:cs="Times New Roman"/>
          <w:sz w:val="24"/>
          <w:szCs w:val="24"/>
        </w:rPr>
        <w:t xml:space="preserve"> supply, demand, and pricing of refined petroleum products, as well as the performance of petroleum service providers for the first quarter of 2023. The analysis revealed that supply of refined petroleum products increased by 17% from the previous quarter. Imports accounted for about three-quarters (74%) of total supply while inventory from the previous quarter accounted for about one-quarter (24%) of available supply. Local production accounted for 2% for the period.</w:t>
      </w:r>
    </w:p>
    <w:p w14:paraId="2695F650" w14:textId="77777777" w:rsidR="004266B4" w:rsidRPr="00B47C95" w:rsidRDefault="004266B4" w:rsidP="00B47C95">
      <w:pPr>
        <w:jc w:val="both"/>
        <w:rPr>
          <w:rFonts w:ascii="Times New Roman" w:hAnsi="Times New Roman" w:cs="Times New Roman"/>
          <w:sz w:val="24"/>
          <w:szCs w:val="24"/>
        </w:rPr>
      </w:pPr>
      <w:r w:rsidRPr="00B47C95">
        <w:rPr>
          <w:rFonts w:ascii="Times New Roman" w:hAnsi="Times New Roman" w:cs="Times New Roman"/>
          <w:sz w:val="24"/>
          <w:szCs w:val="24"/>
        </w:rPr>
        <w:t xml:space="preserve">Demand (sales) of refined petroleum products increased by 7% for the period. Domestic demand accounted for 92% of total sales, while export accounted for 8% of total sales for the period. The Greater Accra accounted for a third of national demand, while the Upper West accounted for the least demand. </w:t>
      </w:r>
    </w:p>
    <w:p w14:paraId="62171EA5" w14:textId="50225A36" w:rsidR="004266B4" w:rsidRPr="00B47C95" w:rsidRDefault="004266B4" w:rsidP="00B47C95">
      <w:pPr>
        <w:jc w:val="both"/>
        <w:rPr>
          <w:rFonts w:ascii="Times New Roman" w:hAnsi="Times New Roman" w:cs="Times New Roman"/>
          <w:sz w:val="24"/>
          <w:szCs w:val="24"/>
        </w:rPr>
      </w:pPr>
      <w:r w:rsidRPr="00B47C95">
        <w:rPr>
          <w:rFonts w:ascii="Times New Roman" w:hAnsi="Times New Roman" w:cs="Times New Roman"/>
          <w:sz w:val="24"/>
          <w:szCs w:val="24"/>
        </w:rPr>
        <w:t xml:space="preserve">Competition in the petroleum downstream industry was mixed with the BIDEC and OMC/LPGMC markets experiencing a </w:t>
      </w:r>
      <w:r w:rsidR="00F5459F">
        <w:rPr>
          <w:rFonts w:ascii="Times New Roman" w:hAnsi="Times New Roman" w:cs="Times New Roman"/>
          <w:sz w:val="24"/>
          <w:szCs w:val="24"/>
        </w:rPr>
        <w:t>less market concentration</w:t>
      </w:r>
      <w:r w:rsidRPr="00B47C95">
        <w:rPr>
          <w:rFonts w:ascii="Times New Roman" w:hAnsi="Times New Roman" w:cs="Times New Roman"/>
          <w:sz w:val="24"/>
          <w:szCs w:val="24"/>
        </w:rPr>
        <w:t xml:space="preserve"> than the previous quar</w:t>
      </w:r>
      <w:r w:rsidR="00F5459F">
        <w:rPr>
          <w:rFonts w:ascii="Times New Roman" w:hAnsi="Times New Roman" w:cs="Times New Roman"/>
          <w:sz w:val="24"/>
          <w:szCs w:val="24"/>
        </w:rPr>
        <w:t>ter.</w:t>
      </w:r>
    </w:p>
    <w:p w14:paraId="2BFF9A00" w14:textId="40779E70" w:rsidR="004266B4" w:rsidRPr="00B47C95" w:rsidRDefault="00F5459F" w:rsidP="00B47C95">
      <w:pPr>
        <w:jc w:val="both"/>
      </w:pPr>
      <w:r>
        <w:rPr>
          <w:rFonts w:ascii="Times New Roman" w:hAnsi="Times New Roman" w:cs="Times New Roman"/>
          <w:sz w:val="24"/>
          <w:szCs w:val="24"/>
        </w:rPr>
        <w:t>The i</w:t>
      </w:r>
      <w:r w:rsidR="004266B4" w:rsidRPr="00B47C95">
        <w:rPr>
          <w:rFonts w:ascii="Times New Roman" w:hAnsi="Times New Roman" w:cs="Times New Roman"/>
          <w:sz w:val="24"/>
          <w:szCs w:val="24"/>
        </w:rPr>
        <w:t>nternational prices of refined petroleum products generally decreased for the period. Except for LPG which increased by 3.58%, all products decreased between 7.29%-16.40% from the previous period. Ex refinery prices declined between 7.29%-23.3%, while ex pump prices declined between 2.88%-19.56% for diesel, petrol, and LPG for the period under review.</w:t>
      </w:r>
    </w:p>
    <w:p w14:paraId="2B80A247" w14:textId="33C2046A" w:rsidR="004266B4" w:rsidRPr="00D637C6" w:rsidRDefault="004266B4" w:rsidP="00B47C95">
      <w:pPr>
        <w:rPr>
          <w:rFonts w:ascii="Times New Roman" w:hAnsi="Times New Roman" w:cs="Times New Roman"/>
          <w:sz w:val="24"/>
          <w:szCs w:val="24"/>
          <w:highlight w:val="yellow"/>
        </w:rPr>
        <w:sectPr w:rsidR="004266B4" w:rsidRPr="00D637C6" w:rsidSect="00B47C95">
          <w:headerReference w:type="default" r:id="rId11"/>
          <w:footerReference w:type="default" r:id="rId12"/>
          <w:pgSz w:w="16838" w:h="11906" w:orient="landscape"/>
          <w:pgMar w:top="180" w:right="567" w:bottom="1440" w:left="567" w:header="706" w:footer="706" w:gutter="0"/>
          <w:pgNumType w:fmt="lowerRoman" w:start="1"/>
          <w:cols w:num="2" w:space="708"/>
          <w:docGrid w:linePitch="360"/>
        </w:sectPr>
      </w:pPr>
    </w:p>
    <w:p w14:paraId="603271AB" w14:textId="132C8831" w:rsidR="0017110B" w:rsidRPr="00B47C95" w:rsidRDefault="0017110B" w:rsidP="0017110B">
      <w:pPr>
        <w:pStyle w:val="Heading1"/>
        <w:rPr>
          <w:rFonts w:ascii="Times New Roman" w:hAnsi="Times New Roman" w:cs="Times New Roman"/>
          <w:sz w:val="56"/>
          <w:szCs w:val="56"/>
        </w:rPr>
      </w:pPr>
      <w:bookmarkStart w:id="10" w:name="_Toc141440539"/>
      <w:bookmarkEnd w:id="7"/>
      <w:r w:rsidRPr="00B47C95">
        <w:rPr>
          <w:rFonts w:ascii="Times New Roman" w:hAnsi="Times New Roman" w:cs="Times New Roman"/>
          <w:sz w:val="56"/>
          <w:szCs w:val="56"/>
        </w:rPr>
        <w:lastRenderedPageBreak/>
        <w:t>1.0 Introduction</w:t>
      </w:r>
      <w:bookmarkEnd w:id="10"/>
    </w:p>
    <w:p w14:paraId="0A3F8C22" w14:textId="17817D89" w:rsidR="0017110B" w:rsidRPr="00B47C95" w:rsidRDefault="0017110B" w:rsidP="00B47C95">
      <w:pPr>
        <w:jc w:val="both"/>
        <w:rPr>
          <w:rFonts w:ascii="Times New Roman" w:hAnsi="Times New Roman" w:cs="Times New Roman"/>
          <w:sz w:val="24"/>
          <w:szCs w:val="24"/>
        </w:rPr>
      </w:pPr>
      <w:r w:rsidRPr="00B47C95">
        <w:rPr>
          <w:rFonts w:ascii="Times New Roman" w:hAnsi="Times New Roman" w:cs="Times New Roman"/>
          <w:sz w:val="24"/>
          <w:szCs w:val="24"/>
        </w:rPr>
        <w:t xml:space="preserve">The petroleum downstream industry has evolved over the years and currently has 30 categories of service providers, with tens of thousands of </w:t>
      </w:r>
      <w:r w:rsidR="00396740" w:rsidRPr="00B47C95">
        <w:rPr>
          <w:rFonts w:ascii="Times New Roman" w:hAnsi="Times New Roman" w:cs="Times New Roman"/>
          <w:sz w:val="24"/>
          <w:szCs w:val="24"/>
        </w:rPr>
        <w:t>employments</w:t>
      </w:r>
      <w:r w:rsidRPr="00B47C95">
        <w:rPr>
          <w:rFonts w:ascii="Times New Roman" w:hAnsi="Times New Roman" w:cs="Times New Roman"/>
          <w:sz w:val="24"/>
          <w:szCs w:val="24"/>
        </w:rPr>
        <w:t>. The industry facilitates the movement of people and goods in the road transport sector, mining, marine, and aviation sectors</w:t>
      </w:r>
      <w:r w:rsidR="001E4F18" w:rsidRPr="00B47C95">
        <w:rPr>
          <w:rFonts w:ascii="Times New Roman" w:hAnsi="Times New Roman" w:cs="Times New Roman"/>
          <w:sz w:val="24"/>
          <w:szCs w:val="24"/>
        </w:rPr>
        <w:t xml:space="preserve"> etc</w:t>
      </w:r>
      <w:r w:rsidRPr="00B47C95">
        <w:rPr>
          <w:rFonts w:ascii="Times New Roman" w:hAnsi="Times New Roman" w:cs="Times New Roman"/>
          <w:sz w:val="24"/>
          <w:szCs w:val="24"/>
        </w:rPr>
        <w:t xml:space="preserve">. The value of the industry is estimated at over 60 billion cedis in 2022, </w:t>
      </w:r>
      <w:r w:rsidR="00315F2A" w:rsidRPr="00B47C95">
        <w:rPr>
          <w:rFonts w:ascii="Times New Roman" w:hAnsi="Times New Roman" w:cs="Times New Roman"/>
          <w:sz w:val="24"/>
          <w:szCs w:val="24"/>
        </w:rPr>
        <w:t xml:space="preserve">which </w:t>
      </w:r>
      <w:r w:rsidR="00CB1AB0" w:rsidRPr="00B47C95">
        <w:rPr>
          <w:rFonts w:ascii="Times New Roman" w:hAnsi="Times New Roman" w:cs="Times New Roman"/>
          <w:sz w:val="24"/>
          <w:szCs w:val="24"/>
        </w:rPr>
        <w:t>is</w:t>
      </w:r>
      <w:r w:rsidR="00315F2A" w:rsidRPr="00B47C95">
        <w:rPr>
          <w:rFonts w:ascii="Times New Roman" w:hAnsi="Times New Roman" w:cs="Times New Roman"/>
          <w:sz w:val="24"/>
          <w:szCs w:val="24"/>
        </w:rPr>
        <w:t xml:space="preserve"> equivalent </w:t>
      </w:r>
      <w:r w:rsidR="009E7368" w:rsidRPr="00B47C95">
        <w:rPr>
          <w:rFonts w:ascii="Times New Roman" w:hAnsi="Times New Roman" w:cs="Times New Roman"/>
          <w:sz w:val="24"/>
          <w:szCs w:val="24"/>
        </w:rPr>
        <w:t>to 9.8</w:t>
      </w:r>
      <w:r w:rsidRPr="00B47C95">
        <w:rPr>
          <w:rFonts w:ascii="Times New Roman" w:hAnsi="Times New Roman" w:cs="Times New Roman"/>
          <w:sz w:val="24"/>
          <w:szCs w:val="24"/>
        </w:rPr>
        <w:t>% of the country’s 2022 G</w:t>
      </w:r>
      <w:r w:rsidR="00315F2A" w:rsidRPr="00B47C95">
        <w:rPr>
          <w:rFonts w:ascii="Times New Roman" w:hAnsi="Times New Roman" w:cs="Times New Roman"/>
          <w:sz w:val="24"/>
          <w:szCs w:val="24"/>
        </w:rPr>
        <w:t xml:space="preserve">ross </w:t>
      </w:r>
      <w:r w:rsidRPr="00B47C95">
        <w:rPr>
          <w:rFonts w:ascii="Times New Roman" w:hAnsi="Times New Roman" w:cs="Times New Roman"/>
          <w:sz w:val="24"/>
          <w:szCs w:val="24"/>
        </w:rPr>
        <w:t>D</w:t>
      </w:r>
      <w:r w:rsidR="00315F2A" w:rsidRPr="00B47C95">
        <w:rPr>
          <w:rFonts w:ascii="Times New Roman" w:hAnsi="Times New Roman" w:cs="Times New Roman"/>
          <w:sz w:val="24"/>
          <w:szCs w:val="24"/>
        </w:rPr>
        <w:t xml:space="preserve">omestic </w:t>
      </w:r>
      <w:r w:rsidRPr="00B47C95">
        <w:rPr>
          <w:rFonts w:ascii="Times New Roman" w:hAnsi="Times New Roman" w:cs="Times New Roman"/>
          <w:sz w:val="24"/>
          <w:szCs w:val="24"/>
        </w:rPr>
        <w:t>P</w:t>
      </w:r>
      <w:r w:rsidR="00315F2A" w:rsidRPr="00B47C95">
        <w:rPr>
          <w:rFonts w:ascii="Times New Roman" w:hAnsi="Times New Roman" w:cs="Times New Roman"/>
          <w:sz w:val="24"/>
          <w:szCs w:val="24"/>
        </w:rPr>
        <w:t>roduct</w:t>
      </w:r>
      <w:r w:rsidR="00CB1AB0" w:rsidRPr="00B47C95">
        <w:rPr>
          <w:rFonts w:ascii="Times New Roman" w:hAnsi="Times New Roman" w:cs="Times New Roman"/>
          <w:sz w:val="24"/>
          <w:szCs w:val="24"/>
        </w:rPr>
        <w:t xml:space="preserve"> (GDP)</w:t>
      </w:r>
      <w:r w:rsidRPr="00B47C95">
        <w:rPr>
          <w:rFonts w:ascii="Times New Roman" w:hAnsi="Times New Roman" w:cs="Times New Roman"/>
          <w:sz w:val="24"/>
          <w:szCs w:val="24"/>
        </w:rPr>
        <w:t xml:space="preserve">. Also, the industry contributes significantly to government revenue envelope, estimated at over GHS 8.4 billion in taxes and levies for 2022. This accounted for over 8.6% of total central government revenue and grants for 2022. </w:t>
      </w:r>
    </w:p>
    <w:p w14:paraId="6070BDB2" w14:textId="4C773821" w:rsidR="001E4F18" w:rsidRPr="00B47C95" w:rsidRDefault="0017110B" w:rsidP="00B47C95">
      <w:pPr>
        <w:jc w:val="both"/>
        <w:rPr>
          <w:rFonts w:ascii="Times New Roman" w:hAnsi="Times New Roman" w:cs="Times New Roman"/>
          <w:sz w:val="24"/>
          <w:szCs w:val="24"/>
        </w:rPr>
      </w:pPr>
      <w:r w:rsidRPr="00B47C95">
        <w:rPr>
          <w:rFonts w:ascii="Times New Roman" w:hAnsi="Times New Roman" w:cs="Times New Roman"/>
          <w:sz w:val="24"/>
          <w:szCs w:val="24"/>
        </w:rPr>
        <w:t>Due to the strategic importance of the industry, the National Petroleum Authority (NPA) sees the continuous existence of petroleum service providers as critical to the socio-economic advancement of the country. To this end, the NPA, as part of its strategic plan for 2020 to 2024 identified the following strategic imperatives, among others, to support the growth of the industry</w:t>
      </w:r>
      <w:r w:rsidR="0080073B" w:rsidRPr="00B47C95">
        <w:rPr>
          <w:rFonts w:ascii="Times New Roman" w:hAnsi="Times New Roman" w:cs="Times New Roman"/>
          <w:sz w:val="24"/>
          <w:szCs w:val="24"/>
        </w:rPr>
        <w:t>.</w:t>
      </w:r>
    </w:p>
    <w:p w14:paraId="00DDAC7B" w14:textId="6D33911B" w:rsidR="0017110B" w:rsidRPr="00B47C95" w:rsidRDefault="0017110B" w:rsidP="00B47C95">
      <w:pPr>
        <w:pStyle w:val="ListParagraph"/>
        <w:numPr>
          <w:ilvl w:val="0"/>
          <w:numId w:val="36"/>
        </w:numPr>
        <w:jc w:val="both"/>
        <w:rPr>
          <w:rFonts w:ascii="Times New Roman" w:hAnsi="Times New Roman" w:cs="Times New Roman"/>
          <w:sz w:val="24"/>
          <w:szCs w:val="24"/>
        </w:rPr>
      </w:pPr>
      <w:r w:rsidRPr="00B47C95">
        <w:rPr>
          <w:rFonts w:ascii="Times New Roman" w:hAnsi="Times New Roman" w:cs="Times New Roman"/>
          <w:sz w:val="24"/>
          <w:szCs w:val="24"/>
        </w:rPr>
        <w:t xml:space="preserve">Improve and enhance stakeholder </w:t>
      </w:r>
      <w:r w:rsidR="005B6E6D" w:rsidRPr="00B47C95">
        <w:rPr>
          <w:rFonts w:ascii="Times New Roman" w:hAnsi="Times New Roman" w:cs="Times New Roman"/>
          <w:sz w:val="24"/>
          <w:szCs w:val="24"/>
        </w:rPr>
        <w:t>engagement</w:t>
      </w:r>
      <w:r w:rsidR="0080073B" w:rsidRPr="00B47C95">
        <w:rPr>
          <w:rFonts w:ascii="Times New Roman" w:hAnsi="Times New Roman" w:cs="Times New Roman"/>
          <w:sz w:val="24"/>
          <w:szCs w:val="24"/>
        </w:rPr>
        <w:t>.</w:t>
      </w:r>
    </w:p>
    <w:p w14:paraId="532EAC65" w14:textId="5FE33AA2" w:rsidR="0017110B" w:rsidRPr="001E4F18" w:rsidRDefault="0017110B" w:rsidP="001E4F18">
      <w:pPr>
        <w:pStyle w:val="ListParagraph"/>
        <w:numPr>
          <w:ilvl w:val="0"/>
          <w:numId w:val="36"/>
        </w:numPr>
        <w:jc w:val="both"/>
        <w:rPr>
          <w:rFonts w:ascii="Times New Roman" w:hAnsi="Times New Roman" w:cs="Times New Roman"/>
          <w:sz w:val="24"/>
          <w:szCs w:val="24"/>
        </w:rPr>
      </w:pPr>
      <w:r w:rsidRPr="001E4F18">
        <w:rPr>
          <w:rFonts w:ascii="Times New Roman" w:hAnsi="Times New Roman" w:cs="Times New Roman"/>
          <w:sz w:val="24"/>
          <w:szCs w:val="24"/>
        </w:rPr>
        <w:t>Create an enable environment to attract investment in the downstream industry</w:t>
      </w:r>
      <w:r w:rsidR="0080073B">
        <w:rPr>
          <w:rFonts w:ascii="Times New Roman" w:hAnsi="Times New Roman" w:cs="Times New Roman"/>
          <w:sz w:val="24"/>
          <w:szCs w:val="24"/>
        </w:rPr>
        <w:t>.</w:t>
      </w:r>
    </w:p>
    <w:p w14:paraId="409883FF" w14:textId="77777777" w:rsidR="0017110B" w:rsidRPr="001E4F18" w:rsidRDefault="0017110B" w:rsidP="001E4F18">
      <w:pPr>
        <w:pStyle w:val="ListParagraph"/>
        <w:numPr>
          <w:ilvl w:val="0"/>
          <w:numId w:val="36"/>
        </w:numPr>
        <w:jc w:val="both"/>
        <w:rPr>
          <w:rFonts w:ascii="Times New Roman" w:hAnsi="Times New Roman" w:cs="Times New Roman"/>
          <w:sz w:val="24"/>
          <w:szCs w:val="24"/>
        </w:rPr>
      </w:pPr>
      <w:r w:rsidRPr="001E4F18">
        <w:rPr>
          <w:rFonts w:ascii="Times New Roman" w:hAnsi="Times New Roman" w:cs="Times New Roman"/>
          <w:sz w:val="24"/>
          <w:szCs w:val="24"/>
        </w:rPr>
        <w:t>Develop and enhance capacity of indigenous players in the industry.</w:t>
      </w:r>
    </w:p>
    <w:p w14:paraId="1DCCAD24" w14:textId="5DB99E06" w:rsidR="0017110B" w:rsidRDefault="0017110B" w:rsidP="0017110B">
      <w:pPr>
        <w:jc w:val="both"/>
        <w:rPr>
          <w:rFonts w:ascii="Times New Roman" w:hAnsi="Times New Roman" w:cs="Times New Roman"/>
          <w:sz w:val="24"/>
          <w:szCs w:val="24"/>
        </w:rPr>
      </w:pPr>
      <w:r w:rsidRPr="001D1B16">
        <w:rPr>
          <w:rFonts w:ascii="Times New Roman" w:hAnsi="Times New Roman" w:cs="Times New Roman"/>
          <w:sz w:val="24"/>
          <w:szCs w:val="24"/>
        </w:rPr>
        <w:t xml:space="preserve">Against this backdrop, the NPA </w:t>
      </w:r>
      <w:r w:rsidR="00315F2A">
        <w:rPr>
          <w:rFonts w:ascii="Times New Roman" w:hAnsi="Times New Roman" w:cs="Times New Roman"/>
          <w:sz w:val="24"/>
          <w:szCs w:val="24"/>
        </w:rPr>
        <w:t xml:space="preserve">initiated </w:t>
      </w:r>
      <w:r w:rsidR="00D926B4">
        <w:rPr>
          <w:rFonts w:ascii="Times New Roman" w:hAnsi="Times New Roman" w:cs="Times New Roman"/>
          <w:sz w:val="24"/>
          <w:szCs w:val="24"/>
        </w:rPr>
        <w:t xml:space="preserve">this </w:t>
      </w:r>
      <w:r w:rsidR="00D926B4" w:rsidRPr="001D1B16">
        <w:rPr>
          <w:rFonts w:ascii="Times New Roman" w:hAnsi="Times New Roman" w:cs="Times New Roman"/>
          <w:sz w:val="24"/>
          <w:szCs w:val="24"/>
        </w:rPr>
        <w:t>quarterly</w:t>
      </w:r>
      <w:r w:rsidRPr="001D1B16">
        <w:rPr>
          <w:rFonts w:ascii="Times New Roman" w:hAnsi="Times New Roman" w:cs="Times New Roman"/>
          <w:sz w:val="24"/>
          <w:szCs w:val="24"/>
        </w:rPr>
        <w:t xml:space="preserve"> </w:t>
      </w:r>
      <w:r w:rsidR="001E4F18">
        <w:rPr>
          <w:rFonts w:ascii="Times New Roman" w:hAnsi="Times New Roman" w:cs="Times New Roman"/>
          <w:sz w:val="24"/>
          <w:szCs w:val="24"/>
        </w:rPr>
        <w:t xml:space="preserve">petroleum </w:t>
      </w:r>
      <w:r w:rsidRPr="001D1B16">
        <w:rPr>
          <w:rFonts w:ascii="Times New Roman" w:hAnsi="Times New Roman" w:cs="Times New Roman"/>
          <w:sz w:val="24"/>
          <w:szCs w:val="24"/>
        </w:rPr>
        <w:t xml:space="preserve">downstream </w:t>
      </w:r>
      <w:r w:rsidR="001E4F18">
        <w:rPr>
          <w:rFonts w:ascii="Times New Roman" w:hAnsi="Times New Roman" w:cs="Times New Roman"/>
          <w:sz w:val="24"/>
          <w:szCs w:val="24"/>
        </w:rPr>
        <w:t xml:space="preserve">analytical report </w:t>
      </w:r>
      <w:r w:rsidR="00C50BE7">
        <w:rPr>
          <w:rFonts w:ascii="Times New Roman" w:hAnsi="Times New Roman" w:cs="Times New Roman"/>
          <w:sz w:val="24"/>
          <w:szCs w:val="24"/>
        </w:rPr>
        <w:t>with focus on demand, supply, prices of refined petroleum products, the performance of major categories of service providers</w:t>
      </w:r>
      <w:r w:rsidR="00767152">
        <w:rPr>
          <w:rFonts w:ascii="Times New Roman" w:hAnsi="Times New Roman" w:cs="Times New Roman"/>
          <w:sz w:val="24"/>
          <w:szCs w:val="24"/>
        </w:rPr>
        <w:t xml:space="preserve"> as well key developments in the industry</w:t>
      </w:r>
      <w:r w:rsidR="00C50BE7">
        <w:rPr>
          <w:rFonts w:ascii="Times New Roman" w:hAnsi="Times New Roman" w:cs="Times New Roman"/>
          <w:sz w:val="24"/>
          <w:szCs w:val="24"/>
        </w:rPr>
        <w:t xml:space="preserve">. </w:t>
      </w:r>
      <w:r w:rsidRPr="001D1B16">
        <w:rPr>
          <w:rFonts w:ascii="Times New Roman" w:hAnsi="Times New Roman" w:cs="Times New Roman"/>
          <w:sz w:val="24"/>
          <w:szCs w:val="24"/>
        </w:rPr>
        <w:t xml:space="preserve"> </w:t>
      </w:r>
    </w:p>
    <w:p w14:paraId="5228822A" w14:textId="77777777" w:rsidR="006B5B0E" w:rsidRDefault="006B5B0E" w:rsidP="0017110B">
      <w:pPr>
        <w:jc w:val="both"/>
        <w:rPr>
          <w:rFonts w:ascii="Times New Roman" w:hAnsi="Times New Roman" w:cs="Times New Roman"/>
          <w:sz w:val="24"/>
          <w:szCs w:val="24"/>
        </w:rPr>
      </w:pPr>
    </w:p>
    <w:p w14:paraId="43993B00" w14:textId="34F0414B" w:rsidR="00971578" w:rsidRPr="00B47C95" w:rsidRDefault="0017110B" w:rsidP="00B47C95">
      <w:pPr>
        <w:pStyle w:val="Heading1"/>
        <w:rPr>
          <w:rFonts w:ascii="Times New Roman" w:hAnsi="Times New Roman" w:cs="Times New Roman"/>
          <w:sz w:val="52"/>
          <w:szCs w:val="56"/>
        </w:rPr>
      </w:pPr>
      <w:bookmarkStart w:id="11" w:name="_Toc141440540"/>
      <w:r w:rsidRPr="00B47C95">
        <w:rPr>
          <w:rFonts w:ascii="Times New Roman" w:hAnsi="Times New Roman" w:cs="Times New Roman"/>
          <w:sz w:val="52"/>
          <w:szCs w:val="56"/>
        </w:rPr>
        <w:t>2.0</w:t>
      </w:r>
      <w:r w:rsidR="000B111F" w:rsidRPr="00B47C95">
        <w:rPr>
          <w:rFonts w:ascii="Times New Roman" w:hAnsi="Times New Roman" w:cs="Times New Roman"/>
          <w:sz w:val="52"/>
          <w:szCs w:val="56"/>
        </w:rPr>
        <w:t xml:space="preserve"> </w:t>
      </w:r>
      <w:r w:rsidR="007166C5" w:rsidRPr="00B47C95">
        <w:rPr>
          <w:rFonts w:ascii="Times New Roman" w:hAnsi="Times New Roman" w:cs="Times New Roman"/>
          <w:sz w:val="52"/>
          <w:szCs w:val="56"/>
        </w:rPr>
        <w:t>Petroleum</w:t>
      </w:r>
      <w:r w:rsidR="003E6B87" w:rsidRPr="00B47C95">
        <w:rPr>
          <w:rFonts w:ascii="Times New Roman" w:hAnsi="Times New Roman" w:cs="Times New Roman"/>
          <w:sz w:val="52"/>
          <w:szCs w:val="56"/>
        </w:rPr>
        <w:t xml:space="preserve"> </w:t>
      </w:r>
      <w:r w:rsidR="007166C5" w:rsidRPr="00B47C95">
        <w:rPr>
          <w:rFonts w:ascii="Times New Roman" w:hAnsi="Times New Roman" w:cs="Times New Roman"/>
          <w:sz w:val="52"/>
          <w:szCs w:val="56"/>
        </w:rPr>
        <w:t>Products</w:t>
      </w:r>
      <w:r w:rsidR="00F779BA" w:rsidRPr="00B47C95">
        <w:rPr>
          <w:rFonts w:ascii="Times New Roman" w:hAnsi="Times New Roman" w:cs="Times New Roman"/>
          <w:sz w:val="52"/>
          <w:szCs w:val="56"/>
        </w:rPr>
        <w:t xml:space="preserve"> Supply Trends</w:t>
      </w:r>
      <w:bookmarkEnd w:id="11"/>
    </w:p>
    <w:p w14:paraId="2A70B57E" w14:textId="77777777" w:rsidR="00F5459F" w:rsidRDefault="00296DF5" w:rsidP="008358B3">
      <w:pPr>
        <w:jc w:val="both"/>
        <w:rPr>
          <w:rFonts w:ascii="Times New Roman" w:hAnsi="Times New Roman" w:cs="Times New Roman"/>
          <w:sz w:val="24"/>
          <w:szCs w:val="24"/>
        </w:rPr>
      </w:pPr>
      <w:r w:rsidRPr="003764E9">
        <w:rPr>
          <w:rFonts w:ascii="Times New Roman" w:hAnsi="Times New Roman" w:cs="Times New Roman"/>
          <w:sz w:val="24"/>
          <w:szCs w:val="24"/>
        </w:rPr>
        <w:t xml:space="preserve">An estimated </w:t>
      </w:r>
      <w:r w:rsidR="00F00BF3">
        <w:rPr>
          <w:rFonts w:ascii="Times New Roman" w:hAnsi="Times New Roman" w:cs="Times New Roman"/>
          <w:sz w:val="24"/>
          <w:szCs w:val="24"/>
        </w:rPr>
        <w:t>1</w:t>
      </w:r>
      <w:r w:rsidRPr="003764E9">
        <w:rPr>
          <w:rFonts w:ascii="Times New Roman" w:hAnsi="Times New Roman" w:cs="Times New Roman"/>
          <w:sz w:val="24"/>
          <w:szCs w:val="24"/>
        </w:rPr>
        <w:t>,</w:t>
      </w:r>
      <w:r w:rsidR="00843F3E">
        <w:rPr>
          <w:rFonts w:ascii="Times New Roman" w:hAnsi="Times New Roman" w:cs="Times New Roman"/>
          <w:sz w:val="24"/>
          <w:szCs w:val="24"/>
        </w:rPr>
        <w:t>5</w:t>
      </w:r>
      <w:r w:rsidR="001E4BC0">
        <w:rPr>
          <w:rFonts w:ascii="Times New Roman" w:hAnsi="Times New Roman" w:cs="Times New Roman"/>
          <w:sz w:val="24"/>
          <w:szCs w:val="24"/>
        </w:rPr>
        <w:t>47</w:t>
      </w:r>
      <w:r w:rsidRPr="003764E9">
        <w:rPr>
          <w:rFonts w:ascii="Times New Roman" w:hAnsi="Times New Roman" w:cs="Times New Roman"/>
          <w:sz w:val="24"/>
          <w:szCs w:val="24"/>
        </w:rPr>
        <w:t>,</w:t>
      </w:r>
      <w:r w:rsidR="001E4BC0">
        <w:rPr>
          <w:rFonts w:ascii="Times New Roman" w:hAnsi="Times New Roman" w:cs="Times New Roman"/>
          <w:sz w:val="24"/>
          <w:szCs w:val="24"/>
        </w:rPr>
        <w:t>566</w:t>
      </w:r>
      <w:r w:rsidR="00FB0060">
        <w:rPr>
          <w:rFonts w:ascii="Times New Roman" w:hAnsi="Times New Roman" w:cs="Times New Roman"/>
          <w:sz w:val="24"/>
          <w:szCs w:val="24"/>
        </w:rPr>
        <w:t xml:space="preserve">mt </w:t>
      </w:r>
      <w:r w:rsidRPr="003764E9">
        <w:rPr>
          <w:rFonts w:ascii="Times New Roman" w:hAnsi="Times New Roman" w:cs="Times New Roman"/>
          <w:sz w:val="24"/>
          <w:szCs w:val="24"/>
        </w:rPr>
        <w:t xml:space="preserve">of </w:t>
      </w:r>
      <w:r w:rsidR="008336AB">
        <w:rPr>
          <w:rFonts w:ascii="Times New Roman" w:hAnsi="Times New Roman" w:cs="Times New Roman"/>
          <w:sz w:val="24"/>
          <w:szCs w:val="24"/>
        </w:rPr>
        <w:t xml:space="preserve">refined </w:t>
      </w:r>
      <w:r w:rsidRPr="003764E9">
        <w:rPr>
          <w:rFonts w:ascii="Times New Roman" w:hAnsi="Times New Roman" w:cs="Times New Roman"/>
          <w:sz w:val="24"/>
          <w:szCs w:val="24"/>
        </w:rPr>
        <w:t>petroleum product</w:t>
      </w:r>
      <w:r w:rsidR="00A33B09">
        <w:rPr>
          <w:rFonts w:ascii="Times New Roman" w:hAnsi="Times New Roman" w:cs="Times New Roman"/>
          <w:sz w:val="24"/>
          <w:szCs w:val="24"/>
        </w:rPr>
        <w:t>s</w:t>
      </w:r>
      <w:r w:rsidRPr="003764E9">
        <w:rPr>
          <w:rFonts w:ascii="Times New Roman" w:hAnsi="Times New Roman" w:cs="Times New Roman"/>
          <w:sz w:val="24"/>
          <w:szCs w:val="24"/>
        </w:rPr>
        <w:t xml:space="preserve"> w</w:t>
      </w:r>
      <w:r w:rsidR="00A33B09">
        <w:rPr>
          <w:rFonts w:ascii="Times New Roman" w:hAnsi="Times New Roman" w:cs="Times New Roman"/>
          <w:sz w:val="24"/>
          <w:szCs w:val="24"/>
        </w:rPr>
        <w:t xml:space="preserve">ere </w:t>
      </w:r>
      <w:r w:rsidR="00F00BF3">
        <w:rPr>
          <w:rFonts w:ascii="Times New Roman" w:hAnsi="Times New Roman" w:cs="Times New Roman"/>
          <w:sz w:val="24"/>
          <w:szCs w:val="24"/>
        </w:rPr>
        <w:t xml:space="preserve">available </w:t>
      </w:r>
      <w:r w:rsidR="00667A87">
        <w:rPr>
          <w:rFonts w:ascii="Times New Roman" w:hAnsi="Times New Roman" w:cs="Times New Roman"/>
          <w:sz w:val="24"/>
          <w:szCs w:val="24"/>
        </w:rPr>
        <w:t xml:space="preserve">for </w:t>
      </w:r>
      <w:r w:rsidR="003967F8">
        <w:rPr>
          <w:rFonts w:ascii="Times New Roman" w:hAnsi="Times New Roman" w:cs="Times New Roman"/>
          <w:sz w:val="24"/>
          <w:szCs w:val="24"/>
        </w:rPr>
        <w:t xml:space="preserve">consumption </w:t>
      </w:r>
      <w:r w:rsidR="00F00BF3">
        <w:rPr>
          <w:rFonts w:ascii="Times New Roman" w:hAnsi="Times New Roman" w:cs="Times New Roman"/>
          <w:sz w:val="24"/>
          <w:szCs w:val="24"/>
        </w:rPr>
        <w:t xml:space="preserve">for the </w:t>
      </w:r>
      <w:r w:rsidR="00843F3E">
        <w:rPr>
          <w:rFonts w:ascii="Times New Roman" w:hAnsi="Times New Roman" w:cs="Times New Roman"/>
          <w:sz w:val="24"/>
          <w:szCs w:val="24"/>
        </w:rPr>
        <w:t xml:space="preserve">first </w:t>
      </w:r>
      <w:r w:rsidR="00F00BF3">
        <w:rPr>
          <w:rFonts w:ascii="Times New Roman" w:hAnsi="Times New Roman" w:cs="Times New Roman"/>
          <w:sz w:val="24"/>
          <w:szCs w:val="24"/>
        </w:rPr>
        <w:t>quarter of 202</w:t>
      </w:r>
      <w:r w:rsidR="00843F3E">
        <w:rPr>
          <w:rFonts w:ascii="Times New Roman" w:hAnsi="Times New Roman" w:cs="Times New Roman"/>
          <w:sz w:val="24"/>
          <w:szCs w:val="24"/>
        </w:rPr>
        <w:t>3</w:t>
      </w:r>
      <w:r w:rsidR="00F00BF3">
        <w:rPr>
          <w:rFonts w:ascii="Times New Roman" w:hAnsi="Times New Roman" w:cs="Times New Roman"/>
          <w:sz w:val="24"/>
          <w:szCs w:val="24"/>
        </w:rPr>
        <w:t xml:space="preserve">, </w:t>
      </w:r>
      <w:r w:rsidR="006B6B78">
        <w:rPr>
          <w:rFonts w:ascii="Times New Roman" w:hAnsi="Times New Roman" w:cs="Times New Roman"/>
          <w:sz w:val="24"/>
          <w:szCs w:val="24"/>
        </w:rPr>
        <w:t>up 1</w:t>
      </w:r>
      <w:r w:rsidR="001E4BC0">
        <w:rPr>
          <w:rFonts w:ascii="Times New Roman" w:hAnsi="Times New Roman" w:cs="Times New Roman"/>
          <w:sz w:val="24"/>
          <w:szCs w:val="24"/>
        </w:rPr>
        <w:t>7</w:t>
      </w:r>
      <w:r w:rsidR="00160C00">
        <w:rPr>
          <w:rFonts w:ascii="Times New Roman" w:hAnsi="Times New Roman" w:cs="Times New Roman"/>
          <w:sz w:val="24"/>
          <w:szCs w:val="24"/>
        </w:rPr>
        <w:t xml:space="preserve">% from the </w:t>
      </w:r>
      <w:r w:rsidRPr="00160C00">
        <w:rPr>
          <w:rFonts w:ascii="Times New Roman" w:hAnsi="Times New Roman" w:cs="Times New Roman"/>
          <w:sz w:val="24"/>
          <w:szCs w:val="24"/>
        </w:rPr>
        <w:t xml:space="preserve">previous </w:t>
      </w:r>
      <w:r w:rsidR="00667A87">
        <w:rPr>
          <w:rFonts w:ascii="Times New Roman" w:hAnsi="Times New Roman" w:cs="Times New Roman"/>
          <w:sz w:val="24"/>
          <w:szCs w:val="24"/>
        </w:rPr>
        <w:t>quarter</w:t>
      </w:r>
      <w:r w:rsidRPr="00160C00">
        <w:rPr>
          <w:rFonts w:ascii="Times New Roman" w:hAnsi="Times New Roman" w:cs="Times New Roman"/>
          <w:sz w:val="24"/>
          <w:szCs w:val="24"/>
        </w:rPr>
        <w:t xml:space="preserve">. </w:t>
      </w:r>
      <w:r w:rsidR="00F00BF3" w:rsidRPr="00160C00">
        <w:rPr>
          <w:rFonts w:ascii="Times New Roman" w:hAnsi="Times New Roman" w:cs="Times New Roman"/>
          <w:sz w:val="24"/>
          <w:szCs w:val="24"/>
        </w:rPr>
        <w:t>I</w:t>
      </w:r>
      <w:r w:rsidR="00F00BF3">
        <w:rPr>
          <w:rFonts w:ascii="Times New Roman" w:hAnsi="Times New Roman" w:cs="Times New Roman"/>
          <w:sz w:val="24"/>
          <w:szCs w:val="24"/>
        </w:rPr>
        <w:t xml:space="preserve">mports accounted for </w:t>
      </w:r>
      <w:r w:rsidR="009302D6">
        <w:rPr>
          <w:rFonts w:ascii="Times New Roman" w:hAnsi="Times New Roman" w:cs="Times New Roman"/>
          <w:sz w:val="24"/>
          <w:szCs w:val="24"/>
        </w:rPr>
        <w:t xml:space="preserve">a little below </w:t>
      </w:r>
      <w:r w:rsidR="006B6B78">
        <w:rPr>
          <w:rFonts w:ascii="Times New Roman" w:hAnsi="Times New Roman" w:cs="Times New Roman"/>
          <w:sz w:val="24"/>
          <w:szCs w:val="24"/>
        </w:rPr>
        <w:t>three-quarters (7</w:t>
      </w:r>
      <w:r w:rsidR="00293F6A">
        <w:rPr>
          <w:rFonts w:ascii="Times New Roman" w:hAnsi="Times New Roman" w:cs="Times New Roman"/>
          <w:sz w:val="24"/>
          <w:szCs w:val="24"/>
        </w:rPr>
        <w:t>4</w:t>
      </w:r>
      <w:r w:rsidR="006B6B78">
        <w:rPr>
          <w:rFonts w:ascii="Times New Roman" w:hAnsi="Times New Roman" w:cs="Times New Roman"/>
          <w:sz w:val="24"/>
          <w:szCs w:val="24"/>
        </w:rPr>
        <w:t xml:space="preserve">%) </w:t>
      </w:r>
      <w:r w:rsidR="00F00BF3">
        <w:rPr>
          <w:rFonts w:ascii="Times New Roman" w:hAnsi="Times New Roman" w:cs="Times New Roman"/>
          <w:sz w:val="24"/>
          <w:szCs w:val="24"/>
        </w:rPr>
        <w:t>of total supply w</w:t>
      </w:r>
      <w:r w:rsidR="001B3DFB">
        <w:rPr>
          <w:rFonts w:ascii="Times New Roman" w:hAnsi="Times New Roman" w:cs="Times New Roman"/>
          <w:sz w:val="24"/>
          <w:szCs w:val="24"/>
        </w:rPr>
        <w:t>hile</w:t>
      </w:r>
      <w:r w:rsidR="00C67E40">
        <w:rPr>
          <w:rFonts w:ascii="Times New Roman" w:hAnsi="Times New Roman" w:cs="Times New Roman"/>
          <w:sz w:val="24"/>
          <w:szCs w:val="24"/>
        </w:rPr>
        <w:t xml:space="preserve"> stock roll over from the previous quarter accounted for about one-quarter (24%) of available supply</w:t>
      </w:r>
      <w:r w:rsidR="008A76A8">
        <w:rPr>
          <w:rFonts w:ascii="Times New Roman" w:hAnsi="Times New Roman" w:cs="Times New Roman"/>
          <w:sz w:val="24"/>
          <w:szCs w:val="24"/>
        </w:rPr>
        <w:t xml:space="preserve"> (see figure 1).</w:t>
      </w:r>
      <w:r w:rsidR="00C67E40">
        <w:rPr>
          <w:rFonts w:ascii="Times New Roman" w:hAnsi="Times New Roman" w:cs="Times New Roman"/>
          <w:sz w:val="24"/>
          <w:szCs w:val="24"/>
        </w:rPr>
        <w:t xml:space="preserve"> </w:t>
      </w:r>
      <w:r w:rsidR="009302D6">
        <w:rPr>
          <w:rFonts w:ascii="Times New Roman" w:hAnsi="Times New Roman" w:cs="Times New Roman"/>
          <w:sz w:val="24"/>
          <w:szCs w:val="24"/>
        </w:rPr>
        <w:t>As expected</w:t>
      </w:r>
      <w:r w:rsidR="001734A9">
        <w:rPr>
          <w:rFonts w:ascii="Times New Roman" w:hAnsi="Times New Roman" w:cs="Times New Roman"/>
          <w:sz w:val="24"/>
          <w:szCs w:val="24"/>
        </w:rPr>
        <w:t>,</w:t>
      </w:r>
      <w:r w:rsidR="009642A5">
        <w:rPr>
          <w:rFonts w:ascii="Times New Roman" w:hAnsi="Times New Roman" w:cs="Times New Roman"/>
          <w:sz w:val="24"/>
          <w:szCs w:val="24"/>
        </w:rPr>
        <w:t xml:space="preserve"> </w:t>
      </w:r>
      <w:r w:rsidR="00C67E40">
        <w:rPr>
          <w:rFonts w:ascii="Times New Roman" w:hAnsi="Times New Roman" w:cs="Times New Roman"/>
          <w:sz w:val="24"/>
          <w:szCs w:val="24"/>
        </w:rPr>
        <w:t>l</w:t>
      </w:r>
      <w:r w:rsidR="00843F3E">
        <w:rPr>
          <w:rFonts w:ascii="Times New Roman" w:hAnsi="Times New Roman" w:cs="Times New Roman"/>
          <w:sz w:val="24"/>
          <w:szCs w:val="24"/>
        </w:rPr>
        <w:t xml:space="preserve">ocal </w:t>
      </w:r>
      <w:r w:rsidR="00F00BF3">
        <w:rPr>
          <w:rFonts w:ascii="Times New Roman" w:hAnsi="Times New Roman" w:cs="Times New Roman"/>
          <w:sz w:val="24"/>
          <w:szCs w:val="24"/>
        </w:rPr>
        <w:t>production account</w:t>
      </w:r>
      <w:r w:rsidR="001B3DFB">
        <w:rPr>
          <w:rFonts w:ascii="Times New Roman" w:hAnsi="Times New Roman" w:cs="Times New Roman"/>
          <w:sz w:val="24"/>
          <w:szCs w:val="24"/>
        </w:rPr>
        <w:t xml:space="preserve">ed </w:t>
      </w:r>
      <w:r w:rsidR="00F00BF3">
        <w:rPr>
          <w:rFonts w:ascii="Times New Roman" w:hAnsi="Times New Roman" w:cs="Times New Roman"/>
          <w:sz w:val="24"/>
          <w:szCs w:val="24"/>
        </w:rPr>
        <w:t xml:space="preserve">for </w:t>
      </w:r>
      <w:r w:rsidR="009302D6">
        <w:rPr>
          <w:rFonts w:ascii="Times New Roman" w:hAnsi="Times New Roman" w:cs="Times New Roman"/>
          <w:sz w:val="24"/>
          <w:szCs w:val="24"/>
        </w:rPr>
        <w:t>a small proportion (</w:t>
      </w:r>
      <w:r w:rsidR="00293F6A">
        <w:rPr>
          <w:rFonts w:ascii="Times New Roman" w:hAnsi="Times New Roman" w:cs="Times New Roman"/>
          <w:sz w:val="24"/>
          <w:szCs w:val="24"/>
        </w:rPr>
        <w:t>2</w:t>
      </w:r>
      <w:r w:rsidR="00C67E40">
        <w:rPr>
          <w:rFonts w:ascii="Times New Roman" w:hAnsi="Times New Roman" w:cs="Times New Roman"/>
          <w:sz w:val="24"/>
          <w:szCs w:val="24"/>
        </w:rPr>
        <w:t>%</w:t>
      </w:r>
      <w:r w:rsidR="009302D6">
        <w:rPr>
          <w:rFonts w:ascii="Times New Roman" w:hAnsi="Times New Roman" w:cs="Times New Roman"/>
          <w:sz w:val="24"/>
          <w:szCs w:val="24"/>
        </w:rPr>
        <w:t>)</w:t>
      </w:r>
      <w:r w:rsidR="00C67E40">
        <w:rPr>
          <w:rFonts w:ascii="Times New Roman" w:hAnsi="Times New Roman" w:cs="Times New Roman"/>
          <w:sz w:val="24"/>
          <w:szCs w:val="24"/>
        </w:rPr>
        <w:t xml:space="preserve"> of total refined products available for consumption. The</w:t>
      </w:r>
      <w:r w:rsidR="00D17EC2">
        <w:rPr>
          <w:rFonts w:ascii="Times New Roman" w:hAnsi="Times New Roman" w:cs="Times New Roman"/>
          <w:sz w:val="24"/>
          <w:szCs w:val="24"/>
        </w:rPr>
        <w:t xml:space="preserve"> </w:t>
      </w:r>
      <w:r w:rsidR="00145AEF">
        <w:rPr>
          <w:rFonts w:ascii="Times New Roman" w:hAnsi="Times New Roman" w:cs="Times New Roman"/>
          <w:sz w:val="24"/>
          <w:szCs w:val="24"/>
        </w:rPr>
        <w:t>low</w:t>
      </w:r>
      <w:r w:rsidR="00C16C94">
        <w:rPr>
          <w:rFonts w:ascii="Times New Roman" w:hAnsi="Times New Roman" w:cs="Times New Roman"/>
          <w:sz w:val="24"/>
          <w:szCs w:val="24"/>
        </w:rPr>
        <w:t xml:space="preserve"> </w:t>
      </w:r>
      <w:r w:rsidR="00145AEF">
        <w:rPr>
          <w:rFonts w:ascii="Times New Roman" w:hAnsi="Times New Roman" w:cs="Times New Roman"/>
          <w:sz w:val="24"/>
          <w:szCs w:val="24"/>
        </w:rPr>
        <w:t>output</w:t>
      </w:r>
      <w:r w:rsidR="00C67E40">
        <w:rPr>
          <w:rFonts w:ascii="Times New Roman" w:hAnsi="Times New Roman" w:cs="Times New Roman"/>
          <w:sz w:val="24"/>
          <w:szCs w:val="24"/>
        </w:rPr>
        <w:t xml:space="preserve"> </w:t>
      </w:r>
      <w:r w:rsidR="00D17EC2">
        <w:rPr>
          <w:rFonts w:ascii="Times New Roman" w:hAnsi="Times New Roman" w:cs="Times New Roman"/>
          <w:sz w:val="24"/>
          <w:szCs w:val="24"/>
        </w:rPr>
        <w:t xml:space="preserve">is mainly due to Tema Oil Refinery’s inactivity with regards to its refinery activities, </w:t>
      </w:r>
      <w:r w:rsidR="00145AEF">
        <w:rPr>
          <w:rFonts w:ascii="Times New Roman" w:hAnsi="Times New Roman" w:cs="Times New Roman"/>
          <w:sz w:val="24"/>
          <w:szCs w:val="24"/>
        </w:rPr>
        <w:t xml:space="preserve">even though it </w:t>
      </w:r>
      <w:r w:rsidR="00D17EC2">
        <w:rPr>
          <w:rFonts w:ascii="Times New Roman" w:hAnsi="Times New Roman" w:cs="Times New Roman"/>
          <w:sz w:val="24"/>
          <w:szCs w:val="24"/>
        </w:rPr>
        <w:t>render</w:t>
      </w:r>
      <w:r w:rsidR="00E56439">
        <w:rPr>
          <w:rFonts w:ascii="Times New Roman" w:hAnsi="Times New Roman" w:cs="Times New Roman"/>
          <w:sz w:val="24"/>
          <w:szCs w:val="24"/>
        </w:rPr>
        <w:t xml:space="preserve">ed </w:t>
      </w:r>
      <w:r w:rsidR="00D17EC2">
        <w:rPr>
          <w:rFonts w:ascii="Times New Roman" w:hAnsi="Times New Roman" w:cs="Times New Roman"/>
          <w:sz w:val="24"/>
          <w:szCs w:val="24"/>
        </w:rPr>
        <w:t xml:space="preserve">storage services to BIDECs. </w:t>
      </w:r>
    </w:p>
    <w:p w14:paraId="5A009D25" w14:textId="48060814" w:rsidR="00296DF5" w:rsidRDefault="00D17EC2" w:rsidP="008358B3">
      <w:pPr>
        <w:jc w:val="both"/>
        <w:rPr>
          <w:rFonts w:ascii="Times New Roman" w:hAnsi="Times New Roman" w:cs="Times New Roman"/>
          <w:sz w:val="24"/>
          <w:szCs w:val="24"/>
        </w:rPr>
      </w:pPr>
      <w:r>
        <w:rPr>
          <w:rFonts w:ascii="Times New Roman" w:hAnsi="Times New Roman" w:cs="Times New Roman"/>
          <w:sz w:val="24"/>
          <w:szCs w:val="24"/>
        </w:rPr>
        <w:t xml:space="preserve">The </w:t>
      </w:r>
      <w:r w:rsidR="00CD6F3C">
        <w:rPr>
          <w:rFonts w:ascii="Times New Roman" w:hAnsi="Times New Roman" w:cs="Times New Roman"/>
          <w:sz w:val="24"/>
          <w:szCs w:val="24"/>
        </w:rPr>
        <w:t>two privately-owned refineries, Akwaaba Oil Refinery and Platon Gas Oil, with</w:t>
      </w:r>
      <w:r>
        <w:rPr>
          <w:rFonts w:ascii="Times New Roman" w:hAnsi="Times New Roman" w:cs="Times New Roman"/>
          <w:sz w:val="24"/>
          <w:szCs w:val="24"/>
        </w:rPr>
        <w:t xml:space="preserve"> combined capacity of over 5,700 barrels per day operated </w:t>
      </w:r>
      <w:r w:rsidR="005C6421">
        <w:rPr>
          <w:rFonts w:ascii="Times New Roman" w:hAnsi="Times New Roman" w:cs="Times New Roman"/>
          <w:sz w:val="24"/>
          <w:szCs w:val="24"/>
        </w:rPr>
        <w:t xml:space="preserve">below their maximum </w:t>
      </w:r>
      <w:r w:rsidR="00662944">
        <w:rPr>
          <w:rFonts w:ascii="Times New Roman" w:hAnsi="Times New Roman" w:cs="Times New Roman"/>
          <w:sz w:val="24"/>
          <w:szCs w:val="24"/>
        </w:rPr>
        <w:t>operable capacity</w:t>
      </w:r>
      <w:r w:rsidR="00CD6F3C">
        <w:rPr>
          <w:rFonts w:ascii="Times New Roman" w:hAnsi="Times New Roman" w:cs="Times New Roman"/>
          <w:sz w:val="24"/>
          <w:szCs w:val="24"/>
        </w:rPr>
        <w:t xml:space="preserve">, mainly due to their inability to fund all their crude oil needs </w:t>
      </w:r>
      <w:r w:rsidR="00662944">
        <w:rPr>
          <w:rFonts w:ascii="Times New Roman" w:hAnsi="Times New Roman" w:cs="Times New Roman"/>
          <w:sz w:val="24"/>
          <w:szCs w:val="24"/>
        </w:rPr>
        <w:t>for the period under review.</w:t>
      </w:r>
      <w:r w:rsidR="00F00BF3">
        <w:rPr>
          <w:rFonts w:ascii="Times New Roman" w:hAnsi="Times New Roman" w:cs="Times New Roman"/>
          <w:sz w:val="24"/>
          <w:szCs w:val="24"/>
        </w:rPr>
        <w:t xml:space="preserve"> </w:t>
      </w:r>
      <w:r w:rsidR="003967F8">
        <w:rPr>
          <w:rFonts w:ascii="Times New Roman" w:hAnsi="Times New Roman" w:cs="Times New Roman"/>
          <w:sz w:val="24"/>
          <w:szCs w:val="24"/>
        </w:rPr>
        <w:t xml:space="preserve">Compared to the previous quarter, imports as a share of available supply </w:t>
      </w:r>
      <w:r w:rsidR="008A76A8">
        <w:rPr>
          <w:rFonts w:ascii="Times New Roman" w:hAnsi="Times New Roman" w:cs="Times New Roman"/>
          <w:sz w:val="24"/>
          <w:szCs w:val="24"/>
        </w:rPr>
        <w:t>in</w:t>
      </w:r>
      <w:r w:rsidR="003967F8">
        <w:rPr>
          <w:rFonts w:ascii="Times New Roman" w:hAnsi="Times New Roman" w:cs="Times New Roman"/>
          <w:sz w:val="24"/>
          <w:szCs w:val="24"/>
        </w:rPr>
        <w:t xml:space="preserve">creased by </w:t>
      </w:r>
      <w:r w:rsidR="00293F6A">
        <w:rPr>
          <w:rFonts w:ascii="Times New Roman" w:hAnsi="Times New Roman" w:cs="Times New Roman"/>
          <w:sz w:val="24"/>
          <w:szCs w:val="24"/>
        </w:rPr>
        <w:t>6</w:t>
      </w:r>
      <w:r w:rsidR="003967F8">
        <w:rPr>
          <w:rFonts w:ascii="Times New Roman" w:hAnsi="Times New Roman" w:cs="Times New Roman"/>
          <w:sz w:val="24"/>
          <w:szCs w:val="24"/>
        </w:rPr>
        <w:t xml:space="preserve">%, </w:t>
      </w:r>
      <w:r w:rsidR="00293F6A">
        <w:rPr>
          <w:rFonts w:ascii="Times New Roman" w:hAnsi="Times New Roman" w:cs="Times New Roman"/>
          <w:sz w:val="24"/>
          <w:szCs w:val="24"/>
        </w:rPr>
        <w:t xml:space="preserve">inventory </w:t>
      </w:r>
      <w:r w:rsidR="008A76A8">
        <w:rPr>
          <w:rFonts w:ascii="Times New Roman" w:hAnsi="Times New Roman" w:cs="Times New Roman"/>
          <w:sz w:val="24"/>
          <w:szCs w:val="24"/>
        </w:rPr>
        <w:t xml:space="preserve">decreased by 5%, </w:t>
      </w:r>
      <w:r w:rsidR="003967F8">
        <w:rPr>
          <w:rFonts w:ascii="Times New Roman" w:hAnsi="Times New Roman" w:cs="Times New Roman"/>
          <w:sz w:val="24"/>
          <w:szCs w:val="24"/>
        </w:rPr>
        <w:t xml:space="preserve">while </w:t>
      </w:r>
      <w:r w:rsidR="008A76A8">
        <w:rPr>
          <w:rFonts w:ascii="Times New Roman" w:hAnsi="Times New Roman" w:cs="Times New Roman"/>
          <w:sz w:val="24"/>
          <w:szCs w:val="24"/>
        </w:rPr>
        <w:t xml:space="preserve">local </w:t>
      </w:r>
      <w:r w:rsidR="003967F8">
        <w:rPr>
          <w:rFonts w:ascii="Times New Roman" w:hAnsi="Times New Roman" w:cs="Times New Roman"/>
          <w:sz w:val="24"/>
          <w:szCs w:val="24"/>
        </w:rPr>
        <w:t xml:space="preserve">production </w:t>
      </w:r>
      <w:r w:rsidR="00293F6A">
        <w:rPr>
          <w:rFonts w:ascii="Times New Roman" w:hAnsi="Times New Roman" w:cs="Times New Roman"/>
          <w:sz w:val="24"/>
          <w:szCs w:val="24"/>
        </w:rPr>
        <w:t xml:space="preserve">decreased by 1% </w:t>
      </w:r>
      <w:r w:rsidR="003967F8">
        <w:rPr>
          <w:rFonts w:ascii="Times New Roman" w:hAnsi="Times New Roman" w:cs="Times New Roman"/>
          <w:sz w:val="24"/>
          <w:szCs w:val="24"/>
        </w:rPr>
        <w:t>(see figure 2).</w:t>
      </w:r>
    </w:p>
    <w:p w14:paraId="0263FFFA" w14:textId="3D96BA21" w:rsidR="008576D9" w:rsidRPr="00B47C95" w:rsidRDefault="008576D9" w:rsidP="008576D9">
      <w:pPr>
        <w:pStyle w:val="Caption"/>
        <w:keepNext/>
        <w:spacing w:after="0"/>
        <w:jc w:val="both"/>
        <w:rPr>
          <w:i/>
          <w:sz w:val="24"/>
          <w:szCs w:val="24"/>
        </w:rPr>
      </w:pPr>
      <w:bookmarkStart w:id="12" w:name="_Toc136872325"/>
      <w:r w:rsidRPr="00B47C95">
        <w:rPr>
          <w:i/>
          <w:sz w:val="24"/>
          <w:szCs w:val="24"/>
        </w:rPr>
        <w:lastRenderedPageBreak/>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w:t>
      </w:r>
      <w:r w:rsidR="004858CE" w:rsidRPr="00B47C95">
        <w:rPr>
          <w:i/>
          <w:noProof/>
          <w:sz w:val="24"/>
          <w:szCs w:val="24"/>
        </w:rPr>
        <w:fldChar w:fldCharType="end"/>
      </w:r>
      <w:r w:rsidRPr="00B47C95">
        <w:rPr>
          <w:i/>
          <w:sz w:val="24"/>
          <w:szCs w:val="24"/>
        </w:rPr>
        <w:t>: Supply of Refined Petroleum Products</w:t>
      </w:r>
      <w:r w:rsidR="00120DB3" w:rsidRPr="00B47C95">
        <w:rPr>
          <w:i/>
          <w:sz w:val="24"/>
          <w:szCs w:val="24"/>
        </w:rPr>
        <w:t xml:space="preserve"> (</w:t>
      </w:r>
      <w:r w:rsidRPr="00B47C95">
        <w:rPr>
          <w:i/>
          <w:sz w:val="24"/>
          <w:szCs w:val="24"/>
        </w:rPr>
        <w:t>MT</w:t>
      </w:r>
      <w:r w:rsidR="00120DB3" w:rsidRPr="00B47C95">
        <w:rPr>
          <w:i/>
          <w:sz w:val="24"/>
          <w:szCs w:val="24"/>
        </w:rPr>
        <w:t>)</w:t>
      </w:r>
      <w:bookmarkEnd w:id="12"/>
    </w:p>
    <w:p w14:paraId="1F3056B4" w14:textId="0005B06B" w:rsidR="00371A5F" w:rsidRPr="00B47C95" w:rsidRDefault="001E4BC0" w:rsidP="00B47C95">
      <w:pPr>
        <w:spacing w:before="0" w:after="0"/>
        <w:jc w:val="both"/>
        <w:rPr>
          <w:rFonts w:ascii="Times New Roman" w:hAnsi="Times New Roman" w:cs="Times New Roman"/>
          <w:i/>
          <w:color w:val="17406D" w:themeColor="text2"/>
          <w:sz w:val="28"/>
          <w:szCs w:val="24"/>
        </w:rPr>
      </w:pPr>
      <w:r>
        <w:rPr>
          <w:noProof/>
          <w:lang w:val="en-US"/>
        </w:rPr>
        <w:drawing>
          <wp:inline distT="0" distB="0" distL="0" distR="0" wp14:anchorId="7327DD55" wp14:editId="0CD30853">
            <wp:extent cx="4391025" cy="2524125"/>
            <wp:effectExtent l="0" t="0" r="9525" b="9525"/>
            <wp:docPr id="976001354" name="Chart 1">
              <a:extLst xmlns:a="http://schemas.openxmlformats.org/drawingml/2006/main">
                <a:ext uri="{FF2B5EF4-FFF2-40B4-BE49-F238E27FC236}">
                  <a16:creationId xmlns:a16="http://schemas.microsoft.com/office/drawing/2014/main" id="{FEFBC800-80F6-35B7-C5B3-3F1965B6E7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371A5F" w:rsidRPr="00B47C95">
        <w:rPr>
          <w:rFonts w:ascii="Times New Roman" w:hAnsi="Times New Roman" w:cs="Times New Roman"/>
          <w:i/>
          <w:color w:val="17406D" w:themeColor="text2"/>
          <w:sz w:val="28"/>
          <w:szCs w:val="24"/>
        </w:rPr>
        <w:t xml:space="preserve">Source: NPA </w:t>
      </w:r>
      <w:r w:rsidR="00E41E02" w:rsidRPr="00B47C95">
        <w:rPr>
          <w:rFonts w:ascii="Times New Roman" w:hAnsi="Times New Roman" w:cs="Times New Roman"/>
          <w:i/>
          <w:color w:val="17406D" w:themeColor="text2"/>
          <w:sz w:val="28"/>
          <w:szCs w:val="24"/>
        </w:rPr>
        <w:t xml:space="preserve">Import, Stocks and Production </w:t>
      </w:r>
      <w:r w:rsidR="00371A5F" w:rsidRPr="00B47C95">
        <w:rPr>
          <w:rFonts w:ascii="Times New Roman" w:hAnsi="Times New Roman" w:cs="Times New Roman"/>
          <w:i/>
          <w:color w:val="17406D" w:themeColor="text2"/>
          <w:sz w:val="28"/>
          <w:szCs w:val="24"/>
        </w:rPr>
        <w:t>Database</w:t>
      </w:r>
    </w:p>
    <w:p w14:paraId="2F4BB642" w14:textId="185FCD30" w:rsidR="008576D9" w:rsidRPr="00B47C95" w:rsidRDefault="008576D9" w:rsidP="008576D9">
      <w:pPr>
        <w:pStyle w:val="Caption"/>
        <w:keepNext/>
        <w:spacing w:after="0"/>
        <w:jc w:val="both"/>
        <w:rPr>
          <w:i/>
          <w:sz w:val="24"/>
          <w:szCs w:val="24"/>
        </w:rPr>
      </w:pPr>
      <w:bookmarkStart w:id="13" w:name="_Toc136872326"/>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2</w:t>
      </w:r>
      <w:r w:rsidR="004858CE" w:rsidRPr="00B47C95">
        <w:rPr>
          <w:i/>
          <w:noProof/>
          <w:sz w:val="24"/>
          <w:szCs w:val="24"/>
        </w:rPr>
        <w:fldChar w:fldCharType="end"/>
      </w:r>
      <w:r w:rsidRPr="00B47C95">
        <w:rPr>
          <w:i/>
          <w:sz w:val="24"/>
          <w:szCs w:val="24"/>
        </w:rPr>
        <w:t>: Shares of Refined Petroleum Products Supply</w:t>
      </w:r>
      <w:r w:rsidR="00291662" w:rsidRPr="00B47C95">
        <w:rPr>
          <w:i/>
          <w:sz w:val="24"/>
          <w:szCs w:val="24"/>
        </w:rPr>
        <w:t xml:space="preserve"> (%)</w:t>
      </w:r>
      <w:bookmarkEnd w:id="13"/>
    </w:p>
    <w:p w14:paraId="645B76B7" w14:textId="4A95B0F5" w:rsidR="00371A5F" w:rsidRPr="001B132C" w:rsidRDefault="001B132C" w:rsidP="00B47C95">
      <w:pPr>
        <w:spacing w:before="0" w:after="0"/>
      </w:pPr>
      <w:r>
        <w:rPr>
          <w:noProof/>
          <w:lang w:val="en-US"/>
        </w:rPr>
        <w:drawing>
          <wp:inline distT="0" distB="0" distL="0" distR="0" wp14:anchorId="37D54B48" wp14:editId="7847A23C">
            <wp:extent cx="4842510" cy="2276475"/>
            <wp:effectExtent l="0" t="0" r="15240" b="9525"/>
            <wp:docPr id="872275113" name="Chart 1">
              <a:extLst xmlns:a="http://schemas.openxmlformats.org/drawingml/2006/main">
                <a:ext uri="{FF2B5EF4-FFF2-40B4-BE49-F238E27FC236}">
                  <a16:creationId xmlns:a16="http://schemas.microsoft.com/office/drawing/2014/main" id="{A3768701-993B-97F1-6D4F-8184543D84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C7AF2D0" w14:textId="77777777" w:rsidR="00371A5F" w:rsidRPr="00B47C95" w:rsidRDefault="00371A5F" w:rsidP="00B47C95">
      <w:pPr>
        <w:spacing w:before="0" w:after="0"/>
        <w:jc w:val="both"/>
        <w:rPr>
          <w:rFonts w:ascii="Times New Roman" w:hAnsi="Times New Roman" w:cs="Times New Roman"/>
          <w:b/>
          <w:bCs/>
          <w:i/>
          <w:color w:val="17406D" w:themeColor="text2"/>
          <w:sz w:val="22"/>
          <w:szCs w:val="24"/>
        </w:rPr>
      </w:pPr>
      <w:r w:rsidRPr="00B47C95">
        <w:rPr>
          <w:rFonts w:ascii="Times New Roman" w:hAnsi="Times New Roman" w:cs="Times New Roman"/>
          <w:i/>
          <w:color w:val="17406D" w:themeColor="text2"/>
          <w:sz w:val="28"/>
          <w:szCs w:val="24"/>
        </w:rPr>
        <w:t>S</w:t>
      </w:r>
      <w:r w:rsidRPr="00B47C95">
        <w:rPr>
          <w:rFonts w:ascii="Times New Roman" w:hAnsi="Times New Roman" w:cs="Times New Roman"/>
          <w:b/>
          <w:bCs/>
          <w:i/>
          <w:color w:val="17406D" w:themeColor="text2"/>
          <w:sz w:val="22"/>
          <w:szCs w:val="24"/>
        </w:rPr>
        <w:t>ource: NPA Database</w:t>
      </w:r>
    </w:p>
    <w:p w14:paraId="5B16329F" w14:textId="77777777" w:rsidR="006B5B0E" w:rsidRPr="008358B3" w:rsidRDefault="006B5B0E" w:rsidP="00B47C95">
      <w:pPr>
        <w:spacing w:before="0" w:after="0"/>
        <w:jc w:val="both"/>
      </w:pPr>
    </w:p>
    <w:p w14:paraId="4118B747" w14:textId="11ACEBE8" w:rsidR="007166C5" w:rsidRPr="003764E9" w:rsidRDefault="0017110B" w:rsidP="007166C5">
      <w:pPr>
        <w:pStyle w:val="Heading2"/>
        <w:rPr>
          <w:rFonts w:ascii="Times New Roman" w:hAnsi="Times New Roman" w:cs="Times New Roman"/>
          <w:sz w:val="24"/>
          <w:szCs w:val="24"/>
        </w:rPr>
      </w:pPr>
      <w:bookmarkStart w:id="14" w:name="_Toc141440541"/>
      <w:r>
        <w:rPr>
          <w:rFonts w:ascii="Times New Roman" w:hAnsi="Times New Roman" w:cs="Times New Roman"/>
          <w:sz w:val="24"/>
          <w:szCs w:val="24"/>
        </w:rPr>
        <w:t>2.</w:t>
      </w:r>
      <w:r w:rsidR="00F27FAE">
        <w:rPr>
          <w:rFonts w:ascii="Times New Roman" w:hAnsi="Times New Roman" w:cs="Times New Roman"/>
          <w:sz w:val="24"/>
          <w:szCs w:val="24"/>
        </w:rPr>
        <w:t>1</w:t>
      </w:r>
      <w:r w:rsidR="007166C5" w:rsidRPr="005A6606">
        <w:rPr>
          <w:rFonts w:ascii="Times New Roman" w:hAnsi="Times New Roman" w:cs="Times New Roman"/>
          <w:sz w:val="24"/>
          <w:szCs w:val="24"/>
        </w:rPr>
        <w:t xml:space="preserve"> </w:t>
      </w:r>
      <w:r w:rsidR="007166C5">
        <w:rPr>
          <w:rFonts w:ascii="Times New Roman" w:hAnsi="Times New Roman" w:cs="Times New Roman"/>
          <w:sz w:val="24"/>
          <w:szCs w:val="24"/>
        </w:rPr>
        <w:t>Import of Petroleum Products</w:t>
      </w:r>
      <w:bookmarkEnd w:id="14"/>
      <w:r w:rsidR="007166C5" w:rsidRPr="003764E9">
        <w:rPr>
          <w:rFonts w:ascii="Times New Roman" w:hAnsi="Times New Roman" w:cs="Times New Roman"/>
          <w:sz w:val="24"/>
          <w:szCs w:val="24"/>
        </w:rPr>
        <w:t xml:space="preserve"> </w:t>
      </w:r>
    </w:p>
    <w:p w14:paraId="6FE40651" w14:textId="0194554B" w:rsidR="007166C5" w:rsidRDefault="007166C5" w:rsidP="008358B3">
      <w:pPr>
        <w:jc w:val="both"/>
        <w:rPr>
          <w:rFonts w:ascii="Times New Roman" w:hAnsi="Times New Roman" w:cs="Times New Roman"/>
          <w:sz w:val="24"/>
          <w:szCs w:val="24"/>
        </w:rPr>
      </w:pPr>
      <w:r w:rsidRPr="003764E9">
        <w:rPr>
          <w:rFonts w:ascii="Times New Roman" w:hAnsi="Times New Roman" w:cs="Times New Roman"/>
          <w:sz w:val="24"/>
          <w:szCs w:val="24"/>
        </w:rPr>
        <w:t>A</w:t>
      </w:r>
      <w:r w:rsidR="003D2322">
        <w:rPr>
          <w:rFonts w:ascii="Times New Roman" w:hAnsi="Times New Roman" w:cs="Times New Roman"/>
          <w:sz w:val="24"/>
          <w:szCs w:val="24"/>
        </w:rPr>
        <w:t xml:space="preserve"> total of</w:t>
      </w:r>
      <w:r w:rsidRPr="003764E9">
        <w:rPr>
          <w:rFonts w:ascii="Times New Roman" w:hAnsi="Times New Roman" w:cs="Times New Roman"/>
          <w:sz w:val="24"/>
          <w:szCs w:val="24"/>
        </w:rPr>
        <w:t xml:space="preserve"> </w:t>
      </w:r>
      <w:r w:rsidR="00395DF8">
        <w:rPr>
          <w:rFonts w:ascii="Times New Roman" w:hAnsi="Times New Roman" w:cs="Times New Roman"/>
          <w:sz w:val="24"/>
          <w:szCs w:val="24"/>
        </w:rPr>
        <w:t>1</w:t>
      </w:r>
      <w:r w:rsidRPr="003764E9">
        <w:rPr>
          <w:rFonts w:ascii="Times New Roman" w:hAnsi="Times New Roman" w:cs="Times New Roman"/>
          <w:sz w:val="24"/>
          <w:szCs w:val="24"/>
        </w:rPr>
        <w:t>,</w:t>
      </w:r>
      <w:r w:rsidR="000149CA">
        <w:rPr>
          <w:rFonts w:ascii="Times New Roman" w:hAnsi="Times New Roman" w:cs="Times New Roman"/>
          <w:sz w:val="24"/>
          <w:szCs w:val="24"/>
        </w:rPr>
        <w:t>145</w:t>
      </w:r>
      <w:r w:rsidRPr="003764E9">
        <w:rPr>
          <w:rFonts w:ascii="Times New Roman" w:hAnsi="Times New Roman" w:cs="Times New Roman"/>
          <w:sz w:val="24"/>
          <w:szCs w:val="24"/>
        </w:rPr>
        <w:t>,</w:t>
      </w:r>
      <w:r w:rsidR="000149CA">
        <w:rPr>
          <w:rFonts w:ascii="Times New Roman" w:hAnsi="Times New Roman" w:cs="Times New Roman"/>
          <w:sz w:val="24"/>
          <w:szCs w:val="24"/>
        </w:rPr>
        <w:t>949</w:t>
      </w:r>
      <w:r w:rsidR="00395DF8">
        <w:rPr>
          <w:rFonts w:ascii="Times New Roman" w:hAnsi="Times New Roman" w:cs="Times New Roman"/>
          <w:sz w:val="24"/>
          <w:szCs w:val="24"/>
        </w:rPr>
        <w:t xml:space="preserve">mt </w:t>
      </w:r>
      <w:r w:rsidRPr="003764E9">
        <w:rPr>
          <w:rFonts w:ascii="Times New Roman" w:hAnsi="Times New Roman" w:cs="Times New Roman"/>
          <w:sz w:val="24"/>
          <w:szCs w:val="24"/>
        </w:rPr>
        <w:t xml:space="preserve">of </w:t>
      </w:r>
      <w:r w:rsidR="003D2322">
        <w:rPr>
          <w:rFonts w:ascii="Times New Roman" w:hAnsi="Times New Roman" w:cs="Times New Roman"/>
          <w:sz w:val="24"/>
          <w:szCs w:val="24"/>
        </w:rPr>
        <w:t xml:space="preserve">refined </w:t>
      </w:r>
      <w:r w:rsidRPr="003764E9">
        <w:rPr>
          <w:rFonts w:ascii="Times New Roman" w:hAnsi="Times New Roman" w:cs="Times New Roman"/>
          <w:sz w:val="24"/>
          <w:szCs w:val="24"/>
        </w:rPr>
        <w:t>petroleum products w</w:t>
      </w:r>
      <w:r w:rsidR="00395DF8">
        <w:rPr>
          <w:rFonts w:ascii="Times New Roman" w:hAnsi="Times New Roman" w:cs="Times New Roman"/>
          <w:sz w:val="24"/>
          <w:szCs w:val="24"/>
        </w:rPr>
        <w:t xml:space="preserve">ere </w:t>
      </w:r>
      <w:r w:rsidRPr="003764E9">
        <w:rPr>
          <w:rFonts w:ascii="Times New Roman" w:hAnsi="Times New Roman" w:cs="Times New Roman"/>
          <w:sz w:val="24"/>
          <w:szCs w:val="24"/>
        </w:rPr>
        <w:t xml:space="preserve">imported into the country in </w:t>
      </w:r>
      <w:r w:rsidR="00395DF8">
        <w:rPr>
          <w:rFonts w:ascii="Times New Roman" w:hAnsi="Times New Roman" w:cs="Times New Roman"/>
          <w:sz w:val="24"/>
          <w:szCs w:val="24"/>
        </w:rPr>
        <w:t>Q</w:t>
      </w:r>
      <w:r w:rsidR="000149CA">
        <w:rPr>
          <w:rFonts w:ascii="Times New Roman" w:hAnsi="Times New Roman" w:cs="Times New Roman"/>
          <w:sz w:val="24"/>
          <w:szCs w:val="24"/>
        </w:rPr>
        <w:t>1</w:t>
      </w:r>
      <w:r w:rsidR="00395DF8">
        <w:rPr>
          <w:rFonts w:ascii="Times New Roman" w:hAnsi="Times New Roman" w:cs="Times New Roman"/>
          <w:sz w:val="24"/>
          <w:szCs w:val="24"/>
        </w:rPr>
        <w:t>-2</w:t>
      </w:r>
      <w:r w:rsidR="000149CA">
        <w:rPr>
          <w:rFonts w:ascii="Times New Roman" w:hAnsi="Times New Roman" w:cs="Times New Roman"/>
          <w:sz w:val="24"/>
          <w:szCs w:val="24"/>
        </w:rPr>
        <w:t>3</w:t>
      </w:r>
      <w:r w:rsidRPr="003764E9">
        <w:rPr>
          <w:rFonts w:ascii="Times New Roman" w:hAnsi="Times New Roman" w:cs="Times New Roman"/>
          <w:sz w:val="24"/>
          <w:szCs w:val="24"/>
        </w:rPr>
        <w:t xml:space="preserve">, </w:t>
      </w:r>
      <w:r w:rsidR="00395DF8">
        <w:rPr>
          <w:rFonts w:ascii="Times New Roman" w:hAnsi="Times New Roman" w:cs="Times New Roman"/>
          <w:sz w:val="24"/>
          <w:szCs w:val="24"/>
        </w:rPr>
        <w:t xml:space="preserve">representing </w:t>
      </w:r>
      <w:r w:rsidR="000149CA">
        <w:rPr>
          <w:rFonts w:ascii="Times New Roman" w:hAnsi="Times New Roman" w:cs="Times New Roman"/>
          <w:sz w:val="24"/>
          <w:szCs w:val="24"/>
        </w:rPr>
        <w:t>27</w:t>
      </w:r>
      <w:r w:rsidR="00395DF8">
        <w:rPr>
          <w:rFonts w:ascii="Times New Roman" w:hAnsi="Times New Roman" w:cs="Times New Roman"/>
          <w:sz w:val="24"/>
          <w:szCs w:val="24"/>
        </w:rPr>
        <w:t xml:space="preserve">% and </w:t>
      </w:r>
      <w:r w:rsidR="000149CA">
        <w:rPr>
          <w:rFonts w:ascii="Times New Roman" w:hAnsi="Times New Roman" w:cs="Times New Roman"/>
          <w:sz w:val="24"/>
          <w:szCs w:val="24"/>
        </w:rPr>
        <w:t>6</w:t>
      </w:r>
      <w:r w:rsidR="00395DF8">
        <w:rPr>
          <w:rFonts w:ascii="Times New Roman" w:hAnsi="Times New Roman" w:cs="Times New Roman"/>
          <w:sz w:val="24"/>
          <w:szCs w:val="24"/>
        </w:rPr>
        <w:t xml:space="preserve">% </w:t>
      </w:r>
      <w:r w:rsidR="0034304A">
        <w:rPr>
          <w:rFonts w:ascii="Times New Roman" w:hAnsi="Times New Roman" w:cs="Times New Roman"/>
          <w:sz w:val="24"/>
          <w:szCs w:val="24"/>
        </w:rPr>
        <w:t xml:space="preserve">increase </w:t>
      </w:r>
      <w:r w:rsidR="00395DF8">
        <w:rPr>
          <w:rFonts w:ascii="Times New Roman" w:hAnsi="Times New Roman" w:cs="Times New Roman"/>
          <w:sz w:val="24"/>
          <w:szCs w:val="24"/>
        </w:rPr>
        <w:t>from the previous quarter and same period 202</w:t>
      </w:r>
      <w:r w:rsidR="000149CA">
        <w:rPr>
          <w:rFonts w:ascii="Times New Roman" w:hAnsi="Times New Roman" w:cs="Times New Roman"/>
          <w:sz w:val="24"/>
          <w:szCs w:val="24"/>
        </w:rPr>
        <w:t>2</w:t>
      </w:r>
      <w:r w:rsidR="00395DF8">
        <w:rPr>
          <w:rFonts w:ascii="Times New Roman" w:hAnsi="Times New Roman" w:cs="Times New Roman"/>
          <w:sz w:val="24"/>
          <w:szCs w:val="24"/>
        </w:rPr>
        <w:t xml:space="preserve"> respectively.</w:t>
      </w:r>
      <w:r w:rsidR="007E5B90">
        <w:rPr>
          <w:rFonts w:ascii="Times New Roman" w:hAnsi="Times New Roman" w:cs="Times New Roman"/>
          <w:sz w:val="24"/>
          <w:szCs w:val="24"/>
        </w:rPr>
        <w:t xml:space="preserve"> </w:t>
      </w:r>
      <w:r w:rsidR="0034304A">
        <w:rPr>
          <w:rFonts w:ascii="Times New Roman" w:hAnsi="Times New Roman" w:cs="Times New Roman"/>
          <w:sz w:val="24"/>
          <w:szCs w:val="24"/>
        </w:rPr>
        <w:t>All the refined products increased in Q1-23 from the previous quarter</w:t>
      </w:r>
      <w:r w:rsidR="00AA0196">
        <w:rPr>
          <w:rFonts w:ascii="Times New Roman" w:hAnsi="Times New Roman" w:cs="Times New Roman"/>
          <w:sz w:val="24"/>
          <w:szCs w:val="24"/>
        </w:rPr>
        <w:t xml:space="preserve"> (see figure 3)</w:t>
      </w:r>
      <w:r w:rsidR="0034304A">
        <w:rPr>
          <w:rFonts w:ascii="Times New Roman" w:hAnsi="Times New Roman" w:cs="Times New Roman"/>
          <w:sz w:val="24"/>
          <w:szCs w:val="24"/>
        </w:rPr>
        <w:t xml:space="preserve">. </w:t>
      </w:r>
      <w:r w:rsidR="00F625C3">
        <w:rPr>
          <w:rFonts w:ascii="Times New Roman" w:hAnsi="Times New Roman" w:cs="Times New Roman"/>
          <w:sz w:val="24"/>
          <w:szCs w:val="24"/>
        </w:rPr>
        <w:t xml:space="preserve">March 2023 recorded the highest import of refined products </w:t>
      </w:r>
      <w:r w:rsidR="006304A3">
        <w:rPr>
          <w:rFonts w:ascii="Times New Roman" w:hAnsi="Times New Roman" w:cs="Times New Roman"/>
          <w:sz w:val="24"/>
          <w:szCs w:val="24"/>
        </w:rPr>
        <w:t xml:space="preserve">at </w:t>
      </w:r>
      <w:r w:rsidR="00F625C3">
        <w:rPr>
          <w:rFonts w:ascii="Times New Roman" w:hAnsi="Times New Roman" w:cs="Times New Roman"/>
          <w:sz w:val="24"/>
          <w:szCs w:val="24"/>
        </w:rPr>
        <w:t>36%</w:t>
      </w:r>
      <w:r w:rsidR="006304A3">
        <w:rPr>
          <w:rFonts w:ascii="Times New Roman" w:hAnsi="Times New Roman" w:cs="Times New Roman"/>
          <w:sz w:val="24"/>
          <w:szCs w:val="24"/>
        </w:rPr>
        <w:t xml:space="preserve"> of total imports</w:t>
      </w:r>
      <w:r w:rsidR="00F625C3">
        <w:rPr>
          <w:rFonts w:ascii="Times New Roman" w:hAnsi="Times New Roman" w:cs="Times New Roman"/>
          <w:sz w:val="24"/>
          <w:szCs w:val="24"/>
        </w:rPr>
        <w:t xml:space="preserve">, </w:t>
      </w:r>
      <w:r w:rsidR="006304A3">
        <w:rPr>
          <w:rFonts w:ascii="Times New Roman" w:hAnsi="Times New Roman" w:cs="Times New Roman"/>
          <w:sz w:val="24"/>
          <w:szCs w:val="24"/>
        </w:rPr>
        <w:t xml:space="preserve">mainly due to the robust 25% increase in domestic consumption from February 2023. </w:t>
      </w:r>
      <w:r w:rsidR="00F625C3">
        <w:rPr>
          <w:rFonts w:ascii="Times New Roman" w:hAnsi="Times New Roman" w:cs="Times New Roman"/>
          <w:sz w:val="24"/>
          <w:szCs w:val="24"/>
        </w:rPr>
        <w:t>January recorded the least import accounting for 29% of total import</w:t>
      </w:r>
      <w:r w:rsidR="006304A3">
        <w:rPr>
          <w:rFonts w:ascii="Times New Roman" w:hAnsi="Times New Roman" w:cs="Times New Roman"/>
          <w:sz w:val="24"/>
          <w:szCs w:val="24"/>
        </w:rPr>
        <w:t>s for the period under review.</w:t>
      </w:r>
    </w:p>
    <w:p w14:paraId="73DCAAC4" w14:textId="49ABBB25" w:rsidR="008576D9" w:rsidRPr="00B47C95" w:rsidRDefault="008576D9" w:rsidP="008576D9">
      <w:pPr>
        <w:pStyle w:val="Caption"/>
        <w:keepNext/>
        <w:spacing w:after="0"/>
        <w:jc w:val="both"/>
        <w:rPr>
          <w:i/>
          <w:sz w:val="24"/>
          <w:szCs w:val="24"/>
        </w:rPr>
      </w:pPr>
      <w:bookmarkStart w:id="15" w:name="_Toc136872327"/>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3</w:t>
      </w:r>
      <w:r w:rsidR="004858CE" w:rsidRPr="00B47C95">
        <w:rPr>
          <w:i/>
          <w:noProof/>
          <w:sz w:val="24"/>
          <w:szCs w:val="24"/>
        </w:rPr>
        <w:fldChar w:fldCharType="end"/>
      </w:r>
      <w:r w:rsidRPr="00B47C95">
        <w:rPr>
          <w:i/>
          <w:sz w:val="24"/>
          <w:szCs w:val="24"/>
        </w:rPr>
        <w:t>: Import of Refined Petroleum Products</w:t>
      </w:r>
      <w:r w:rsidR="00120DB3" w:rsidRPr="00B47C95">
        <w:rPr>
          <w:i/>
          <w:sz w:val="24"/>
          <w:szCs w:val="24"/>
        </w:rPr>
        <w:t xml:space="preserve"> (</w:t>
      </w:r>
      <w:r w:rsidRPr="00B47C95">
        <w:rPr>
          <w:i/>
          <w:sz w:val="24"/>
          <w:szCs w:val="24"/>
        </w:rPr>
        <w:t>MT</w:t>
      </w:r>
      <w:r w:rsidR="00120DB3" w:rsidRPr="00B47C95">
        <w:rPr>
          <w:i/>
          <w:sz w:val="24"/>
          <w:szCs w:val="24"/>
        </w:rPr>
        <w:t>)</w:t>
      </w:r>
      <w:bookmarkEnd w:id="15"/>
    </w:p>
    <w:p w14:paraId="71D65C0F" w14:textId="75F5CE8C" w:rsidR="00572982" w:rsidRDefault="00572982" w:rsidP="00B47C95">
      <w:pPr>
        <w:spacing w:before="0" w:after="0"/>
        <w:jc w:val="both"/>
        <w:rPr>
          <w:rFonts w:ascii="Times New Roman" w:hAnsi="Times New Roman" w:cs="Times New Roman"/>
          <w:sz w:val="24"/>
          <w:szCs w:val="24"/>
        </w:rPr>
      </w:pPr>
      <w:r>
        <w:rPr>
          <w:noProof/>
          <w:lang w:val="en-US"/>
        </w:rPr>
        <w:drawing>
          <wp:inline distT="0" distB="0" distL="0" distR="0" wp14:anchorId="7201B975" wp14:editId="74015BF0">
            <wp:extent cx="4777273" cy="2621902"/>
            <wp:effectExtent l="0" t="0" r="4445" b="7620"/>
            <wp:docPr id="1238943134" name="Chart 1">
              <a:extLst xmlns:a="http://schemas.openxmlformats.org/drawingml/2006/main">
                <a:ext uri="{FF2B5EF4-FFF2-40B4-BE49-F238E27FC236}">
                  <a16:creationId xmlns:a16="http://schemas.microsoft.com/office/drawing/2014/main" id="{D03A8506-5994-E957-6334-29D5707ABD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31414A" w14:textId="4F9C4A83" w:rsidR="00EF6B7E" w:rsidRDefault="00EF6B7E" w:rsidP="00B47C95">
      <w:pPr>
        <w:pStyle w:val="Caption"/>
        <w:keepNext/>
        <w:spacing w:before="0" w:after="0"/>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 xml:space="preserve">Source: NPA </w:t>
      </w:r>
      <w:r w:rsidR="00B66640" w:rsidRPr="00B47C95">
        <w:rPr>
          <w:rFonts w:ascii="Times New Roman" w:hAnsi="Times New Roman" w:cs="Times New Roman"/>
          <w:i/>
          <w:color w:val="17406D" w:themeColor="text2"/>
          <w:sz w:val="22"/>
          <w:szCs w:val="24"/>
        </w:rPr>
        <w:t xml:space="preserve">Imports </w:t>
      </w:r>
      <w:r w:rsidRPr="00B47C95">
        <w:rPr>
          <w:rFonts w:ascii="Times New Roman" w:hAnsi="Times New Roman" w:cs="Times New Roman"/>
          <w:i/>
          <w:color w:val="17406D" w:themeColor="text2"/>
          <w:sz w:val="22"/>
          <w:szCs w:val="24"/>
        </w:rPr>
        <w:t>Database</w:t>
      </w:r>
    </w:p>
    <w:p w14:paraId="6811B8AC" w14:textId="77777777" w:rsidR="00F5459F" w:rsidRPr="00F5459F" w:rsidRDefault="00F5459F" w:rsidP="00F5459F"/>
    <w:p w14:paraId="77D66B50" w14:textId="0CB4A663" w:rsidR="003D34F5" w:rsidRPr="00B47C95" w:rsidRDefault="003D34F5" w:rsidP="003D34F5">
      <w:pPr>
        <w:pStyle w:val="Heading2"/>
        <w:rPr>
          <w:rFonts w:ascii="Times New Roman" w:hAnsi="Times New Roman" w:cs="Times New Roman"/>
          <w:color w:val="000000" w:themeColor="text1"/>
          <w:sz w:val="24"/>
          <w:szCs w:val="24"/>
        </w:rPr>
      </w:pPr>
      <w:bookmarkStart w:id="16" w:name="_Toc141440542"/>
      <w:r w:rsidRPr="00B47C95">
        <w:rPr>
          <w:rFonts w:ascii="Times New Roman" w:hAnsi="Times New Roman" w:cs="Times New Roman"/>
          <w:color w:val="000000" w:themeColor="text1"/>
          <w:sz w:val="24"/>
          <w:szCs w:val="24"/>
        </w:rPr>
        <w:lastRenderedPageBreak/>
        <w:t>2.1.1 International Suppliers Import Performance</w:t>
      </w:r>
      <w:bookmarkEnd w:id="16"/>
      <w:r w:rsidRPr="00B47C95">
        <w:rPr>
          <w:rFonts w:ascii="Times New Roman" w:hAnsi="Times New Roman" w:cs="Times New Roman"/>
          <w:color w:val="000000" w:themeColor="text1"/>
          <w:sz w:val="24"/>
          <w:szCs w:val="24"/>
        </w:rPr>
        <w:t xml:space="preserve">  </w:t>
      </w:r>
    </w:p>
    <w:p w14:paraId="03BAEE66" w14:textId="754DA800" w:rsidR="006B5B0E" w:rsidRDefault="001E0B46" w:rsidP="00B47C95">
      <w:pPr>
        <w:spacing w:after="0"/>
        <w:jc w:val="both"/>
        <w:rPr>
          <w:rFonts w:ascii="Times New Roman" w:hAnsi="Times New Roman" w:cs="Times New Roman"/>
          <w:sz w:val="24"/>
          <w:szCs w:val="24"/>
        </w:rPr>
      </w:pPr>
      <w:r>
        <w:rPr>
          <w:rFonts w:ascii="Times New Roman" w:hAnsi="Times New Roman" w:cs="Times New Roman"/>
          <w:sz w:val="24"/>
          <w:szCs w:val="24"/>
        </w:rPr>
        <w:t xml:space="preserve">Of the total refined petroleum products supplied into the country, BP supplied </w:t>
      </w:r>
      <w:r w:rsidR="004340F8">
        <w:rPr>
          <w:rFonts w:ascii="Times New Roman" w:hAnsi="Times New Roman" w:cs="Times New Roman"/>
          <w:sz w:val="24"/>
          <w:szCs w:val="24"/>
        </w:rPr>
        <w:t>about a third</w:t>
      </w:r>
      <w:r w:rsidR="009642A5">
        <w:rPr>
          <w:rFonts w:ascii="Times New Roman" w:hAnsi="Times New Roman" w:cs="Times New Roman"/>
          <w:sz w:val="24"/>
          <w:szCs w:val="24"/>
        </w:rPr>
        <w:t xml:space="preserve"> </w:t>
      </w:r>
      <w:r>
        <w:rPr>
          <w:rFonts w:ascii="Times New Roman" w:hAnsi="Times New Roman" w:cs="Times New Roman"/>
          <w:sz w:val="24"/>
          <w:szCs w:val="24"/>
        </w:rPr>
        <w:t xml:space="preserve">(34%), followed by Trafigura with 14%. Augusta Energy supplied the least </w:t>
      </w:r>
      <w:r w:rsidR="004340F8">
        <w:rPr>
          <w:rFonts w:ascii="Times New Roman" w:hAnsi="Times New Roman" w:cs="Times New Roman"/>
          <w:sz w:val="24"/>
          <w:szCs w:val="24"/>
        </w:rPr>
        <w:t>(</w:t>
      </w:r>
      <w:r w:rsidR="00FC73BC">
        <w:rPr>
          <w:rFonts w:ascii="Times New Roman" w:hAnsi="Times New Roman" w:cs="Times New Roman"/>
          <w:sz w:val="24"/>
          <w:szCs w:val="24"/>
        </w:rPr>
        <w:t>0.3%</w:t>
      </w:r>
      <w:r w:rsidR="004340F8">
        <w:rPr>
          <w:rFonts w:ascii="Times New Roman" w:hAnsi="Times New Roman" w:cs="Times New Roman"/>
          <w:sz w:val="24"/>
          <w:szCs w:val="24"/>
        </w:rPr>
        <w:t>)</w:t>
      </w:r>
      <w:r>
        <w:rPr>
          <w:rFonts w:ascii="Times New Roman" w:hAnsi="Times New Roman" w:cs="Times New Roman"/>
          <w:sz w:val="24"/>
          <w:szCs w:val="24"/>
        </w:rPr>
        <w:t xml:space="preserve"> of refined </w:t>
      </w:r>
      <w:r w:rsidR="004340F8">
        <w:rPr>
          <w:rFonts w:ascii="Times New Roman" w:hAnsi="Times New Roman" w:cs="Times New Roman"/>
          <w:sz w:val="24"/>
          <w:szCs w:val="24"/>
        </w:rPr>
        <w:t xml:space="preserve">imported </w:t>
      </w:r>
      <w:r>
        <w:rPr>
          <w:rFonts w:ascii="Times New Roman" w:hAnsi="Times New Roman" w:cs="Times New Roman"/>
          <w:sz w:val="24"/>
          <w:szCs w:val="24"/>
        </w:rPr>
        <w:t xml:space="preserve">products for the period under review. </w:t>
      </w:r>
      <w:r w:rsidR="00FC73BC">
        <w:rPr>
          <w:rFonts w:ascii="Times New Roman" w:hAnsi="Times New Roman" w:cs="Times New Roman"/>
          <w:sz w:val="24"/>
          <w:szCs w:val="24"/>
        </w:rPr>
        <w:t xml:space="preserve">By products, </w:t>
      </w:r>
      <w:r>
        <w:rPr>
          <w:rFonts w:ascii="Times New Roman" w:hAnsi="Times New Roman" w:cs="Times New Roman"/>
          <w:sz w:val="24"/>
          <w:szCs w:val="24"/>
        </w:rPr>
        <w:t>BP supplied the highest volumes of gasoil (40</w:t>
      </w:r>
      <w:r w:rsidR="00E748AD">
        <w:rPr>
          <w:rFonts w:ascii="Times New Roman" w:hAnsi="Times New Roman" w:cs="Times New Roman"/>
          <w:sz w:val="24"/>
          <w:szCs w:val="24"/>
        </w:rPr>
        <w:t>%</w:t>
      </w:r>
      <w:r>
        <w:rPr>
          <w:rFonts w:ascii="Times New Roman" w:hAnsi="Times New Roman" w:cs="Times New Roman"/>
          <w:sz w:val="24"/>
          <w:szCs w:val="24"/>
        </w:rPr>
        <w:t xml:space="preserve">) and gasoline (35%), Trafigura supplied the highest volume of ATK, while </w:t>
      </w:r>
      <w:proofErr w:type="spellStart"/>
      <w:r>
        <w:rPr>
          <w:rFonts w:ascii="Times New Roman" w:hAnsi="Times New Roman" w:cs="Times New Roman"/>
          <w:sz w:val="24"/>
          <w:szCs w:val="24"/>
        </w:rPr>
        <w:t>Geogas</w:t>
      </w:r>
      <w:proofErr w:type="spellEnd"/>
      <w:r>
        <w:rPr>
          <w:rFonts w:ascii="Times New Roman" w:hAnsi="Times New Roman" w:cs="Times New Roman"/>
          <w:sz w:val="24"/>
          <w:szCs w:val="24"/>
        </w:rPr>
        <w:t xml:space="preserve"> supplied over half (54%) of LPG imports. </w:t>
      </w:r>
      <w:proofErr w:type="spellStart"/>
      <w:r>
        <w:rPr>
          <w:rFonts w:ascii="Times New Roman" w:hAnsi="Times New Roman" w:cs="Times New Roman"/>
          <w:sz w:val="24"/>
          <w:szCs w:val="24"/>
        </w:rPr>
        <w:t>Monjasa</w:t>
      </w:r>
      <w:proofErr w:type="spellEnd"/>
      <w:r>
        <w:rPr>
          <w:rFonts w:ascii="Times New Roman" w:hAnsi="Times New Roman" w:cs="Times New Roman"/>
          <w:sz w:val="24"/>
          <w:szCs w:val="24"/>
        </w:rPr>
        <w:t xml:space="preserve"> DMCC supplied all the volumes of residual fuel oil for the period under review (see figure 4).</w:t>
      </w:r>
    </w:p>
    <w:p w14:paraId="4C571820" w14:textId="77777777" w:rsidR="00F5459F" w:rsidRDefault="00F5459F" w:rsidP="00B47C95">
      <w:pPr>
        <w:spacing w:after="0"/>
        <w:jc w:val="both"/>
        <w:rPr>
          <w:rFonts w:ascii="Times New Roman" w:hAnsi="Times New Roman" w:cs="Times New Roman"/>
          <w:sz w:val="24"/>
          <w:szCs w:val="24"/>
        </w:rPr>
      </w:pPr>
    </w:p>
    <w:p w14:paraId="11F77057" w14:textId="11FF7A6E" w:rsidR="009E7368" w:rsidRPr="00B47C95" w:rsidRDefault="006B5B0E" w:rsidP="00B47C95">
      <w:pPr>
        <w:pStyle w:val="Caption"/>
        <w:keepNext/>
        <w:spacing w:after="0"/>
        <w:jc w:val="both"/>
        <w:rPr>
          <w:i/>
          <w:sz w:val="24"/>
          <w:szCs w:val="24"/>
        </w:rPr>
      </w:pPr>
      <w:r w:rsidRPr="00B47C95">
        <w:rPr>
          <w:i/>
          <w:sz w:val="24"/>
          <w:szCs w:val="24"/>
        </w:rPr>
        <w:t>Figure 4: Share of Import Refined Products by International Suppliers (%)</w:t>
      </w:r>
    </w:p>
    <w:p w14:paraId="5857D7C2" w14:textId="10B14DED" w:rsidR="009302D6" w:rsidRDefault="00D526B9" w:rsidP="00B47C95">
      <w:pPr>
        <w:spacing w:before="0" w:after="0" w:line="240" w:lineRule="auto"/>
        <w:jc w:val="both"/>
        <w:rPr>
          <w:rFonts w:ascii="Times New Roman" w:hAnsi="Times New Roman" w:cs="Times New Roman"/>
          <w:sz w:val="24"/>
          <w:szCs w:val="24"/>
        </w:rPr>
      </w:pPr>
      <w:r>
        <w:rPr>
          <w:noProof/>
          <w:lang w:val="en-US"/>
        </w:rPr>
        <w:drawing>
          <wp:inline distT="0" distB="0" distL="0" distR="0" wp14:anchorId="7D0731EB" wp14:editId="4CE2BB83">
            <wp:extent cx="4618653" cy="2696547"/>
            <wp:effectExtent l="0" t="0" r="10795" b="8890"/>
            <wp:docPr id="6" name="Chart 1">
              <a:extLst xmlns:a="http://schemas.openxmlformats.org/drawingml/2006/main">
                <a:ext uri="{FF2B5EF4-FFF2-40B4-BE49-F238E27FC236}">
                  <a16:creationId xmlns:a16="http://schemas.microsoft.com/office/drawing/2014/main" id="{74797011-2016-DA59-8721-12878CC69F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E2EC27" w14:textId="66837598" w:rsidR="00EF6B7E" w:rsidRPr="00B47C95" w:rsidRDefault="00EF6B7E" w:rsidP="00B47C95">
      <w:pPr>
        <w:pStyle w:val="Caption"/>
        <w:keepNext/>
        <w:spacing w:before="0" w:after="0"/>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 xml:space="preserve">Source: NPA </w:t>
      </w:r>
      <w:r w:rsidR="00552623" w:rsidRPr="00B47C95">
        <w:rPr>
          <w:rFonts w:ascii="Times New Roman" w:hAnsi="Times New Roman" w:cs="Times New Roman"/>
          <w:i/>
          <w:color w:val="17406D" w:themeColor="text2"/>
          <w:sz w:val="22"/>
          <w:szCs w:val="24"/>
        </w:rPr>
        <w:t xml:space="preserve">Imports </w:t>
      </w:r>
      <w:r w:rsidRPr="00B47C95">
        <w:rPr>
          <w:rFonts w:ascii="Times New Roman" w:hAnsi="Times New Roman" w:cs="Times New Roman"/>
          <w:i/>
          <w:color w:val="17406D" w:themeColor="text2"/>
          <w:sz w:val="22"/>
          <w:szCs w:val="24"/>
        </w:rPr>
        <w:t>Database</w:t>
      </w:r>
    </w:p>
    <w:p w14:paraId="2BC36C0E" w14:textId="77777777" w:rsidR="006B5B0E" w:rsidRPr="00B47C95" w:rsidRDefault="006B5B0E" w:rsidP="00B47C95"/>
    <w:p w14:paraId="56777FB2" w14:textId="5A05B364" w:rsidR="007166C5" w:rsidRPr="003764E9" w:rsidRDefault="0017110B" w:rsidP="007166C5">
      <w:pPr>
        <w:pStyle w:val="Heading2"/>
        <w:rPr>
          <w:rFonts w:ascii="Times New Roman" w:hAnsi="Times New Roman" w:cs="Times New Roman"/>
          <w:sz w:val="24"/>
          <w:szCs w:val="24"/>
        </w:rPr>
      </w:pPr>
      <w:bookmarkStart w:id="17" w:name="_Toc141440543"/>
      <w:r>
        <w:rPr>
          <w:rFonts w:ascii="Times New Roman" w:hAnsi="Times New Roman" w:cs="Times New Roman"/>
          <w:sz w:val="24"/>
          <w:szCs w:val="24"/>
        </w:rPr>
        <w:t>2.2</w:t>
      </w:r>
      <w:r w:rsidR="007166C5" w:rsidRPr="00790246">
        <w:rPr>
          <w:rFonts w:ascii="Times New Roman" w:hAnsi="Times New Roman" w:cs="Times New Roman"/>
          <w:sz w:val="24"/>
          <w:szCs w:val="24"/>
        </w:rPr>
        <w:t xml:space="preserve"> </w:t>
      </w:r>
      <w:r w:rsidR="000C4FC9">
        <w:rPr>
          <w:rFonts w:ascii="Times New Roman" w:hAnsi="Times New Roman" w:cs="Times New Roman"/>
          <w:sz w:val="24"/>
          <w:szCs w:val="24"/>
        </w:rPr>
        <w:t xml:space="preserve">Local </w:t>
      </w:r>
      <w:r w:rsidR="007166C5" w:rsidRPr="00790246">
        <w:rPr>
          <w:rFonts w:ascii="Times New Roman" w:hAnsi="Times New Roman" w:cs="Times New Roman"/>
          <w:sz w:val="24"/>
          <w:szCs w:val="24"/>
        </w:rPr>
        <w:t xml:space="preserve">Production of </w:t>
      </w:r>
      <w:r w:rsidR="000C4FC9">
        <w:rPr>
          <w:rFonts w:ascii="Times New Roman" w:hAnsi="Times New Roman" w:cs="Times New Roman"/>
          <w:sz w:val="24"/>
          <w:szCs w:val="24"/>
        </w:rPr>
        <w:t xml:space="preserve">Refined </w:t>
      </w:r>
      <w:r w:rsidR="007166C5" w:rsidRPr="00790246">
        <w:rPr>
          <w:rFonts w:ascii="Times New Roman" w:hAnsi="Times New Roman" w:cs="Times New Roman"/>
          <w:sz w:val="24"/>
          <w:szCs w:val="24"/>
        </w:rPr>
        <w:t>Petroleum Products</w:t>
      </w:r>
      <w:bookmarkEnd w:id="17"/>
    </w:p>
    <w:p w14:paraId="416AA41C" w14:textId="6BEEB8EF" w:rsidR="007166C5" w:rsidRDefault="007166C5" w:rsidP="008358B3">
      <w:pPr>
        <w:jc w:val="both"/>
        <w:rPr>
          <w:rFonts w:ascii="Times New Roman" w:hAnsi="Times New Roman" w:cs="Times New Roman"/>
          <w:sz w:val="24"/>
          <w:szCs w:val="24"/>
        </w:rPr>
      </w:pPr>
      <w:r w:rsidRPr="003764E9">
        <w:rPr>
          <w:rFonts w:ascii="Times New Roman" w:hAnsi="Times New Roman" w:cs="Times New Roman"/>
          <w:sz w:val="24"/>
          <w:szCs w:val="24"/>
        </w:rPr>
        <w:t>A</w:t>
      </w:r>
      <w:r>
        <w:rPr>
          <w:rFonts w:ascii="Times New Roman" w:hAnsi="Times New Roman" w:cs="Times New Roman"/>
          <w:sz w:val="24"/>
          <w:szCs w:val="24"/>
        </w:rPr>
        <w:t xml:space="preserve">n estimated </w:t>
      </w:r>
      <w:r w:rsidR="001D6EA9">
        <w:rPr>
          <w:rFonts w:ascii="Times New Roman" w:hAnsi="Times New Roman" w:cs="Times New Roman"/>
          <w:sz w:val="24"/>
          <w:szCs w:val="24"/>
        </w:rPr>
        <w:t>31</w:t>
      </w:r>
      <w:r w:rsidRPr="003764E9">
        <w:rPr>
          <w:rFonts w:ascii="Times New Roman" w:hAnsi="Times New Roman" w:cs="Times New Roman"/>
          <w:sz w:val="24"/>
          <w:szCs w:val="24"/>
        </w:rPr>
        <w:t>,</w:t>
      </w:r>
      <w:r w:rsidR="001D6EA9">
        <w:rPr>
          <w:rFonts w:ascii="Times New Roman" w:hAnsi="Times New Roman" w:cs="Times New Roman"/>
          <w:sz w:val="24"/>
          <w:szCs w:val="24"/>
        </w:rPr>
        <w:t>176</w:t>
      </w:r>
      <w:r w:rsidR="008D361F">
        <w:rPr>
          <w:rFonts w:ascii="Times New Roman" w:hAnsi="Times New Roman" w:cs="Times New Roman"/>
          <w:sz w:val="24"/>
          <w:szCs w:val="24"/>
        </w:rPr>
        <w:t xml:space="preserve">mt </w:t>
      </w:r>
      <w:r w:rsidRPr="003764E9">
        <w:rPr>
          <w:rFonts w:ascii="Times New Roman" w:hAnsi="Times New Roman" w:cs="Times New Roman"/>
          <w:sz w:val="24"/>
          <w:szCs w:val="24"/>
        </w:rPr>
        <w:t xml:space="preserve">of </w:t>
      </w:r>
      <w:r w:rsidR="008D361F">
        <w:rPr>
          <w:rFonts w:ascii="Times New Roman" w:hAnsi="Times New Roman" w:cs="Times New Roman"/>
          <w:sz w:val="24"/>
          <w:szCs w:val="24"/>
        </w:rPr>
        <w:t>refined p</w:t>
      </w:r>
      <w:r w:rsidRPr="003764E9">
        <w:rPr>
          <w:rFonts w:ascii="Times New Roman" w:hAnsi="Times New Roman" w:cs="Times New Roman"/>
          <w:sz w:val="24"/>
          <w:szCs w:val="24"/>
        </w:rPr>
        <w:t xml:space="preserve">roducts were produced locally in </w:t>
      </w:r>
      <w:r w:rsidR="0027150B">
        <w:rPr>
          <w:rFonts w:ascii="Times New Roman" w:hAnsi="Times New Roman" w:cs="Times New Roman"/>
          <w:sz w:val="24"/>
          <w:szCs w:val="24"/>
        </w:rPr>
        <w:t>Q</w:t>
      </w:r>
      <w:r w:rsidR="008D361F">
        <w:rPr>
          <w:rFonts w:ascii="Times New Roman" w:hAnsi="Times New Roman" w:cs="Times New Roman"/>
          <w:sz w:val="24"/>
          <w:szCs w:val="24"/>
        </w:rPr>
        <w:t>1</w:t>
      </w:r>
      <w:r w:rsidR="0027150B">
        <w:rPr>
          <w:rFonts w:ascii="Times New Roman" w:hAnsi="Times New Roman" w:cs="Times New Roman"/>
          <w:sz w:val="24"/>
          <w:szCs w:val="24"/>
        </w:rPr>
        <w:t>-202</w:t>
      </w:r>
      <w:r w:rsidR="008D361F">
        <w:rPr>
          <w:rFonts w:ascii="Times New Roman" w:hAnsi="Times New Roman" w:cs="Times New Roman"/>
          <w:sz w:val="24"/>
          <w:szCs w:val="24"/>
        </w:rPr>
        <w:t>3</w:t>
      </w:r>
      <w:r w:rsidRPr="003764E9">
        <w:rPr>
          <w:rFonts w:ascii="Times New Roman" w:hAnsi="Times New Roman" w:cs="Times New Roman"/>
          <w:sz w:val="24"/>
          <w:szCs w:val="24"/>
        </w:rPr>
        <w:t xml:space="preserve">, </w:t>
      </w:r>
      <w:r w:rsidR="001D6EA9">
        <w:rPr>
          <w:rFonts w:ascii="Times New Roman" w:hAnsi="Times New Roman" w:cs="Times New Roman"/>
          <w:sz w:val="24"/>
          <w:szCs w:val="24"/>
        </w:rPr>
        <w:t xml:space="preserve">down </w:t>
      </w:r>
      <w:r w:rsidR="004B5A45">
        <w:rPr>
          <w:rFonts w:ascii="Times New Roman" w:hAnsi="Times New Roman" w:cs="Times New Roman"/>
          <w:sz w:val="24"/>
          <w:szCs w:val="24"/>
        </w:rPr>
        <w:t xml:space="preserve">by </w:t>
      </w:r>
      <w:r w:rsidR="001D6EA9">
        <w:rPr>
          <w:rFonts w:ascii="Times New Roman" w:hAnsi="Times New Roman" w:cs="Times New Roman"/>
          <w:sz w:val="24"/>
          <w:szCs w:val="24"/>
        </w:rPr>
        <w:t>25</w:t>
      </w:r>
      <w:r w:rsidR="00FD111C">
        <w:rPr>
          <w:rFonts w:ascii="Times New Roman" w:hAnsi="Times New Roman" w:cs="Times New Roman"/>
          <w:sz w:val="24"/>
          <w:szCs w:val="24"/>
        </w:rPr>
        <w:t>% from the previous quarter</w:t>
      </w:r>
      <w:r w:rsidRPr="003764E9">
        <w:rPr>
          <w:rFonts w:ascii="Times New Roman" w:hAnsi="Times New Roman" w:cs="Times New Roman"/>
          <w:sz w:val="24"/>
          <w:szCs w:val="24"/>
        </w:rPr>
        <w:t xml:space="preserve">. </w:t>
      </w:r>
      <w:r w:rsidR="00FD111C">
        <w:rPr>
          <w:rFonts w:ascii="Times New Roman" w:hAnsi="Times New Roman" w:cs="Times New Roman"/>
          <w:sz w:val="24"/>
          <w:szCs w:val="24"/>
        </w:rPr>
        <w:t xml:space="preserve">LPG </w:t>
      </w:r>
      <w:r w:rsidRPr="003764E9">
        <w:rPr>
          <w:rFonts w:ascii="Times New Roman" w:hAnsi="Times New Roman" w:cs="Times New Roman"/>
          <w:sz w:val="24"/>
          <w:szCs w:val="24"/>
        </w:rPr>
        <w:t>accounted for the highest share of production</w:t>
      </w:r>
      <w:r w:rsidR="00FD111C">
        <w:rPr>
          <w:rFonts w:ascii="Times New Roman" w:hAnsi="Times New Roman" w:cs="Times New Roman"/>
          <w:sz w:val="24"/>
          <w:szCs w:val="24"/>
        </w:rPr>
        <w:t xml:space="preserve"> while Naphtha accounted for the least share</w:t>
      </w:r>
      <w:r w:rsidRPr="003764E9">
        <w:rPr>
          <w:rFonts w:ascii="Times New Roman" w:hAnsi="Times New Roman" w:cs="Times New Roman"/>
          <w:sz w:val="24"/>
          <w:szCs w:val="24"/>
        </w:rPr>
        <w:t>.</w:t>
      </w:r>
      <w:r>
        <w:rPr>
          <w:rFonts w:ascii="Times New Roman" w:hAnsi="Times New Roman" w:cs="Times New Roman"/>
          <w:sz w:val="24"/>
          <w:szCs w:val="24"/>
        </w:rPr>
        <w:t xml:space="preserve"> </w:t>
      </w:r>
      <w:r w:rsidR="00827E83">
        <w:rPr>
          <w:rFonts w:ascii="Times New Roman" w:hAnsi="Times New Roman" w:cs="Times New Roman"/>
          <w:sz w:val="24"/>
          <w:szCs w:val="24"/>
        </w:rPr>
        <w:t xml:space="preserve">Compared to the previous quarter, LPG as a share of production </w:t>
      </w:r>
      <w:r w:rsidR="001D6EA9">
        <w:rPr>
          <w:rFonts w:ascii="Times New Roman" w:hAnsi="Times New Roman" w:cs="Times New Roman"/>
          <w:sz w:val="24"/>
          <w:szCs w:val="24"/>
        </w:rPr>
        <w:t>in</w:t>
      </w:r>
      <w:r w:rsidR="0049062C">
        <w:rPr>
          <w:rFonts w:ascii="Times New Roman" w:hAnsi="Times New Roman" w:cs="Times New Roman"/>
          <w:sz w:val="24"/>
          <w:szCs w:val="24"/>
        </w:rPr>
        <w:t xml:space="preserve">creased </w:t>
      </w:r>
      <w:r w:rsidR="00827E83">
        <w:rPr>
          <w:rFonts w:ascii="Times New Roman" w:hAnsi="Times New Roman" w:cs="Times New Roman"/>
          <w:sz w:val="24"/>
          <w:szCs w:val="24"/>
        </w:rPr>
        <w:t xml:space="preserve">by </w:t>
      </w:r>
      <w:r w:rsidR="001D6EA9">
        <w:rPr>
          <w:rFonts w:ascii="Times New Roman" w:hAnsi="Times New Roman" w:cs="Times New Roman"/>
          <w:sz w:val="24"/>
          <w:szCs w:val="24"/>
        </w:rPr>
        <w:t>3</w:t>
      </w:r>
      <w:r w:rsidR="00827E83">
        <w:rPr>
          <w:rFonts w:ascii="Times New Roman" w:hAnsi="Times New Roman" w:cs="Times New Roman"/>
          <w:sz w:val="24"/>
          <w:szCs w:val="24"/>
        </w:rPr>
        <w:t xml:space="preserve">%, while </w:t>
      </w:r>
      <w:r w:rsidR="0049062C">
        <w:rPr>
          <w:rFonts w:ascii="Times New Roman" w:hAnsi="Times New Roman" w:cs="Times New Roman"/>
          <w:sz w:val="24"/>
          <w:szCs w:val="24"/>
        </w:rPr>
        <w:t xml:space="preserve">Naphtha </w:t>
      </w:r>
      <w:r w:rsidR="001D6EA9">
        <w:rPr>
          <w:rFonts w:ascii="Times New Roman" w:hAnsi="Times New Roman" w:cs="Times New Roman"/>
          <w:sz w:val="24"/>
          <w:szCs w:val="24"/>
        </w:rPr>
        <w:t xml:space="preserve">was unchanged </w:t>
      </w:r>
      <w:r w:rsidR="0049062C">
        <w:rPr>
          <w:rFonts w:ascii="Times New Roman" w:hAnsi="Times New Roman" w:cs="Times New Roman"/>
          <w:sz w:val="24"/>
          <w:szCs w:val="24"/>
        </w:rPr>
        <w:t>from Q4-2022</w:t>
      </w:r>
      <w:r w:rsidR="00827E83">
        <w:rPr>
          <w:rFonts w:ascii="Times New Roman" w:hAnsi="Times New Roman" w:cs="Times New Roman"/>
          <w:sz w:val="24"/>
          <w:szCs w:val="24"/>
        </w:rPr>
        <w:t xml:space="preserve"> (see figure </w:t>
      </w:r>
      <w:r w:rsidR="00200FFA">
        <w:rPr>
          <w:rFonts w:ascii="Times New Roman" w:hAnsi="Times New Roman" w:cs="Times New Roman"/>
          <w:sz w:val="24"/>
          <w:szCs w:val="24"/>
        </w:rPr>
        <w:t>5</w:t>
      </w:r>
      <w:r w:rsidR="00827E83">
        <w:rPr>
          <w:rFonts w:ascii="Times New Roman" w:hAnsi="Times New Roman" w:cs="Times New Roman"/>
          <w:sz w:val="24"/>
          <w:szCs w:val="24"/>
        </w:rPr>
        <w:t>).</w:t>
      </w:r>
      <w:r w:rsidR="008336AB">
        <w:rPr>
          <w:rFonts w:ascii="Times New Roman" w:hAnsi="Times New Roman" w:cs="Times New Roman"/>
          <w:sz w:val="24"/>
          <w:szCs w:val="24"/>
        </w:rPr>
        <w:t xml:space="preserve"> Condensate is mainly blended at TOR with high grade gasoline to produce </w:t>
      </w:r>
      <w:r w:rsidR="00BF355D">
        <w:rPr>
          <w:rFonts w:ascii="Times New Roman" w:hAnsi="Times New Roman" w:cs="Times New Roman"/>
          <w:sz w:val="24"/>
          <w:szCs w:val="24"/>
        </w:rPr>
        <w:t>Premix fuel</w:t>
      </w:r>
      <w:r w:rsidR="008336AB">
        <w:rPr>
          <w:rFonts w:ascii="Times New Roman" w:hAnsi="Times New Roman" w:cs="Times New Roman"/>
          <w:sz w:val="24"/>
          <w:szCs w:val="24"/>
        </w:rPr>
        <w:t xml:space="preserve">. </w:t>
      </w:r>
    </w:p>
    <w:p w14:paraId="4C4D7EB8" w14:textId="4235F520" w:rsidR="00065D59" w:rsidRPr="00B47C95" w:rsidRDefault="00065D59" w:rsidP="00065D59">
      <w:pPr>
        <w:pStyle w:val="Caption"/>
        <w:keepNext/>
        <w:spacing w:after="0"/>
        <w:jc w:val="both"/>
        <w:rPr>
          <w:i/>
          <w:sz w:val="24"/>
          <w:szCs w:val="24"/>
        </w:rPr>
      </w:pPr>
      <w:bookmarkStart w:id="18" w:name="_Toc136872329"/>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5</w:t>
      </w:r>
      <w:r w:rsidR="004858CE" w:rsidRPr="00B47C95">
        <w:rPr>
          <w:i/>
          <w:noProof/>
          <w:sz w:val="24"/>
          <w:szCs w:val="24"/>
        </w:rPr>
        <w:fldChar w:fldCharType="end"/>
      </w:r>
      <w:r w:rsidRPr="00B47C95">
        <w:rPr>
          <w:i/>
          <w:sz w:val="24"/>
          <w:szCs w:val="24"/>
        </w:rPr>
        <w:t>: Local Production of Refined Petroleum Products</w:t>
      </w:r>
      <w:r w:rsidR="00291662" w:rsidRPr="00B47C95">
        <w:rPr>
          <w:i/>
          <w:sz w:val="24"/>
          <w:szCs w:val="24"/>
        </w:rPr>
        <w:t xml:space="preserve"> (%)</w:t>
      </w:r>
      <w:bookmarkEnd w:id="18"/>
    </w:p>
    <w:p w14:paraId="26BC2F98" w14:textId="790C367A" w:rsidR="000C4FC9" w:rsidRPr="00B9685F" w:rsidRDefault="00B9685F" w:rsidP="00B9685F">
      <w:pPr>
        <w:spacing w:after="0"/>
      </w:pPr>
      <w:r>
        <w:rPr>
          <w:noProof/>
          <w:lang w:val="en-US"/>
        </w:rPr>
        <w:drawing>
          <wp:inline distT="0" distB="0" distL="0" distR="0" wp14:anchorId="30184BBE" wp14:editId="2F749EB9">
            <wp:extent cx="4543425" cy="2905125"/>
            <wp:effectExtent l="0" t="0" r="9525" b="9525"/>
            <wp:docPr id="1493985243" name="Chart 1">
              <a:extLst xmlns:a="http://schemas.openxmlformats.org/drawingml/2006/main">
                <a:ext uri="{FF2B5EF4-FFF2-40B4-BE49-F238E27FC236}">
                  <a16:creationId xmlns:a16="http://schemas.microsoft.com/office/drawing/2014/main" id="{A2F93C5B-C5D3-695F-7F8E-B6E908AC44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58BC485" w14:textId="433E5E51" w:rsidR="007166C5" w:rsidRDefault="007166C5" w:rsidP="00B47C95">
      <w:pPr>
        <w:pStyle w:val="Caption"/>
        <w:keepNext/>
        <w:spacing w:before="0" w:after="0"/>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 xml:space="preserve">Source: NPA </w:t>
      </w:r>
      <w:r w:rsidR="002118FF" w:rsidRPr="00B47C95">
        <w:rPr>
          <w:rFonts w:ascii="Times New Roman" w:hAnsi="Times New Roman" w:cs="Times New Roman"/>
          <w:i/>
          <w:color w:val="17406D" w:themeColor="text2"/>
          <w:sz w:val="22"/>
          <w:szCs w:val="24"/>
        </w:rPr>
        <w:t xml:space="preserve">Production </w:t>
      </w:r>
      <w:r w:rsidRPr="00B47C95">
        <w:rPr>
          <w:rFonts w:ascii="Times New Roman" w:hAnsi="Times New Roman" w:cs="Times New Roman"/>
          <w:i/>
          <w:color w:val="17406D" w:themeColor="text2"/>
          <w:sz w:val="22"/>
          <w:szCs w:val="24"/>
        </w:rPr>
        <w:t>Database</w:t>
      </w:r>
    </w:p>
    <w:p w14:paraId="626486D0" w14:textId="77777777" w:rsidR="00F5459F" w:rsidRPr="00F5459F" w:rsidRDefault="00F5459F" w:rsidP="00F5459F"/>
    <w:p w14:paraId="32A170F5" w14:textId="7823C40F" w:rsidR="007166C5" w:rsidRPr="003764E9" w:rsidRDefault="0017110B" w:rsidP="007166C5">
      <w:pPr>
        <w:pStyle w:val="Heading2"/>
        <w:rPr>
          <w:rFonts w:ascii="Times New Roman" w:hAnsi="Times New Roman" w:cs="Times New Roman"/>
          <w:sz w:val="24"/>
          <w:szCs w:val="24"/>
        </w:rPr>
      </w:pPr>
      <w:bookmarkStart w:id="19" w:name="_Toc141440544"/>
      <w:r>
        <w:rPr>
          <w:rFonts w:ascii="Times New Roman" w:hAnsi="Times New Roman" w:cs="Times New Roman"/>
          <w:sz w:val="24"/>
          <w:szCs w:val="24"/>
        </w:rPr>
        <w:lastRenderedPageBreak/>
        <w:t>2.3</w:t>
      </w:r>
      <w:r w:rsidR="007166C5" w:rsidRPr="00790246">
        <w:rPr>
          <w:rFonts w:ascii="Times New Roman" w:hAnsi="Times New Roman" w:cs="Times New Roman"/>
          <w:sz w:val="24"/>
          <w:szCs w:val="24"/>
        </w:rPr>
        <w:t xml:space="preserve"> </w:t>
      </w:r>
      <w:r w:rsidR="007166C5">
        <w:rPr>
          <w:rFonts w:ascii="Times New Roman" w:hAnsi="Times New Roman" w:cs="Times New Roman"/>
          <w:sz w:val="24"/>
          <w:szCs w:val="24"/>
        </w:rPr>
        <w:t xml:space="preserve">Inventory of </w:t>
      </w:r>
      <w:r w:rsidR="0061730C">
        <w:rPr>
          <w:rFonts w:ascii="Times New Roman" w:hAnsi="Times New Roman" w:cs="Times New Roman"/>
          <w:sz w:val="24"/>
          <w:szCs w:val="24"/>
        </w:rPr>
        <w:t xml:space="preserve">Refined </w:t>
      </w:r>
      <w:r w:rsidR="007166C5" w:rsidRPr="00790246">
        <w:rPr>
          <w:rFonts w:ascii="Times New Roman" w:hAnsi="Times New Roman" w:cs="Times New Roman"/>
          <w:sz w:val="24"/>
          <w:szCs w:val="24"/>
        </w:rPr>
        <w:t>Petroleum Products</w:t>
      </w:r>
      <w:bookmarkEnd w:id="19"/>
    </w:p>
    <w:p w14:paraId="1D01E2A1" w14:textId="1F963599" w:rsidR="00F177F2" w:rsidRPr="003764E9" w:rsidRDefault="00113E1A" w:rsidP="008358B3">
      <w:pPr>
        <w:jc w:val="both"/>
        <w:rPr>
          <w:rFonts w:ascii="Times New Roman" w:hAnsi="Times New Roman" w:cs="Times New Roman"/>
          <w:sz w:val="24"/>
          <w:szCs w:val="24"/>
        </w:rPr>
      </w:pPr>
      <w:r>
        <w:rPr>
          <w:rFonts w:ascii="Times New Roman" w:hAnsi="Times New Roman" w:cs="Times New Roman"/>
          <w:sz w:val="24"/>
          <w:szCs w:val="24"/>
        </w:rPr>
        <w:t>An estimated 3</w:t>
      </w:r>
      <w:r w:rsidR="003D3FFF">
        <w:rPr>
          <w:rFonts w:ascii="Times New Roman" w:hAnsi="Times New Roman" w:cs="Times New Roman"/>
          <w:sz w:val="24"/>
          <w:szCs w:val="24"/>
        </w:rPr>
        <w:t>70</w:t>
      </w:r>
      <w:r>
        <w:rPr>
          <w:rFonts w:ascii="Times New Roman" w:hAnsi="Times New Roman" w:cs="Times New Roman"/>
          <w:sz w:val="24"/>
          <w:szCs w:val="24"/>
        </w:rPr>
        <w:t>,</w:t>
      </w:r>
      <w:r w:rsidR="003D3FFF">
        <w:rPr>
          <w:rFonts w:ascii="Times New Roman" w:hAnsi="Times New Roman" w:cs="Times New Roman"/>
          <w:sz w:val="24"/>
          <w:szCs w:val="24"/>
        </w:rPr>
        <w:t>440</w:t>
      </w:r>
      <w:r>
        <w:rPr>
          <w:rFonts w:ascii="Times New Roman" w:hAnsi="Times New Roman" w:cs="Times New Roman"/>
          <w:sz w:val="24"/>
          <w:szCs w:val="24"/>
        </w:rPr>
        <w:t xml:space="preserve"> </w:t>
      </w:r>
      <w:proofErr w:type="spellStart"/>
      <w:r w:rsidR="003D3FFF">
        <w:rPr>
          <w:rFonts w:ascii="Times New Roman" w:hAnsi="Times New Roman" w:cs="Times New Roman"/>
          <w:sz w:val="24"/>
          <w:szCs w:val="24"/>
        </w:rPr>
        <w:t>mt</w:t>
      </w:r>
      <w:proofErr w:type="spellEnd"/>
      <w:r w:rsidR="003D3FFF">
        <w:rPr>
          <w:rFonts w:ascii="Times New Roman" w:hAnsi="Times New Roman" w:cs="Times New Roman"/>
          <w:sz w:val="24"/>
          <w:szCs w:val="24"/>
        </w:rPr>
        <w:t xml:space="preserve"> </w:t>
      </w:r>
      <w:r>
        <w:rPr>
          <w:rFonts w:ascii="Times New Roman" w:hAnsi="Times New Roman" w:cs="Times New Roman"/>
          <w:sz w:val="24"/>
          <w:szCs w:val="24"/>
        </w:rPr>
        <w:t xml:space="preserve">of </w:t>
      </w:r>
      <w:r w:rsidR="003D3FFF">
        <w:rPr>
          <w:rFonts w:ascii="Times New Roman" w:hAnsi="Times New Roman" w:cs="Times New Roman"/>
          <w:sz w:val="24"/>
          <w:szCs w:val="24"/>
        </w:rPr>
        <w:t xml:space="preserve">refined </w:t>
      </w:r>
      <w:r w:rsidR="00E97749" w:rsidRPr="003764E9">
        <w:rPr>
          <w:rFonts w:ascii="Times New Roman" w:hAnsi="Times New Roman" w:cs="Times New Roman"/>
          <w:sz w:val="24"/>
          <w:szCs w:val="24"/>
        </w:rPr>
        <w:t xml:space="preserve">petroleum products </w:t>
      </w:r>
      <w:r>
        <w:rPr>
          <w:rFonts w:ascii="Times New Roman" w:hAnsi="Times New Roman" w:cs="Times New Roman"/>
          <w:sz w:val="24"/>
          <w:szCs w:val="24"/>
        </w:rPr>
        <w:t>w</w:t>
      </w:r>
      <w:r w:rsidR="00F165AF">
        <w:rPr>
          <w:rFonts w:ascii="Times New Roman" w:hAnsi="Times New Roman" w:cs="Times New Roman"/>
          <w:sz w:val="24"/>
          <w:szCs w:val="24"/>
        </w:rPr>
        <w:t xml:space="preserve">ere </w:t>
      </w:r>
      <w:r>
        <w:rPr>
          <w:rFonts w:ascii="Times New Roman" w:hAnsi="Times New Roman" w:cs="Times New Roman"/>
          <w:sz w:val="24"/>
          <w:szCs w:val="24"/>
        </w:rPr>
        <w:t xml:space="preserve">rolled over from </w:t>
      </w:r>
      <w:r w:rsidR="003D3FFF">
        <w:rPr>
          <w:rFonts w:ascii="Times New Roman" w:hAnsi="Times New Roman" w:cs="Times New Roman"/>
          <w:sz w:val="24"/>
          <w:szCs w:val="24"/>
        </w:rPr>
        <w:t>the previous quarter</w:t>
      </w:r>
      <w:r w:rsidR="00294B54">
        <w:rPr>
          <w:rFonts w:ascii="Times New Roman" w:hAnsi="Times New Roman" w:cs="Times New Roman"/>
          <w:sz w:val="24"/>
          <w:szCs w:val="24"/>
        </w:rPr>
        <w:t>, estimated at 3.</w:t>
      </w:r>
      <w:r w:rsidR="003D3FFF">
        <w:rPr>
          <w:rFonts w:ascii="Times New Roman" w:hAnsi="Times New Roman" w:cs="Times New Roman"/>
          <w:sz w:val="24"/>
          <w:szCs w:val="24"/>
        </w:rPr>
        <w:t xml:space="preserve">9 </w:t>
      </w:r>
      <w:r w:rsidR="00294B54">
        <w:rPr>
          <w:rFonts w:ascii="Times New Roman" w:hAnsi="Times New Roman" w:cs="Times New Roman"/>
          <w:sz w:val="24"/>
          <w:szCs w:val="24"/>
        </w:rPr>
        <w:t xml:space="preserve">weeks of national consumption. </w:t>
      </w:r>
      <w:r w:rsidR="00F165AF">
        <w:rPr>
          <w:rFonts w:ascii="Times New Roman" w:hAnsi="Times New Roman" w:cs="Times New Roman"/>
          <w:sz w:val="24"/>
          <w:szCs w:val="24"/>
        </w:rPr>
        <w:t>Th</w:t>
      </w:r>
      <w:r w:rsidR="00E0557F">
        <w:rPr>
          <w:rFonts w:ascii="Times New Roman" w:hAnsi="Times New Roman" w:cs="Times New Roman"/>
          <w:sz w:val="24"/>
          <w:szCs w:val="24"/>
        </w:rPr>
        <w:t xml:space="preserve">e stock roll over into </w:t>
      </w:r>
      <w:r w:rsidR="003D3FFF">
        <w:rPr>
          <w:rFonts w:ascii="Times New Roman" w:hAnsi="Times New Roman" w:cs="Times New Roman"/>
          <w:sz w:val="24"/>
          <w:szCs w:val="24"/>
        </w:rPr>
        <w:t xml:space="preserve">Q1-23 </w:t>
      </w:r>
      <w:r w:rsidR="00E0557F">
        <w:rPr>
          <w:rFonts w:ascii="Times New Roman" w:hAnsi="Times New Roman" w:cs="Times New Roman"/>
          <w:sz w:val="24"/>
          <w:szCs w:val="24"/>
        </w:rPr>
        <w:t xml:space="preserve">was </w:t>
      </w:r>
      <w:r w:rsidR="003D3FFF">
        <w:rPr>
          <w:rFonts w:ascii="Times New Roman" w:hAnsi="Times New Roman" w:cs="Times New Roman"/>
          <w:sz w:val="24"/>
          <w:szCs w:val="24"/>
        </w:rPr>
        <w:t>3</w:t>
      </w:r>
      <w:r w:rsidR="00E0557F">
        <w:rPr>
          <w:rFonts w:ascii="Times New Roman" w:hAnsi="Times New Roman" w:cs="Times New Roman"/>
          <w:sz w:val="24"/>
          <w:szCs w:val="24"/>
        </w:rPr>
        <w:t xml:space="preserve">% lower than the stock roll over </w:t>
      </w:r>
      <w:r w:rsidR="000F4257">
        <w:rPr>
          <w:rFonts w:ascii="Times New Roman" w:hAnsi="Times New Roman" w:cs="Times New Roman"/>
          <w:sz w:val="24"/>
          <w:szCs w:val="24"/>
        </w:rPr>
        <w:t xml:space="preserve">into </w:t>
      </w:r>
      <w:r w:rsidR="00E0557F">
        <w:rPr>
          <w:rFonts w:ascii="Times New Roman" w:hAnsi="Times New Roman" w:cs="Times New Roman"/>
          <w:sz w:val="24"/>
          <w:szCs w:val="24"/>
        </w:rPr>
        <w:t xml:space="preserve">the previous quarter. </w:t>
      </w:r>
      <w:r w:rsidR="00F86420">
        <w:rPr>
          <w:rFonts w:ascii="Times New Roman" w:hAnsi="Times New Roman" w:cs="Times New Roman"/>
          <w:sz w:val="24"/>
          <w:szCs w:val="24"/>
        </w:rPr>
        <w:t>Gasoline</w:t>
      </w:r>
      <w:r w:rsidR="009C2650">
        <w:rPr>
          <w:rFonts w:ascii="Times New Roman" w:hAnsi="Times New Roman" w:cs="Times New Roman"/>
          <w:sz w:val="24"/>
          <w:szCs w:val="24"/>
        </w:rPr>
        <w:t xml:space="preserve"> (petrol)</w:t>
      </w:r>
      <w:r w:rsidR="00F86420">
        <w:rPr>
          <w:rFonts w:ascii="Times New Roman" w:hAnsi="Times New Roman" w:cs="Times New Roman"/>
          <w:sz w:val="24"/>
          <w:szCs w:val="24"/>
        </w:rPr>
        <w:t xml:space="preserve"> stock was the </w:t>
      </w:r>
      <w:r w:rsidR="0081680F" w:rsidRPr="003764E9">
        <w:rPr>
          <w:rFonts w:ascii="Times New Roman" w:hAnsi="Times New Roman" w:cs="Times New Roman"/>
          <w:sz w:val="24"/>
          <w:szCs w:val="24"/>
        </w:rPr>
        <w:t xml:space="preserve">highest </w:t>
      </w:r>
      <w:r w:rsidR="003D3FFF">
        <w:rPr>
          <w:rFonts w:ascii="Times New Roman" w:hAnsi="Times New Roman" w:cs="Times New Roman"/>
          <w:sz w:val="24"/>
          <w:szCs w:val="24"/>
        </w:rPr>
        <w:t xml:space="preserve">at over 180,000 </w:t>
      </w:r>
      <w:proofErr w:type="spellStart"/>
      <w:r w:rsidR="003D3FFF">
        <w:rPr>
          <w:rFonts w:ascii="Times New Roman" w:hAnsi="Times New Roman" w:cs="Times New Roman"/>
          <w:sz w:val="24"/>
          <w:szCs w:val="24"/>
        </w:rPr>
        <w:t>mt</w:t>
      </w:r>
      <w:proofErr w:type="spellEnd"/>
      <w:r w:rsidR="003D3FFF">
        <w:rPr>
          <w:rFonts w:ascii="Times New Roman" w:hAnsi="Times New Roman" w:cs="Times New Roman"/>
          <w:sz w:val="24"/>
          <w:szCs w:val="24"/>
        </w:rPr>
        <w:t xml:space="preserve">, gasoil at over 120,000 </w:t>
      </w:r>
      <w:proofErr w:type="spellStart"/>
      <w:r w:rsidR="003D3FFF">
        <w:rPr>
          <w:rFonts w:ascii="Times New Roman" w:hAnsi="Times New Roman" w:cs="Times New Roman"/>
          <w:sz w:val="24"/>
          <w:szCs w:val="24"/>
        </w:rPr>
        <w:t>mt</w:t>
      </w:r>
      <w:proofErr w:type="spellEnd"/>
      <w:r w:rsidR="003D3FFF">
        <w:rPr>
          <w:rFonts w:ascii="Times New Roman" w:hAnsi="Times New Roman" w:cs="Times New Roman"/>
          <w:sz w:val="24"/>
          <w:szCs w:val="24"/>
        </w:rPr>
        <w:t xml:space="preserve">, </w:t>
      </w:r>
      <w:r w:rsidR="0061730C">
        <w:rPr>
          <w:rFonts w:ascii="Times New Roman" w:hAnsi="Times New Roman" w:cs="Times New Roman"/>
          <w:sz w:val="24"/>
          <w:szCs w:val="24"/>
        </w:rPr>
        <w:t xml:space="preserve">ATK at 20,000 </w:t>
      </w:r>
      <w:proofErr w:type="spellStart"/>
      <w:r w:rsidR="0061730C">
        <w:rPr>
          <w:rFonts w:ascii="Times New Roman" w:hAnsi="Times New Roman" w:cs="Times New Roman"/>
          <w:sz w:val="24"/>
          <w:szCs w:val="24"/>
        </w:rPr>
        <w:t>mt</w:t>
      </w:r>
      <w:proofErr w:type="spellEnd"/>
      <w:r w:rsidR="0061730C">
        <w:rPr>
          <w:rFonts w:ascii="Times New Roman" w:hAnsi="Times New Roman" w:cs="Times New Roman"/>
          <w:sz w:val="24"/>
          <w:szCs w:val="24"/>
        </w:rPr>
        <w:t xml:space="preserve">, </w:t>
      </w:r>
      <w:r w:rsidR="003D3FFF">
        <w:rPr>
          <w:rFonts w:ascii="Times New Roman" w:hAnsi="Times New Roman" w:cs="Times New Roman"/>
          <w:sz w:val="24"/>
          <w:szCs w:val="24"/>
        </w:rPr>
        <w:t xml:space="preserve">while the rest </w:t>
      </w:r>
      <w:r w:rsidR="0061730C">
        <w:rPr>
          <w:rFonts w:ascii="Times New Roman" w:hAnsi="Times New Roman" w:cs="Times New Roman"/>
          <w:sz w:val="24"/>
          <w:szCs w:val="24"/>
        </w:rPr>
        <w:t xml:space="preserve">were below 20,000 </w:t>
      </w:r>
      <w:proofErr w:type="spellStart"/>
      <w:r w:rsidR="0061730C">
        <w:rPr>
          <w:rFonts w:ascii="Times New Roman" w:hAnsi="Times New Roman" w:cs="Times New Roman"/>
          <w:sz w:val="24"/>
          <w:szCs w:val="24"/>
        </w:rPr>
        <w:t>mt</w:t>
      </w:r>
      <w:proofErr w:type="spellEnd"/>
      <w:r w:rsidR="0061730C">
        <w:rPr>
          <w:rFonts w:ascii="Times New Roman" w:hAnsi="Times New Roman" w:cs="Times New Roman"/>
          <w:sz w:val="24"/>
          <w:szCs w:val="24"/>
        </w:rPr>
        <w:t xml:space="preserve"> </w:t>
      </w:r>
      <w:r w:rsidR="00F4345E" w:rsidRPr="003764E9">
        <w:rPr>
          <w:rFonts w:ascii="Times New Roman" w:eastAsia="Times New Roman" w:hAnsi="Times New Roman" w:cs="Times New Roman"/>
          <w:sz w:val="24"/>
          <w:szCs w:val="24"/>
        </w:rPr>
        <w:t xml:space="preserve">(see </w:t>
      </w:r>
      <w:r w:rsidR="00EE1296">
        <w:rPr>
          <w:rFonts w:ascii="Times New Roman" w:eastAsia="Times New Roman" w:hAnsi="Times New Roman" w:cs="Times New Roman"/>
          <w:sz w:val="24"/>
          <w:szCs w:val="24"/>
        </w:rPr>
        <w:t xml:space="preserve">figure </w:t>
      </w:r>
      <w:r w:rsidR="00200FFA">
        <w:rPr>
          <w:rFonts w:ascii="Times New Roman" w:eastAsia="Times New Roman" w:hAnsi="Times New Roman" w:cs="Times New Roman"/>
          <w:sz w:val="24"/>
          <w:szCs w:val="24"/>
        </w:rPr>
        <w:t>6</w:t>
      </w:r>
      <w:r w:rsidR="00EE1296">
        <w:rPr>
          <w:rFonts w:ascii="Times New Roman" w:eastAsia="Times New Roman" w:hAnsi="Times New Roman" w:cs="Times New Roman"/>
          <w:sz w:val="24"/>
          <w:szCs w:val="24"/>
        </w:rPr>
        <w:t>)</w:t>
      </w:r>
      <w:r w:rsidR="00F4345E" w:rsidRPr="003764E9">
        <w:rPr>
          <w:rFonts w:ascii="Times New Roman" w:eastAsia="Times New Roman" w:hAnsi="Times New Roman" w:cs="Times New Roman"/>
          <w:sz w:val="24"/>
          <w:szCs w:val="24"/>
        </w:rPr>
        <w:t>.</w:t>
      </w:r>
      <w:r w:rsidR="00161469">
        <w:rPr>
          <w:rFonts w:ascii="Times New Roman" w:eastAsia="Times New Roman" w:hAnsi="Times New Roman" w:cs="Times New Roman"/>
          <w:sz w:val="24"/>
          <w:szCs w:val="24"/>
        </w:rPr>
        <w:t xml:space="preserve"> </w:t>
      </w:r>
    </w:p>
    <w:p w14:paraId="14DA0EDE" w14:textId="05A31517" w:rsidR="00065D59" w:rsidRPr="00B47C95" w:rsidRDefault="00065D59" w:rsidP="00065D59">
      <w:pPr>
        <w:pStyle w:val="Caption"/>
        <w:keepNext/>
        <w:spacing w:after="0"/>
        <w:jc w:val="both"/>
        <w:rPr>
          <w:i/>
          <w:sz w:val="24"/>
          <w:szCs w:val="24"/>
        </w:rPr>
      </w:pPr>
      <w:bookmarkStart w:id="20" w:name="_Toc136872330"/>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6</w:t>
      </w:r>
      <w:r w:rsidR="004858CE" w:rsidRPr="00B47C95">
        <w:rPr>
          <w:i/>
          <w:noProof/>
          <w:sz w:val="24"/>
          <w:szCs w:val="24"/>
        </w:rPr>
        <w:fldChar w:fldCharType="end"/>
      </w:r>
      <w:r w:rsidRPr="00B47C95">
        <w:rPr>
          <w:i/>
          <w:sz w:val="24"/>
          <w:szCs w:val="24"/>
        </w:rPr>
        <w:t>: Inventory of Refined Petroleum Products</w:t>
      </w:r>
      <w:r w:rsidR="00120DB3" w:rsidRPr="00B47C95">
        <w:rPr>
          <w:i/>
          <w:sz w:val="24"/>
          <w:szCs w:val="24"/>
        </w:rPr>
        <w:t xml:space="preserve"> (MT)</w:t>
      </w:r>
      <w:bookmarkEnd w:id="20"/>
    </w:p>
    <w:p w14:paraId="0F111C00" w14:textId="6763E908" w:rsidR="003D3FFF" w:rsidRDefault="003D3FFF" w:rsidP="00B47C95">
      <w:pPr>
        <w:spacing w:before="0" w:after="0"/>
        <w:jc w:val="both"/>
        <w:rPr>
          <w:rFonts w:ascii="Times New Roman" w:hAnsi="Times New Roman" w:cs="Times New Roman"/>
          <w:sz w:val="24"/>
          <w:szCs w:val="24"/>
        </w:rPr>
      </w:pPr>
      <w:r>
        <w:rPr>
          <w:noProof/>
          <w:lang w:val="en-US"/>
        </w:rPr>
        <w:drawing>
          <wp:inline distT="0" distB="0" distL="0" distR="0" wp14:anchorId="7EEFC692" wp14:editId="73BE3C58">
            <wp:extent cx="4695825" cy="2647950"/>
            <wp:effectExtent l="0" t="0" r="9525" b="0"/>
            <wp:docPr id="1799766549" name="Chart 1">
              <a:extLst xmlns:a="http://schemas.openxmlformats.org/drawingml/2006/main">
                <a:ext uri="{FF2B5EF4-FFF2-40B4-BE49-F238E27FC236}">
                  <a16:creationId xmlns:a16="http://schemas.microsoft.com/office/drawing/2014/main" id="{2D6B6E0F-4A79-7F71-5D93-0911A734A0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2C91841" w14:textId="1078A7F5" w:rsidR="007875FC" w:rsidRPr="00B47C95" w:rsidRDefault="007875FC" w:rsidP="00B47C95">
      <w:pPr>
        <w:spacing w:before="0" w:after="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 xml:space="preserve">Source: NPA </w:t>
      </w:r>
      <w:r w:rsidR="002118FF" w:rsidRPr="00B47C95">
        <w:rPr>
          <w:rFonts w:ascii="Times New Roman" w:hAnsi="Times New Roman" w:cs="Times New Roman"/>
          <w:i/>
          <w:color w:val="17406D" w:themeColor="text2"/>
          <w:sz w:val="22"/>
          <w:szCs w:val="24"/>
        </w:rPr>
        <w:t xml:space="preserve">ERDMS </w:t>
      </w:r>
      <w:r w:rsidRPr="00B47C95">
        <w:rPr>
          <w:rFonts w:ascii="Times New Roman" w:hAnsi="Times New Roman" w:cs="Times New Roman"/>
          <w:i/>
          <w:color w:val="17406D" w:themeColor="text2"/>
          <w:sz w:val="22"/>
          <w:szCs w:val="24"/>
        </w:rPr>
        <w:t>Database</w:t>
      </w:r>
    </w:p>
    <w:p w14:paraId="694BBB58" w14:textId="77777777" w:rsidR="005709F1" w:rsidRPr="00B47C95" w:rsidRDefault="005709F1" w:rsidP="007875FC">
      <w:pPr>
        <w:spacing w:after="0" w:line="360" w:lineRule="auto"/>
        <w:jc w:val="both"/>
        <w:rPr>
          <w:rFonts w:ascii="Times New Roman" w:hAnsi="Times New Roman" w:cs="Times New Roman"/>
          <w:i/>
          <w:color w:val="17406D" w:themeColor="text2"/>
          <w:sz w:val="28"/>
          <w:szCs w:val="24"/>
        </w:rPr>
      </w:pPr>
    </w:p>
    <w:p w14:paraId="13E81D7F" w14:textId="60F6CCA7" w:rsidR="00675C78" w:rsidRPr="00B47C95" w:rsidRDefault="0017110B" w:rsidP="004E4E47">
      <w:pPr>
        <w:pStyle w:val="Heading1"/>
        <w:rPr>
          <w:rFonts w:ascii="Times New Roman" w:hAnsi="Times New Roman" w:cs="Times New Roman"/>
          <w:sz w:val="56"/>
          <w:szCs w:val="56"/>
        </w:rPr>
      </w:pPr>
      <w:bookmarkStart w:id="21" w:name="_Toc20759030"/>
      <w:bookmarkStart w:id="22" w:name="_Toc141440545"/>
      <w:r w:rsidRPr="00B47C95">
        <w:rPr>
          <w:rFonts w:ascii="Times New Roman" w:hAnsi="Times New Roman" w:cs="Times New Roman"/>
          <w:sz w:val="56"/>
          <w:szCs w:val="56"/>
        </w:rPr>
        <w:t>3</w:t>
      </w:r>
      <w:r w:rsidR="00665420" w:rsidRPr="00B47C95">
        <w:rPr>
          <w:rFonts w:ascii="Times New Roman" w:hAnsi="Times New Roman" w:cs="Times New Roman"/>
          <w:sz w:val="56"/>
          <w:szCs w:val="56"/>
        </w:rPr>
        <w:t>.</w:t>
      </w:r>
      <w:r w:rsidR="00F2788A" w:rsidRPr="00B47C95">
        <w:rPr>
          <w:rFonts w:ascii="Times New Roman" w:hAnsi="Times New Roman" w:cs="Times New Roman"/>
          <w:sz w:val="56"/>
          <w:szCs w:val="56"/>
        </w:rPr>
        <w:t>0</w:t>
      </w:r>
      <w:r w:rsidR="00675C78" w:rsidRPr="00B47C95">
        <w:rPr>
          <w:rFonts w:ascii="Times New Roman" w:hAnsi="Times New Roman" w:cs="Times New Roman"/>
          <w:sz w:val="56"/>
          <w:szCs w:val="56"/>
        </w:rPr>
        <w:t xml:space="preserve"> </w:t>
      </w:r>
      <w:bookmarkEnd w:id="21"/>
      <w:r w:rsidR="00F2788A" w:rsidRPr="00B47C95">
        <w:rPr>
          <w:rFonts w:ascii="Times New Roman" w:hAnsi="Times New Roman" w:cs="Times New Roman"/>
          <w:sz w:val="56"/>
          <w:szCs w:val="56"/>
        </w:rPr>
        <w:t>Petroleum Products</w:t>
      </w:r>
      <w:r w:rsidR="00CA7728" w:rsidRPr="00B47C95">
        <w:rPr>
          <w:rFonts w:ascii="Times New Roman" w:hAnsi="Times New Roman" w:cs="Times New Roman"/>
          <w:sz w:val="56"/>
          <w:szCs w:val="56"/>
        </w:rPr>
        <w:t xml:space="preserve"> Demand Trends</w:t>
      </w:r>
      <w:bookmarkEnd w:id="22"/>
    </w:p>
    <w:p w14:paraId="72BC8991" w14:textId="11667CC5" w:rsidR="00E349ED" w:rsidRDefault="00E349ED" w:rsidP="008358B3">
      <w:pPr>
        <w:jc w:val="both"/>
        <w:rPr>
          <w:rFonts w:ascii="Times New Roman" w:hAnsi="Times New Roman" w:cs="Times New Roman"/>
          <w:sz w:val="24"/>
          <w:szCs w:val="24"/>
        </w:rPr>
      </w:pPr>
      <w:r w:rsidRPr="003764E9">
        <w:rPr>
          <w:rFonts w:ascii="Times New Roman" w:hAnsi="Times New Roman" w:cs="Times New Roman"/>
          <w:sz w:val="24"/>
          <w:szCs w:val="24"/>
        </w:rPr>
        <w:t xml:space="preserve">An estimated </w:t>
      </w:r>
      <w:r>
        <w:rPr>
          <w:rFonts w:ascii="Times New Roman" w:hAnsi="Times New Roman" w:cs="Times New Roman"/>
          <w:sz w:val="24"/>
          <w:szCs w:val="24"/>
        </w:rPr>
        <w:t>1</w:t>
      </w:r>
      <w:r w:rsidRPr="003764E9">
        <w:rPr>
          <w:rFonts w:ascii="Times New Roman" w:hAnsi="Times New Roman" w:cs="Times New Roman"/>
          <w:sz w:val="24"/>
          <w:szCs w:val="24"/>
        </w:rPr>
        <w:t>,</w:t>
      </w:r>
      <w:r w:rsidR="008B7A2F">
        <w:rPr>
          <w:rFonts w:ascii="Times New Roman" w:hAnsi="Times New Roman" w:cs="Times New Roman"/>
          <w:sz w:val="24"/>
          <w:szCs w:val="24"/>
        </w:rPr>
        <w:t>157</w:t>
      </w:r>
      <w:r w:rsidR="00150147">
        <w:rPr>
          <w:rFonts w:ascii="Times New Roman" w:hAnsi="Times New Roman" w:cs="Times New Roman"/>
          <w:sz w:val="24"/>
          <w:szCs w:val="24"/>
        </w:rPr>
        <w:t>,6</w:t>
      </w:r>
      <w:r w:rsidR="008B7A2F">
        <w:rPr>
          <w:rFonts w:ascii="Times New Roman" w:hAnsi="Times New Roman" w:cs="Times New Roman"/>
          <w:sz w:val="24"/>
          <w:szCs w:val="24"/>
        </w:rPr>
        <w:t>61</w:t>
      </w:r>
      <w:r w:rsidR="00150147">
        <w:rPr>
          <w:rFonts w:ascii="Times New Roman" w:hAnsi="Times New Roman" w:cs="Times New Roman"/>
          <w:sz w:val="24"/>
          <w:szCs w:val="24"/>
        </w:rPr>
        <w:t xml:space="preserve"> </w:t>
      </w:r>
      <w:proofErr w:type="spellStart"/>
      <w:r w:rsidR="008B7A2F">
        <w:rPr>
          <w:rFonts w:ascii="Times New Roman" w:hAnsi="Times New Roman" w:cs="Times New Roman"/>
          <w:sz w:val="24"/>
          <w:szCs w:val="24"/>
        </w:rPr>
        <w:t>mt</w:t>
      </w:r>
      <w:proofErr w:type="spellEnd"/>
      <w:r w:rsidR="008B7A2F">
        <w:rPr>
          <w:rFonts w:ascii="Times New Roman" w:hAnsi="Times New Roman" w:cs="Times New Roman"/>
          <w:sz w:val="24"/>
          <w:szCs w:val="24"/>
        </w:rPr>
        <w:t xml:space="preserve"> </w:t>
      </w:r>
      <w:r w:rsidRPr="003764E9">
        <w:rPr>
          <w:rFonts w:ascii="Times New Roman" w:hAnsi="Times New Roman" w:cs="Times New Roman"/>
          <w:sz w:val="24"/>
          <w:szCs w:val="24"/>
        </w:rPr>
        <w:t xml:space="preserve">of </w:t>
      </w:r>
      <w:r w:rsidR="008B7A2F">
        <w:rPr>
          <w:rFonts w:ascii="Times New Roman" w:hAnsi="Times New Roman" w:cs="Times New Roman"/>
          <w:sz w:val="24"/>
          <w:szCs w:val="24"/>
        </w:rPr>
        <w:t xml:space="preserve">refined </w:t>
      </w:r>
      <w:r w:rsidRPr="003764E9">
        <w:rPr>
          <w:rFonts w:ascii="Times New Roman" w:hAnsi="Times New Roman" w:cs="Times New Roman"/>
          <w:sz w:val="24"/>
          <w:szCs w:val="24"/>
        </w:rPr>
        <w:t>petroleum product</w:t>
      </w:r>
      <w:r>
        <w:rPr>
          <w:rFonts w:ascii="Times New Roman" w:hAnsi="Times New Roman" w:cs="Times New Roman"/>
          <w:sz w:val="24"/>
          <w:szCs w:val="24"/>
        </w:rPr>
        <w:t>s</w:t>
      </w:r>
      <w:r w:rsidRPr="003764E9">
        <w:rPr>
          <w:rFonts w:ascii="Times New Roman" w:hAnsi="Times New Roman" w:cs="Times New Roman"/>
          <w:sz w:val="24"/>
          <w:szCs w:val="24"/>
        </w:rPr>
        <w:t xml:space="preserve"> w</w:t>
      </w:r>
      <w:r>
        <w:rPr>
          <w:rFonts w:ascii="Times New Roman" w:hAnsi="Times New Roman" w:cs="Times New Roman"/>
          <w:sz w:val="24"/>
          <w:szCs w:val="24"/>
        </w:rPr>
        <w:t xml:space="preserve">ere </w:t>
      </w:r>
      <w:r w:rsidR="004D4E4B">
        <w:rPr>
          <w:rFonts w:ascii="Times New Roman" w:hAnsi="Times New Roman" w:cs="Times New Roman"/>
          <w:sz w:val="24"/>
          <w:szCs w:val="24"/>
        </w:rPr>
        <w:t xml:space="preserve">sold </w:t>
      </w:r>
      <w:r w:rsidR="008B7A2F">
        <w:rPr>
          <w:rFonts w:ascii="Times New Roman" w:hAnsi="Times New Roman" w:cs="Times New Roman"/>
          <w:sz w:val="24"/>
          <w:szCs w:val="24"/>
        </w:rPr>
        <w:t>in the first quarter of 2023</w:t>
      </w:r>
      <w:r>
        <w:rPr>
          <w:rFonts w:ascii="Times New Roman" w:hAnsi="Times New Roman" w:cs="Times New Roman"/>
          <w:sz w:val="24"/>
          <w:szCs w:val="24"/>
        </w:rPr>
        <w:t xml:space="preserve">, </w:t>
      </w:r>
      <w:r w:rsidR="008B7A2F">
        <w:rPr>
          <w:rFonts w:ascii="Times New Roman" w:hAnsi="Times New Roman" w:cs="Times New Roman"/>
          <w:sz w:val="24"/>
          <w:szCs w:val="24"/>
        </w:rPr>
        <w:t xml:space="preserve">up </w:t>
      </w:r>
      <w:r w:rsidR="00C77629" w:rsidRPr="000521FE">
        <w:rPr>
          <w:rFonts w:ascii="Times New Roman" w:hAnsi="Times New Roman" w:cs="Times New Roman"/>
          <w:color w:val="000000" w:themeColor="text1"/>
          <w:sz w:val="24"/>
          <w:szCs w:val="24"/>
        </w:rPr>
        <w:t>b</w:t>
      </w:r>
      <w:r w:rsidR="000521FE">
        <w:rPr>
          <w:rFonts w:ascii="Times New Roman" w:hAnsi="Times New Roman" w:cs="Times New Roman"/>
          <w:color w:val="000000" w:themeColor="text1"/>
          <w:sz w:val="24"/>
          <w:szCs w:val="24"/>
        </w:rPr>
        <w:t xml:space="preserve">y </w:t>
      </w:r>
      <w:r w:rsidR="008B7A2F" w:rsidRPr="000521FE">
        <w:rPr>
          <w:rFonts w:ascii="Times New Roman" w:hAnsi="Times New Roman" w:cs="Times New Roman"/>
          <w:color w:val="000000" w:themeColor="text1"/>
          <w:sz w:val="24"/>
          <w:szCs w:val="24"/>
        </w:rPr>
        <w:t>7</w:t>
      </w:r>
      <w:r w:rsidRPr="000521FE">
        <w:rPr>
          <w:rFonts w:ascii="Times New Roman" w:hAnsi="Times New Roman" w:cs="Times New Roman"/>
          <w:color w:val="000000" w:themeColor="text1"/>
          <w:sz w:val="24"/>
          <w:szCs w:val="24"/>
        </w:rPr>
        <w:t>%</w:t>
      </w:r>
      <w:r w:rsidRPr="00C77629">
        <w:rPr>
          <w:rFonts w:ascii="Times New Roman" w:hAnsi="Times New Roman" w:cs="Times New Roman"/>
          <w:color w:val="FF0000"/>
          <w:sz w:val="24"/>
          <w:szCs w:val="24"/>
        </w:rPr>
        <w:t xml:space="preserve"> </w:t>
      </w:r>
      <w:r w:rsidRPr="008B7A2F">
        <w:rPr>
          <w:rFonts w:ascii="Times New Roman" w:hAnsi="Times New Roman" w:cs="Times New Roman"/>
          <w:sz w:val="24"/>
          <w:szCs w:val="24"/>
        </w:rPr>
        <w:t xml:space="preserve">from the previous </w:t>
      </w:r>
      <w:r w:rsidR="00D035A6" w:rsidRPr="008B7A2F">
        <w:rPr>
          <w:rFonts w:ascii="Times New Roman" w:hAnsi="Times New Roman" w:cs="Times New Roman"/>
          <w:sz w:val="24"/>
          <w:szCs w:val="24"/>
        </w:rPr>
        <w:t>quarter</w:t>
      </w:r>
      <w:r w:rsidRPr="00160C00">
        <w:rPr>
          <w:rFonts w:ascii="Times New Roman" w:hAnsi="Times New Roman" w:cs="Times New Roman"/>
          <w:sz w:val="24"/>
          <w:szCs w:val="24"/>
        </w:rPr>
        <w:t xml:space="preserve">. </w:t>
      </w:r>
      <w:r w:rsidR="0062268E">
        <w:rPr>
          <w:rFonts w:ascii="Times New Roman" w:hAnsi="Times New Roman" w:cs="Times New Roman"/>
          <w:sz w:val="24"/>
          <w:szCs w:val="24"/>
        </w:rPr>
        <w:t>D</w:t>
      </w:r>
      <w:r w:rsidR="00150147">
        <w:rPr>
          <w:rFonts w:ascii="Times New Roman" w:hAnsi="Times New Roman" w:cs="Times New Roman"/>
          <w:sz w:val="24"/>
          <w:szCs w:val="24"/>
        </w:rPr>
        <w:t xml:space="preserve">omestic </w:t>
      </w:r>
      <w:r w:rsidR="00312429">
        <w:rPr>
          <w:rFonts w:ascii="Times New Roman" w:hAnsi="Times New Roman" w:cs="Times New Roman"/>
          <w:sz w:val="24"/>
          <w:szCs w:val="24"/>
        </w:rPr>
        <w:t xml:space="preserve">consumption </w:t>
      </w:r>
      <w:r w:rsidR="0062268E">
        <w:rPr>
          <w:rFonts w:ascii="Times New Roman" w:hAnsi="Times New Roman" w:cs="Times New Roman"/>
          <w:sz w:val="24"/>
          <w:szCs w:val="24"/>
        </w:rPr>
        <w:t>accounted for about 9</w:t>
      </w:r>
      <w:r w:rsidR="00312429">
        <w:rPr>
          <w:rFonts w:ascii="Times New Roman" w:hAnsi="Times New Roman" w:cs="Times New Roman"/>
          <w:sz w:val="24"/>
          <w:szCs w:val="24"/>
        </w:rPr>
        <w:t>2</w:t>
      </w:r>
      <w:r w:rsidR="0062268E">
        <w:rPr>
          <w:rFonts w:ascii="Times New Roman" w:hAnsi="Times New Roman" w:cs="Times New Roman"/>
          <w:sz w:val="24"/>
          <w:szCs w:val="24"/>
        </w:rPr>
        <w:t xml:space="preserve">% </w:t>
      </w:r>
      <w:r w:rsidR="00312429">
        <w:rPr>
          <w:rFonts w:ascii="Times New Roman" w:hAnsi="Times New Roman" w:cs="Times New Roman"/>
          <w:sz w:val="24"/>
          <w:szCs w:val="24"/>
        </w:rPr>
        <w:t xml:space="preserve">of </w:t>
      </w:r>
      <w:r w:rsidR="003544FA">
        <w:rPr>
          <w:rFonts w:ascii="Times New Roman" w:hAnsi="Times New Roman" w:cs="Times New Roman"/>
          <w:sz w:val="24"/>
          <w:szCs w:val="24"/>
        </w:rPr>
        <w:t xml:space="preserve">the </w:t>
      </w:r>
      <w:r w:rsidR="00312429">
        <w:rPr>
          <w:rFonts w:ascii="Times New Roman" w:hAnsi="Times New Roman" w:cs="Times New Roman"/>
          <w:sz w:val="24"/>
          <w:szCs w:val="24"/>
        </w:rPr>
        <w:t xml:space="preserve">total sale, </w:t>
      </w:r>
      <w:r w:rsidR="0062268E">
        <w:rPr>
          <w:rFonts w:ascii="Times New Roman" w:hAnsi="Times New Roman" w:cs="Times New Roman"/>
          <w:sz w:val="24"/>
          <w:szCs w:val="24"/>
        </w:rPr>
        <w:t xml:space="preserve">while </w:t>
      </w:r>
      <w:r w:rsidR="00312429">
        <w:rPr>
          <w:rFonts w:ascii="Times New Roman" w:hAnsi="Times New Roman" w:cs="Times New Roman"/>
          <w:sz w:val="24"/>
          <w:szCs w:val="24"/>
        </w:rPr>
        <w:t>re-</w:t>
      </w:r>
      <w:r w:rsidR="0062268E">
        <w:rPr>
          <w:rFonts w:ascii="Times New Roman" w:hAnsi="Times New Roman" w:cs="Times New Roman"/>
          <w:sz w:val="24"/>
          <w:szCs w:val="24"/>
        </w:rPr>
        <w:t xml:space="preserve">export to our </w:t>
      </w:r>
      <w:r w:rsidR="00150147">
        <w:rPr>
          <w:rFonts w:ascii="Times New Roman" w:hAnsi="Times New Roman" w:cs="Times New Roman"/>
          <w:sz w:val="24"/>
          <w:szCs w:val="24"/>
        </w:rPr>
        <w:t xml:space="preserve">neighbouring countries accounted </w:t>
      </w:r>
      <w:r w:rsidR="00D035A6">
        <w:rPr>
          <w:rFonts w:ascii="Times New Roman" w:hAnsi="Times New Roman" w:cs="Times New Roman"/>
          <w:sz w:val="24"/>
          <w:szCs w:val="24"/>
        </w:rPr>
        <w:t>for</w:t>
      </w:r>
      <w:r w:rsidR="0062268E">
        <w:rPr>
          <w:rFonts w:ascii="Times New Roman" w:hAnsi="Times New Roman" w:cs="Times New Roman"/>
          <w:sz w:val="24"/>
          <w:szCs w:val="24"/>
        </w:rPr>
        <w:t xml:space="preserve"> </w:t>
      </w:r>
      <w:r w:rsidR="00312429">
        <w:rPr>
          <w:rFonts w:ascii="Times New Roman" w:hAnsi="Times New Roman" w:cs="Times New Roman"/>
          <w:sz w:val="24"/>
          <w:szCs w:val="24"/>
        </w:rPr>
        <w:t>8</w:t>
      </w:r>
      <w:r w:rsidR="0062268E">
        <w:rPr>
          <w:rFonts w:ascii="Times New Roman" w:hAnsi="Times New Roman" w:cs="Times New Roman"/>
          <w:sz w:val="24"/>
          <w:szCs w:val="24"/>
        </w:rPr>
        <w:t xml:space="preserve">% </w:t>
      </w:r>
      <w:r w:rsidR="003544FA">
        <w:rPr>
          <w:rFonts w:ascii="Times New Roman" w:hAnsi="Times New Roman" w:cs="Times New Roman"/>
          <w:sz w:val="24"/>
          <w:szCs w:val="24"/>
        </w:rPr>
        <w:t xml:space="preserve">over </w:t>
      </w:r>
      <w:r w:rsidR="00150147">
        <w:rPr>
          <w:rFonts w:ascii="Times New Roman" w:hAnsi="Times New Roman" w:cs="Times New Roman"/>
          <w:sz w:val="24"/>
          <w:szCs w:val="24"/>
        </w:rPr>
        <w:t xml:space="preserve">the </w:t>
      </w:r>
      <w:r w:rsidR="003544FA">
        <w:rPr>
          <w:rFonts w:ascii="Times New Roman" w:hAnsi="Times New Roman" w:cs="Times New Roman"/>
          <w:sz w:val="24"/>
          <w:szCs w:val="24"/>
        </w:rPr>
        <w:t xml:space="preserve">same </w:t>
      </w:r>
      <w:r w:rsidR="00150147">
        <w:rPr>
          <w:rFonts w:ascii="Times New Roman" w:hAnsi="Times New Roman" w:cs="Times New Roman"/>
          <w:sz w:val="24"/>
          <w:szCs w:val="24"/>
        </w:rPr>
        <w:t xml:space="preserve">period. </w:t>
      </w:r>
    </w:p>
    <w:p w14:paraId="02F0C1E9" w14:textId="77777777" w:rsidR="005709F1" w:rsidRDefault="005709F1" w:rsidP="008358B3">
      <w:pPr>
        <w:jc w:val="both"/>
        <w:rPr>
          <w:rFonts w:ascii="Times New Roman" w:hAnsi="Times New Roman" w:cs="Times New Roman"/>
          <w:sz w:val="24"/>
          <w:szCs w:val="24"/>
        </w:rPr>
      </w:pPr>
    </w:p>
    <w:p w14:paraId="5F980B32" w14:textId="188963BD" w:rsidR="008425AD" w:rsidRPr="003764E9" w:rsidRDefault="0017110B" w:rsidP="008425AD">
      <w:pPr>
        <w:pStyle w:val="Heading2"/>
        <w:spacing w:before="0"/>
        <w:rPr>
          <w:rFonts w:ascii="Times New Roman" w:hAnsi="Times New Roman" w:cs="Times New Roman"/>
          <w:sz w:val="24"/>
          <w:szCs w:val="24"/>
        </w:rPr>
      </w:pPr>
      <w:bookmarkStart w:id="23" w:name="_Toc141440546"/>
      <w:r>
        <w:rPr>
          <w:rFonts w:ascii="Times New Roman" w:hAnsi="Times New Roman" w:cs="Times New Roman"/>
          <w:sz w:val="24"/>
          <w:szCs w:val="24"/>
        </w:rPr>
        <w:t>3</w:t>
      </w:r>
      <w:r w:rsidR="008425AD" w:rsidRPr="003764E9">
        <w:rPr>
          <w:rFonts w:ascii="Times New Roman" w:hAnsi="Times New Roman" w:cs="Times New Roman"/>
          <w:sz w:val="24"/>
          <w:szCs w:val="24"/>
        </w:rPr>
        <w:t>.</w:t>
      </w:r>
      <w:r w:rsidR="008425AD">
        <w:rPr>
          <w:rFonts w:ascii="Times New Roman" w:hAnsi="Times New Roman" w:cs="Times New Roman"/>
          <w:sz w:val="24"/>
          <w:szCs w:val="24"/>
        </w:rPr>
        <w:t>1</w:t>
      </w:r>
      <w:r w:rsidR="008425AD" w:rsidRPr="003764E9">
        <w:rPr>
          <w:rFonts w:ascii="Times New Roman" w:hAnsi="Times New Roman" w:cs="Times New Roman"/>
          <w:sz w:val="24"/>
          <w:szCs w:val="24"/>
        </w:rPr>
        <w:t xml:space="preserve"> </w:t>
      </w:r>
      <w:r w:rsidR="00FE7EE2">
        <w:rPr>
          <w:rFonts w:ascii="Times New Roman" w:hAnsi="Times New Roman" w:cs="Times New Roman"/>
          <w:sz w:val="24"/>
          <w:szCs w:val="24"/>
        </w:rPr>
        <w:t xml:space="preserve">Domestic </w:t>
      </w:r>
      <w:r w:rsidR="002F1E4F">
        <w:rPr>
          <w:rFonts w:ascii="Times New Roman" w:hAnsi="Times New Roman" w:cs="Times New Roman"/>
          <w:sz w:val="24"/>
          <w:szCs w:val="24"/>
        </w:rPr>
        <w:t>Demand</w:t>
      </w:r>
      <w:r w:rsidR="00DD4A8B">
        <w:rPr>
          <w:rFonts w:ascii="Times New Roman" w:hAnsi="Times New Roman" w:cs="Times New Roman"/>
          <w:sz w:val="24"/>
          <w:szCs w:val="24"/>
        </w:rPr>
        <w:t xml:space="preserve"> </w:t>
      </w:r>
      <w:r w:rsidR="00921D21">
        <w:rPr>
          <w:rFonts w:ascii="Times New Roman" w:hAnsi="Times New Roman" w:cs="Times New Roman"/>
          <w:sz w:val="24"/>
          <w:szCs w:val="24"/>
        </w:rPr>
        <w:t xml:space="preserve">of </w:t>
      </w:r>
      <w:r w:rsidR="00DD4A8B">
        <w:rPr>
          <w:rFonts w:ascii="Times New Roman" w:hAnsi="Times New Roman" w:cs="Times New Roman"/>
          <w:sz w:val="24"/>
          <w:szCs w:val="24"/>
        </w:rPr>
        <w:t xml:space="preserve">Refined </w:t>
      </w:r>
      <w:r w:rsidR="00921D21">
        <w:rPr>
          <w:rFonts w:ascii="Times New Roman" w:hAnsi="Times New Roman" w:cs="Times New Roman"/>
          <w:sz w:val="24"/>
          <w:szCs w:val="24"/>
        </w:rPr>
        <w:t>Petroleum Products</w:t>
      </w:r>
      <w:bookmarkEnd w:id="23"/>
    </w:p>
    <w:p w14:paraId="25E48AD4" w14:textId="19FE53D5" w:rsidR="008425AD" w:rsidRPr="003764E9" w:rsidRDefault="008425AD" w:rsidP="008358B3">
      <w:pPr>
        <w:jc w:val="both"/>
        <w:rPr>
          <w:rFonts w:ascii="Times New Roman" w:hAnsi="Times New Roman" w:cs="Times New Roman"/>
          <w:sz w:val="24"/>
          <w:szCs w:val="24"/>
          <w:highlight w:val="yellow"/>
        </w:rPr>
      </w:pPr>
      <w:r w:rsidRPr="003764E9">
        <w:rPr>
          <w:rFonts w:ascii="Times New Roman" w:hAnsi="Times New Roman" w:cs="Times New Roman"/>
          <w:sz w:val="24"/>
          <w:szCs w:val="24"/>
        </w:rPr>
        <w:t xml:space="preserve">A total of </w:t>
      </w:r>
      <w:r w:rsidR="0055668A">
        <w:rPr>
          <w:rFonts w:ascii="Times New Roman" w:hAnsi="Times New Roman" w:cs="Times New Roman"/>
          <w:sz w:val="24"/>
          <w:szCs w:val="24"/>
        </w:rPr>
        <w:t>1</w:t>
      </w:r>
      <w:r w:rsidRPr="003764E9">
        <w:rPr>
          <w:rFonts w:ascii="Times New Roman" w:hAnsi="Times New Roman" w:cs="Times New Roman"/>
          <w:sz w:val="24"/>
          <w:szCs w:val="24"/>
        </w:rPr>
        <w:t>,</w:t>
      </w:r>
      <w:r w:rsidR="00DD4A8B">
        <w:rPr>
          <w:rFonts w:ascii="Times New Roman" w:hAnsi="Times New Roman" w:cs="Times New Roman"/>
          <w:sz w:val="24"/>
          <w:szCs w:val="24"/>
        </w:rPr>
        <w:t>063</w:t>
      </w:r>
      <w:r w:rsidRPr="003764E9">
        <w:rPr>
          <w:rFonts w:ascii="Times New Roman" w:hAnsi="Times New Roman" w:cs="Times New Roman"/>
          <w:sz w:val="24"/>
          <w:szCs w:val="24"/>
        </w:rPr>
        <w:t>,</w:t>
      </w:r>
      <w:r w:rsidR="00114D44">
        <w:rPr>
          <w:rFonts w:ascii="Times New Roman" w:hAnsi="Times New Roman" w:cs="Times New Roman"/>
          <w:sz w:val="24"/>
          <w:szCs w:val="24"/>
        </w:rPr>
        <w:t>1</w:t>
      </w:r>
      <w:r w:rsidR="00DD4A8B">
        <w:rPr>
          <w:rFonts w:ascii="Times New Roman" w:hAnsi="Times New Roman" w:cs="Times New Roman"/>
          <w:sz w:val="24"/>
          <w:szCs w:val="24"/>
        </w:rPr>
        <w:t xml:space="preserve">08 </w:t>
      </w:r>
      <w:proofErr w:type="spellStart"/>
      <w:r w:rsidR="00DD4A8B">
        <w:rPr>
          <w:rFonts w:ascii="Times New Roman" w:hAnsi="Times New Roman" w:cs="Times New Roman"/>
          <w:sz w:val="24"/>
          <w:szCs w:val="24"/>
        </w:rPr>
        <w:t>mt</w:t>
      </w:r>
      <w:proofErr w:type="spellEnd"/>
      <w:r w:rsidR="00DD4A8B">
        <w:rPr>
          <w:rFonts w:ascii="Times New Roman" w:hAnsi="Times New Roman" w:cs="Times New Roman"/>
          <w:sz w:val="24"/>
          <w:szCs w:val="24"/>
        </w:rPr>
        <w:t xml:space="preserve"> </w:t>
      </w:r>
      <w:r w:rsidRPr="003764E9">
        <w:rPr>
          <w:rFonts w:ascii="Times New Roman" w:hAnsi="Times New Roman" w:cs="Times New Roman"/>
          <w:sz w:val="24"/>
          <w:szCs w:val="24"/>
        </w:rPr>
        <w:t xml:space="preserve">of </w:t>
      </w:r>
      <w:r w:rsidR="00DD4A8B">
        <w:rPr>
          <w:rFonts w:ascii="Times New Roman" w:hAnsi="Times New Roman" w:cs="Times New Roman"/>
          <w:sz w:val="24"/>
          <w:szCs w:val="24"/>
        </w:rPr>
        <w:t xml:space="preserve">refined </w:t>
      </w:r>
      <w:r w:rsidRPr="003764E9">
        <w:rPr>
          <w:rFonts w:ascii="Times New Roman" w:hAnsi="Times New Roman" w:cs="Times New Roman"/>
          <w:sz w:val="24"/>
          <w:szCs w:val="24"/>
        </w:rPr>
        <w:t>petroleum products w</w:t>
      </w:r>
      <w:r>
        <w:rPr>
          <w:rFonts w:ascii="Times New Roman" w:hAnsi="Times New Roman" w:cs="Times New Roman"/>
          <w:sz w:val="24"/>
          <w:szCs w:val="24"/>
        </w:rPr>
        <w:t xml:space="preserve">ere </w:t>
      </w:r>
      <w:r w:rsidR="00C60A96">
        <w:rPr>
          <w:rFonts w:ascii="Times New Roman" w:hAnsi="Times New Roman" w:cs="Times New Roman"/>
          <w:sz w:val="24"/>
          <w:szCs w:val="24"/>
        </w:rPr>
        <w:t xml:space="preserve">consumed locally </w:t>
      </w:r>
      <w:r w:rsidRPr="003764E9">
        <w:rPr>
          <w:rFonts w:ascii="Times New Roman" w:hAnsi="Times New Roman" w:cs="Times New Roman"/>
          <w:sz w:val="24"/>
          <w:szCs w:val="24"/>
        </w:rPr>
        <w:t xml:space="preserve">in </w:t>
      </w:r>
      <w:r w:rsidR="00C60A96">
        <w:rPr>
          <w:rFonts w:ascii="Times New Roman" w:hAnsi="Times New Roman" w:cs="Times New Roman"/>
          <w:sz w:val="24"/>
          <w:szCs w:val="24"/>
        </w:rPr>
        <w:t>the first quarter of 2023</w:t>
      </w:r>
      <w:r w:rsidRPr="003764E9">
        <w:rPr>
          <w:rFonts w:ascii="Times New Roman" w:hAnsi="Times New Roman" w:cs="Times New Roman"/>
          <w:sz w:val="24"/>
          <w:szCs w:val="24"/>
        </w:rPr>
        <w:t xml:space="preserve">, </w:t>
      </w:r>
      <w:r w:rsidR="00114D44">
        <w:rPr>
          <w:rFonts w:ascii="Times New Roman" w:hAnsi="Times New Roman" w:cs="Times New Roman"/>
          <w:sz w:val="24"/>
          <w:szCs w:val="24"/>
        </w:rPr>
        <w:t xml:space="preserve">up </w:t>
      </w:r>
      <w:r w:rsidR="00C60A96">
        <w:rPr>
          <w:rFonts w:ascii="Times New Roman" w:hAnsi="Times New Roman" w:cs="Times New Roman"/>
          <w:sz w:val="24"/>
          <w:szCs w:val="24"/>
        </w:rPr>
        <w:t>7</w:t>
      </w:r>
      <w:r w:rsidR="00114D44">
        <w:rPr>
          <w:rFonts w:ascii="Times New Roman" w:hAnsi="Times New Roman" w:cs="Times New Roman"/>
          <w:sz w:val="24"/>
          <w:szCs w:val="24"/>
        </w:rPr>
        <w:t xml:space="preserve">% </w:t>
      </w:r>
      <w:r w:rsidRPr="003764E9">
        <w:rPr>
          <w:rFonts w:ascii="Times New Roman" w:hAnsi="Times New Roman" w:cs="Times New Roman"/>
          <w:sz w:val="24"/>
          <w:szCs w:val="24"/>
        </w:rPr>
        <w:t xml:space="preserve">from the previous </w:t>
      </w:r>
      <w:r w:rsidR="00114D44">
        <w:rPr>
          <w:rFonts w:ascii="Times New Roman" w:hAnsi="Times New Roman" w:cs="Times New Roman"/>
          <w:sz w:val="24"/>
          <w:szCs w:val="24"/>
        </w:rPr>
        <w:t>quarter</w:t>
      </w:r>
      <w:r w:rsidRPr="003764E9">
        <w:rPr>
          <w:rFonts w:ascii="Times New Roman" w:hAnsi="Times New Roman" w:cs="Times New Roman"/>
          <w:sz w:val="24"/>
          <w:szCs w:val="24"/>
        </w:rPr>
        <w:t>. Th</w:t>
      </w:r>
      <w:r w:rsidR="00C60A96">
        <w:rPr>
          <w:rFonts w:ascii="Times New Roman" w:hAnsi="Times New Roman" w:cs="Times New Roman"/>
          <w:sz w:val="24"/>
          <w:szCs w:val="24"/>
        </w:rPr>
        <w:t xml:space="preserve">is was mainly due to </w:t>
      </w:r>
      <w:r w:rsidR="00FE7EE2">
        <w:rPr>
          <w:rFonts w:ascii="Times New Roman" w:hAnsi="Times New Roman" w:cs="Times New Roman"/>
          <w:sz w:val="24"/>
          <w:szCs w:val="24"/>
        </w:rPr>
        <w:t xml:space="preserve">the robust increase in </w:t>
      </w:r>
      <w:r w:rsidR="00C60A96">
        <w:rPr>
          <w:rFonts w:ascii="Times New Roman" w:hAnsi="Times New Roman" w:cs="Times New Roman"/>
          <w:sz w:val="24"/>
          <w:szCs w:val="24"/>
        </w:rPr>
        <w:t>consumption of gasoil (13%)</w:t>
      </w:r>
      <w:r w:rsidR="00FE7EE2">
        <w:rPr>
          <w:rFonts w:ascii="Times New Roman" w:hAnsi="Times New Roman" w:cs="Times New Roman"/>
          <w:sz w:val="24"/>
          <w:szCs w:val="24"/>
        </w:rPr>
        <w:t xml:space="preserve"> and gasol</w:t>
      </w:r>
      <w:r w:rsidR="00C60A96">
        <w:rPr>
          <w:rFonts w:ascii="Times New Roman" w:hAnsi="Times New Roman" w:cs="Times New Roman"/>
          <w:sz w:val="24"/>
          <w:szCs w:val="24"/>
        </w:rPr>
        <w:t xml:space="preserve">ine (7%). All refined products, except gasoil-mines, LPG, gasoil-rig, and naphtha increased from the previous period </w:t>
      </w:r>
      <w:r w:rsidRPr="003764E9">
        <w:rPr>
          <w:rFonts w:ascii="Times New Roman" w:hAnsi="Times New Roman" w:cs="Times New Roman"/>
          <w:sz w:val="24"/>
          <w:szCs w:val="24"/>
        </w:rPr>
        <w:t xml:space="preserve">(see figure </w:t>
      </w:r>
      <w:r w:rsidR="00200FFA">
        <w:rPr>
          <w:rFonts w:ascii="Times New Roman" w:hAnsi="Times New Roman" w:cs="Times New Roman"/>
          <w:sz w:val="24"/>
          <w:szCs w:val="24"/>
        </w:rPr>
        <w:t>7</w:t>
      </w:r>
      <w:r w:rsidRPr="003764E9">
        <w:rPr>
          <w:rFonts w:ascii="Times New Roman" w:hAnsi="Times New Roman" w:cs="Times New Roman"/>
          <w:sz w:val="24"/>
          <w:szCs w:val="24"/>
        </w:rPr>
        <w:t>).</w:t>
      </w:r>
      <w:r w:rsidR="00C57E69">
        <w:rPr>
          <w:rFonts w:ascii="Times New Roman" w:hAnsi="Times New Roman" w:cs="Times New Roman"/>
          <w:sz w:val="24"/>
          <w:szCs w:val="24"/>
        </w:rPr>
        <w:t xml:space="preserve"> </w:t>
      </w:r>
      <w:r w:rsidR="00E06D22">
        <w:rPr>
          <w:rFonts w:ascii="Times New Roman" w:hAnsi="Times New Roman" w:cs="Times New Roman"/>
          <w:sz w:val="24"/>
          <w:szCs w:val="24"/>
        </w:rPr>
        <w:t xml:space="preserve">Premix consumption recovered strongly following increased supply on the local market, having recorded the </w:t>
      </w:r>
      <w:r w:rsidR="00827EA2">
        <w:rPr>
          <w:rFonts w:ascii="Times New Roman" w:hAnsi="Times New Roman" w:cs="Times New Roman"/>
          <w:sz w:val="24"/>
          <w:szCs w:val="24"/>
        </w:rPr>
        <w:t>lowest</w:t>
      </w:r>
      <w:r w:rsidR="00C16C94">
        <w:rPr>
          <w:rFonts w:ascii="Times New Roman" w:hAnsi="Times New Roman" w:cs="Times New Roman"/>
          <w:sz w:val="24"/>
          <w:szCs w:val="24"/>
        </w:rPr>
        <w:t xml:space="preserve"> </w:t>
      </w:r>
      <w:r w:rsidR="00E06D22">
        <w:rPr>
          <w:rFonts w:ascii="Times New Roman" w:hAnsi="Times New Roman" w:cs="Times New Roman"/>
          <w:sz w:val="24"/>
          <w:szCs w:val="24"/>
        </w:rPr>
        <w:t>supply in Q4-2022 for many years. The low supply of the product</w:t>
      </w:r>
      <w:r w:rsidR="0087113E">
        <w:rPr>
          <w:rFonts w:ascii="Times New Roman" w:hAnsi="Times New Roman" w:cs="Times New Roman"/>
          <w:sz w:val="24"/>
          <w:szCs w:val="24"/>
        </w:rPr>
        <w:t xml:space="preserve"> </w:t>
      </w:r>
      <w:r w:rsidR="00E06D22">
        <w:rPr>
          <w:rFonts w:ascii="Times New Roman" w:hAnsi="Times New Roman" w:cs="Times New Roman"/>
          <w:sz w:val="24"/>
          <w:szCs w:val="24"/>
        </w:rPr>
        <w:t xml:space="preserve">was due to the inability of government to settle under-recovery due the suppliers of the product. </w:t>
      </w:r>
      <w:r w:rsidR="00F542BA">
        <w:rPr>
          <w:rFonts w:ascii="Times New Roman" w:hAnsi="Times New Roman" w:cs="Times New Roman"/>
          <w:sz w:val="24"/>
          <w:szCs w:val="24"/>
        </w:rPr>
        <w:t xml:space="preserve">March 2023 recorded the highest refined products consumption of 37%, while February recorded the least of 29% of total domestic refined products consumption for the period under review. </w:t>
      </w:r>
    </w:p>
    <w:p w14:paraId="73D04079" w14:textId="6B7484EE" w:rsidR="005E70FA" w:rsidRPr="00B47C95" w:rsidRDefault="005E70FA" w:rsidP="005E70FA">
      <w:pPr>
        <w:pStyle w:val="Caption"/>
        <w:keepNext/>
        <w:spacing w:after="0"/>
        <w:jc w:val="both"/>
        <w:rPr>
          <w:i/>
          <w:sz w:val="24"/>
          <w:szCs w:val="24"/>
        </w:rPr>
      </w:pPr>
      <w:bookmarkStart w:id="24" w:name="_Toc136872331"/>
      <w:r w:rsidRPr="00B47C95">
        <w:rPr>
          <w:i/>
          <w:sz w:val="24"/>
          <w:szCs w:val="24"/>
        </w:rPr>
        <w:lastRenderedPageBreak/>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7</w:t>
      </w:r>
      <w:r w:rsidR="004858CE" w:rsidRPr="00B47C95">
        <w:rPr>
          <w:i/>
          <w:noProof/>
          <w:sz w:val="24"/>
          <w:szCs w:val="24"/>
        </w:rPr>
        <w:fldChar w:fldCharType="end"/>
      </w:r>
      <w:r w:rsidRPr="00B47C95">
        <w:rPr>
          <w:i/>
          <w:sz w:val="24"/>
          <w:szCs w:val="24"/>
        </w:rPr>
        <w:t>: Domestic Consumption of Refined Petroleum Products</w:t>
      </w:r>
      <w:r w:rsidR="00120DB3" w:rsidRPr="00B47C95">
        <w:rPr>
          <w:i/>
          <w:sz w:val="24"/>
          <w:szCs w:val="24"/>
        </w:rPr>
        <w:t xml:space="preserve"> (</w:t>
      </w:r>
      <w:r w:rsidRPr="00B47C95">
        <w:rPr>
          <w:i/>
          <w:sz w:val="24"/>
          <w:szCs w:val="24"/>
        </w:rPr>
        <w:t>MT</w:t>
      </w:r>
      <w:r w:rsidR="00120DB3" w:rsidRPr="00B47C95">
        <w:rPr>
          <w:i/>
          <w:sz w:val="24"/>
          <w:szCs w:val="24"/>
        </w:rPr>
        <w:t>)</w:t>
      </w:r>
      <w:bookmarkEnd w:id="24"/>
    </w:p>
    <w:p w14:paraId="1A7D90AA" w14:textId="15EDAA50" w:rsidR="00DD4A8B" w:rsidRDefault="00DD4A8B" w:rsidP="00B47C95">
      <w:pPr>
        <w:spacing w:before="0" w:after="0"/>
        <w:jc w:val="both"/>
        <w:rPr>
          <w:rFonts w:ascii="Times New Roman" w:hAnsi="Times New Roman" w:cs="Times New Roman"/>
          <w:sz w:val="24"/>
          <w:szCs w:val="24"/>
        </w:rPr>
      </w:pPr>
      <w:r>
        <w:rPr>
          <w:noProof/>
          <w:lang w:val="en-US"/>
        </w:rPr>
        <w:drawing>
          <wp:inline distT="0" distB="0" distL="0" distR="0" wp14:anchorId="6947D265" wp14:editId="439DDBB5">
            <wp:extent cx="4562475" cy="2705100"/>
            <wp:effectExtent l="0" t="0" r="9525" b="0"/>
            <wp:docPr id="810016685" name="Chart 1">
              <a:extLst xmlns:a="http://schemas.openxmlformats.org/drawingml/2006/main">
                <a:ext uri="{FF2B5EF4-FFF2-40B4-BE49-F238E27FC236}">
                  <a16:creationId xmlns:a16="http://schemas.microsoft.com/office/drawing/2014/main" id="{FA3F94DF-4070-4204-AD62-F20B29EFE6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63BA45E" w14:textId="6D792594" w:rsidR="008425AD" w:rsidRPr="00B47C95" w:rsidRDefault="008425AD" w:rsidP="00B47C95">
      <w:pPr>
        <w:spacing w:before="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 xml:space="preserve">Source: NPA </w:t>
      </w:r>
      <w:r w:rsidR="002118FF" w:rsidRPr="00B47C95">
        <w:rPr>
          <w:rFonts w:ascii="Times New Roman" w:hAnsi="Times New Roman" w:cs="Times New Roman"/>
          <w:i/>
          <w:color w:val="17406D" w:themeColor="text2"/>
          <w:sz w:val="22"/>
          <w:szCs w:val="24"/>
        </w:rPr>
        <w:t xml:space="preserve">ERDMS </w:t>
      </w:r>
      <w:r w:rsidRPr="00B47C95">
        <w:rPr>
          <w:rFonts w:ascii="Times New Roman" w:hAnsi="Times New Roman" w:cs="Times New Roman"/>
          <w:i/>
          <w:color w:val="17406D" w:themeColor="text2"/>
          <w:sz w:val="22"/>
          <w:szCs w:val="24"/>
        </w:rPr>
        <w:t>Database</w:t>
      </w:r>
    </w:p>
    <w:p w14:paraId="685048BB" w14:textId="3DBDE9E9" w:rsidR="00242FA1" w:rsidRDefault="00242FA1" w:rsidP="00242FA1">
      <w:pPr>
        <w:pStyle w:val="Heading2"/>
        <w:spacing w:before="0"/>
        <w:rPr>
          <w:rFonts w:ascii="Times New Roman" w:hAnsi="Times New Roman" w:cs="Times New Roman"/>
          <w:sz w:val="24"/>
          <w:szCs w:val="24"/>
        </w:rPr>
      </w:pPr>
      <w:bookmarkStart w:id="25" w:name="_Toc141440547"/>
      <w:r>
        <w:rPr>
          <w:rFonts w:ascii="Times New Roman" w:hAnsi="Times New Roman" w:cs="Times New Roman"/>
          <w:sz w:val="24"/>
          <w:szCs w:val="24"/>
        </w:rPr>
        <w:t>3</w:t>
      </w:r>
      <w:r w:rsidRPr="008A52A6">
        <w:rPr>
          <w:rFonts w:ascii="Times New Roman" w:hAnsi="Times New Roman" w:cs="Times New Roman"/>
          <w:sz w:val="24"/>
          <w:szCs w:val="24"/>
        </w:rPr>
        <w:t>.</w:t>
      </w:r>
      <w:r>
        <w:rPr>
          <w:rFonts w:ascii="Times New Roman" w:hAnsi="Times New Roman" w:cs="Times New Roman"/>
          <w:sz w:val="24"/>
          <w:szCs w:val="24"/>
        </w:rPr>
        <w:t>1.1</w:t>
      </w:r>
      <w:r w:rsidRPr="008A52A6">
        <w:rPr>
          <w:rFonts w:ascii="Times New Roman" w:hAnsi="Times New Roman" w:cs="Times New Roman"/>
          <w:sz w:val="24"/>
          <w:szCs w:val="24"/>
        </w:rPr>
        <w:t xml:space="preserve"> Regional </w:t>
      </w:r>
      <w:r>
        <w:rPr>
          <w:rFonts w:ascii="Times New Roman" w:hAnsi="Times New Roman" w:cs="Times New Roman"/>
          <w:sz w:val="24"/>
          <w:szCs w:val="24"/>
        </w:rPr>
        <w:t xml:space="preserve">Demand </w:t>
      </w:r>
      <w:r w:rsidRPr="008A52A6">
        <w:rPr>
          <w:rFonts w:ascii="Times New Roman" w:hAnsi="Times New Roman" w:cs="Times New Roman"/>
          <w:sz w:val="24"/>
          <w:szCs w:val="24"/>
        </w:rPr>
        <w:t>of Petroleum Products</w:t>
      </w:r>
      <w:bookmarkEnd w:id="25"/>
    </w:p>
    <w:p w14:paraId="6A896DF7" w14:textId="1A61D548" w:rsidR="006B5B0E" w:rsidRDefault="00242FA1" w:rsidP="00242FA1">
      <w:pPr>
        <w:spacing w:after="0"/>
        <w:jc w:val="both"/>
        <w:rPr>
          <w:rFonts w:ascii="Times New Roman" w:hAnsi="Times New Roman" w:cs="Times New Roman"/>
          <w:sz w:val="24"/>
          <w:szCs w:val="24"/>
        </w:rPr>
      </w:pPr>
      <w:r w:rsidRPr="003764E9">
        <w:rPr>
          <w:rFonts w:ascii="Times New Roman" w:hAnsi="Times New Roman" w:cs="Times New Roman"/>
          <w:sz w:val="24"/>
          <w:szCs w:val="24"/>
        </w:rPr>
        <w:t xml:space="preserve">Of the </w:t>
      </w:r>
      <w:r>
        <w:rPr>
          <w:rFonts w:ascii="Times New Roman" w:hAnsi="Times New Roman" w:cs="Times New Roman"/>
          <w:sz w:val="24"/>
          <w:szCs w:val="24"/>
        </w:rPr>
        <w:t>1</w:t>
      </w:r>
      <w:r w:rsidRPr="003764E9">
        <w:rPr>
          <w:rFonts w:ascii="Times New Roman" w:hAnsi="Times New Roman" w:cs="Times New Roman"/>
          <w:sz w:val="24"/>
          <w:szCs w:val="24"/>
        </w:rPr>
        <w:t>,</w:t>
      </w:r>
      <w:r>
        <w:rPr>
          <w:rFonts w:ascii="Times New Roman" w:hAnsi="Times New Roman" w:cs="Times New Roman"/>
          <w:sz w:val="24"/>
          <w:szCs w:val="24"/>
        </w:rPr>
        <w:t>063</w:t>
      </w:r>
      <w:r w:rsidRPr="003764E9">
        <w:rPr>
          <w:rFonts w:ascii="Times New Roman" w:hAnsi="Times New Roman" w:cs="Times New Roman"/>
          <w:sz w:val="24"/>
          <w:szCs w:val="24"/>
        </w:rPr>
        <w:t>,</w:t>
      </w:r>
      <w:r>
        <w:rPr>
          <w:rFonts w:ascii="Times New Roman" w:hAnsi="Times New Roman" w:cs="Times New Roman"/>
          <w:sz w:val="24"/>
          <w:szCs w:val="24"/>
        </w:rPr>
        <w:t xml:space="preserve">108 </w:t>
      </w:r>
      <w:proofErr w:type="spellStart"/>
      <w:r>
        <w:rPr>
          <w:rFonts w:ascii="Times New Roman" w:hAnsi="Times New Roman" w:cs="Times New Roman"/>
          <w:sz w:val="24"/>
          <w:szCs w:val="24"/>
        </w:rPr>
        <w:t>mt</w:t>
      </w:r>
      <w:proofErr w:type="spellEnd"/>
      <w:r>
        <w:rPr>
          <w:rFonts w:ascii="Times New Roman" w:hAnsi="Times New Roman" w:cs="Times New Roman"/>
          <w:sz w:val="24"/>
          <w:szCs w:val="24"/>
        </w:rPr>
        <w:t xml:space="preserve"> </w:t>
      </w:r>
      <w:r w:rsidRPr="003764E9">
        <w:rPr>
          <w:rFonts w:ascii="Times New Roman" w:hAnsi="Times New Roman" w:cs="Times New Roman"/>
          <w:sz w:val="24"/>
          <w:szCs w:val="24"/>
        </w:rPr>
        <w:t xml:space="preserve">of </w:t>
      </w:r>
      <w:r>
        <w:rPr>
          <w:rFonts w:ascii="Times New Roman" w:hAnsi="Times New Roman" w:cs="Times New Roman"/>
          <w:sz w:val="24"/>
          <w:szCs w:val="24"/>
        </w:rPr>
        <w:t xml:space="preserve">refined </w:t>
      </w:r>
      <w:r w:rsidRPr="003764E9">
        <w:rPr>
          <w:rFonts w:ascii="Times New Roman" w:hAnsi="Times New Roman" w:cs="Times New Roman"/>
          <w:sz w:val="24"/>
          <w:szCs w:val="24"/>
        </w:rPr>
        <w:t xml:space="preserve">petroleum products </w:t>
      </w:r>
      <w:r>
        <w:rPr>
          <w:rFonts w:ascii="Times New Roman" w:hAnsi="Times New Roman" w:cs="Times New Roman"/>
          <w:sz w:val="24"/>
          <w:szCs w:val="24"/>
        </w:rPr>
        <w:t>consumed in the first quarter</w:t>
      </w:r>
      <w:r w:rsidRPr="003764E9">
        <w:rPr>
          <w:rFonts w:ascii="Times New Roman" w:hAnsi="Times New Roman" w:cs="Times New Roman"/>
          <w:sz w:val="24"/>
          <w:szCs w:val="24"/>
        </w:rPr>
        <w:t xml:space="preserve">, </w:t>
      </w:r>
      <w:r>
        <w:rPr>
          <w:rFonts w:ascii="Times New Roman" w:hAnsi="Times New Roman" w:cs="Times New Roman"/>
          <w:sz w:val="24"/>
          <w:szCs w:val="24"/>
        </w:rPr>
        <w:t>as expected the</w:t>
      </w:r>
      <w:r w:rsidRPr="003764E9">
        <w:rPr>
          <w:rFonts w:ascii="Times New Roman" w:hAnsi="Times New Roman" w:cs="Times New Roman"/>
          <w:sz w:val="24"/>
          <w:szCs w:val="24"/>
        </w:rPr>
        <w:t xml:space="preserve"> Greater Accra </w:t>
      </w:r>
      <w:r>
        <w:rPr>
          <w:rFonts w:ascii="Times New Roman" w:hAnsi="Times New Roman" w:cs="Times New Roman"/>
          <w:sz w:val="24"/>
          <w:szCs w:val="24"/>
        </w:rPr>
        <w:t>R</w:t>
      </w:r>
      <w:r w:rsidRPr="003764E9">
        <w:rPr>
          <w:rFonts w:ascii="Times New Roman" w:hAnsi="Times New Roman" w:cs="Times New Roman"/>
          <w:sz w:val="24"/>
          <w:szCs w:val="24"/>
        </w:rPr>
        <w:t>egion account</w:t>
      </w:r>
      <w:r>
        <w:rPr>
          <w:rFonts w:ascii="Times New Roman" w:hAnsi="Times New Roman" w:cs="Times New Roman"/>
          <w:sz w:val="24"/>
          <w:szCs w:val="24"/>
        </w:rPr>
        <w:t xml:space="preserve">ed </w:t>
      </w:r>
      <w:r w:rsidRPr="003764E9">
        <w:rPr>
          <w:rFonts w:ascii="Times New Roman" w:hAnsi="Times New Roman" w:cs="Times New Roman"/>
          <w:sz w:val="24"/>
          <w:szCs w:val="24"/>
        </w:rPr>
        <w:t>for the highest s</w:t>
      </w:r>
      <w:r>
        <w:rPr>
          <w:rFonts w:ascii="Times New Roman" w:hAnsi="Times New Roman" w:cs="Times New Roman"/>
          <w:sz w:val="24"/>
          <w:szCs w:val="24"/>
        </w:rPr>
        <w:t>hare of about a third (33%), mainly due</w:t>
      </w:r>
      <w:r w:rsidRPr="003764E9">
        <w:rPr>
          <w:rFonts w:ascii="Times New Roman" w:hAnsi="Times New Roman" w:cs="Times New Roman"/>
          <w:sz w:val="24"/>
          <w:szCs w:val="24"/>
        </w:rPr>
        <w:t xml:space="preserve"> to its relatively high</w:t>
      </w:r>
      <w:r>
        <w:rPr>
          <w:rFonts w:ascii="Times New Roman" w:hAnsi="Times New Roman" w:cs="Times New Roman"/>
          <w:sz w:val="24"/>
          <w:szCs w:val="24"/>
        </w:rPr>
        <w:t xml:space="preserve">er </w:t>
      </w:r>
      <w:r w:rsidRPr="003764E9">
        <w:rPr>
          <w:rFonts w:ascii="Times New Roman" w:hAnsi="Times New Roman" w:cs="Times New Roman"/>
          <w:sz w:val="24"/>
          <w:szCs w:val="24"/>
        </w:rPr>
        <w:t>levels of economic</w:t>
      </w:r>
      <w:r w:rsidR="005709F1">
        <w:rPr>
          <w:rFonts w:ascii="Times New Roman" w:hAnsi="Times New Roman" w:cs="Times New Roman"/>
          <w:sz w:val="24"/>
          <w:szCs w:val="24"/>
        </w:rPr>
        <w:t xml:space="preserve"> </w:t>
      </w:r>
      <w:r w:rsidRPr="003764E9">
        <w:rPr>
          <w:rFonts w:ascii="Times New Roman" w:hAnsi="Times New Roman" w:cs="Times New Roman"/>
          <w:sz w:val="24"/>
          <w:szCs w:val="24"/>
        </w:rPr>
        <w:t xml:space="preserve">activities, while the Upper West </w:t>
      </w:r>
      <w:r>
        <w:rPr>
          <w:rFonts w:ascii="Times New Roman" w:hAnsi="Times New Roman" w:cs="Times New Roman"/>
          <w:sz w:val="24"/>
          <w:szCs w:val="24"/>
        </w:rPr>
        <w:t xml:space="preserve">Region recorded the </w:t>
      </w:r>
      <w:r w:rsidRPr="003764E9">
        <w:rPr>
          <w:rFonts w:ascii="Times New Roman" w:hAnsi="Times New Roman" w:cs="Times New Roman"/>
          <w:sz w:val="24"/>
          <w:szCs w:val="24"/>
        </w:rPr>
        <w:t>least s</w:t>
      </w:r>
      <w:r>
        <w:rPr>
          <w:rFonts w:ascii="Times New Roman" w:hAnsi="Times New Roman" w:cs="Times New Roman"/>
          <w:sz w:val="24"/>
          <w:szCs w:val="24"/>
        </w:rPr>
        <w:t xml:space="preserve">hare for the period (see figures </w:t>
      </w:r>
      <w:r w:rsidR="00C71547">
        <w:rPr>
          <w:rFonts w:ascii="Times New Roman" w:hAnsi="Times New Roman" w:cs="Times New Roman"/>
          <w:sz w:val="24"/>
          <w:szCs w:val="24"/>
        </w:rPr>
        <w:t>8</w:t>
      </w:r>
      <w:r>
        <w:rPr>
          <w:rFonts w:ascii="Times New Roman" w:hAnsi="Times New Roman" w:cs="Times New Roman"/>
          <w:sz w:val="24"/>
          <w:szCs w:val="24"/>
        </w:rPr>
        <w:t xml:space="preserve"> and </w:t>
      </w:r>
      <w:r w:rsidR="00C71547">
        <w:rPr>
          <w:rFonts w:ascii="Times New Roman" w:hAnsi="Times New Roman" w:cs="Times New Roman"/>
          <w:sz w:val="24"/>
          <w:szCs w:val="24"/>
        </w:rPr>
        <w:t>9</w:t>
      </w:r>
      <w:r>
        <w:rPr>
          <w:rFonts w:ascii="Times New Roman" w:hAnsi="Times New Roman" w:cs="Times New Roman"/>
          <w:sz w:val="24"/>
          <w:szCs w:val="24"/>
        </w:rPr>
        <w:t>)</w:t>
      </w:r>
      <w:r w:rsidRPr="003764E9">
        <w:rPr>
          <w:rFonts w:ascii="Times New Roman" w:hAnsi="Times New Roman" w:cs="Times New Roman"/>
          <w:sz w:val="24"/>
          <w:szCs w:val="24"/>
        </w:rPr>
        <w:t xml:space="preserve">. </w:t>
      </w:r>
    </w:p>
    <w:p w14:paraId="069458D0" w14:textId="77777777" w:rsidR="006B5B0E" w:rsidRPr="00B47C95" w:rsidRDefault="006B5B0E" w:rsidP="00B47C95">
      <w:pPr>
        <w:pStyle w:val="Caption"/>
        <w:keepNext/>
        <w:spacing w:after="0"/>
        <w:jc w:val="both"/>
        <w:rPr>
          <w:i/>
          <w:sz w:val="24"/>
          <w:szCs w:val="24"/>
        </w:rPr>
      </w:pPr>
      <w:r w:rsidRPr="00B47C95">
        <w:rPr>
          <w:i/>
          <w:sz w:val="24"/>
          <w:szCs w:val="24"/>
        </w:rPr>
        <w:t xml:space="preserve">Figure </w:t>
      </w:r>
      <w:r w:rsidRPr="00B47C95">
        <w:rPr>
          <w:i/>
          <w:sz w:val="24"/>
          <w:szCs w:val="24"/>
        </w:rPr>
        <w:fldChar w:fldCharType="begin"/>
      </w:r>
      <w:r w:rsidRPr="00B47C95">
        <w:rPr>
          <w:i/>
          <w:sz w:val="24"/>
          <w:szCs w:val="24"/>
        </w:rPr>
        <w:instrText xml:space="preserve"> SEQ Figure \* ARABIC </w:instrText>
      </w:r>
      <w:r w:rsidRPr="00B47C95">
        <w:rPr>
          <w:i/>
          <w:sz w:val="24"/>
          <w:szCs w:val="24"/>
        </w:rPr>
        <w:fldChar w:fldCharType="separate"/>
      </w:r>
      <w:r w:rsidRPr="00B47C95">
        <w:rPr>
          <w:i/>
          <w:sz w:val="24"/>
          <w:szCs w:val="24"/>
        </w:rPr>
        <w:t>8</w:t>
      </w:r>
      <w:r w:rsidRPr="00B47C95">
        <w:rPr>
          <w:i/>
          <w:sz w:val="24"/>
          <w:szCs w:val="24"/>
        </w:rPr>
        <w:fldChar w:fldCharType="end"/>
      </w:r>
      <w:r w:rsidRPr="00B47C95">
        <w:rPr>
          <w:i/>
          <w:sz w:val="24"/>
          <w:szCs w:val="24"/>
        </w:rPr>
        <w:t>: Regional Consumption of Refined Petroleum Products (MT)</w:t>
      </w:r>
    </w:p>
    <w:p w14:paraId="6080A8F0" w14:textId="363FF184" w:rsidR="0043247C" w:rsidRDefault="00D526B9" w:rsidP="00B47C95">
      <w:pPr>
        <w:spacing w:before="0" w:after="0" w:line="360" w:lineRule="auto"/>
        <w:jc w:val="both"/>
        <w:rPr>
          <w:rFonts w:ascii="Times New Roman" w:hAnsi="Times New Roman" w:cs="Times New Roman"/>
          <w:i/>
          <w:color w:val="17406D" w:themeColor="text2"/>
          <w:sz w:val="22"/>
          <w:szCs w:val="24"/>
        </w:rPr>
      </w:pPr>
      <w:r>
        <w:rPr>
          <w:noProof/>
          <w:lang w:val="en-US"/>
        </w:rPr>
        <w:drawing>
          <wp:inline distT="0" distB="0" distL="0" distR="0" wp14:anchorId="3CC8DD0B" wp14:editId="427EAC17">
            <wp:extent cx="4441371" cy="2556587"/>
            <wp:effectExtent l="0" t="0" r="16510" b="15240"/>
            <wp:docPr id="5" name="Chart 1">
              <a:extLst xmlns:a="http://schemas.openxmlformats.org/drawingml/2006/main">
                <a:ext uri="{FF2B5EF4-FFF2-40B4-BE49-F238E27FC236}">
                  <a16:creationId xmlns:a16="http://schemas.microsoft.com/office/drawing/2014/main" id="{7CB8AE55-1CE1-7850-84FF-8DA2A85EBA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Start w:id="26" w:name="_Toc136872333"/>
      <w:r w:rsidR="0043247C" w:rsidRPr="00B47C95">
        <w:rPr>
          <w:rFonts w:ascii="Times New Roman" w:hAnsi="Times New Roman" w:cs="Times New Roman"/>
          <w:i/>
          <w:color w:val="17406D" w:themeColor="text2"/>
          <w:sz w:val="22"/>
          <w:szCs w:val="24"/>
        </w:rPr>
        <w:t>Source: NPA ERDMS Databas</w:t>
      </w:r>
      <w:r w:rsidR="0043247C">
        <w:rPr>
          <w:rFonts w:ascii="Times New Roman" w:hAnsi="Times New Roman" w:cs="Times New Roman"/>
          <w:i/>
          <w:color w:val="17406D" w:themeColor="text2"/>
          <w:sz w:val="22"/>
          <w:szCs w:val="24"/>
        </w:rPr>
        <w:t>e</w:t>
      </w:r>
    </w:p>
    <w:p w14:paraId="036FA6A9" w14:textId="42DDF6D9" w:rsidR="006C133E" w:rsidRPr="00B47C95" w:rsidRDefault="006C133E" w:rsidP="00B47C95">
      <w:pPr>
        <w:pStyle w:val="Caption"/>
        <w:keepNext/>
        <w:spacing w:after="0"/>
        <w:jc w:val="both"/>
        <w:rPr>
          <w:i/>
          <w:sz w:val="24"/>
          <w:szCs w:val="24"/>
        </w:rPr>
      </w:pPr>
      <w:r w:rsidRPr="00B47C95">
        <w:rPr>
          <w:i/>
          <w:sz w:val="24"/>
          <w:szCs w:val="24"/>
        </w:rPr>
        <w:lastRenderedPageBreak/>
        <w:t xml:space="preserve">Figure </w:t>
      </w:r>
      <w:r w:rsidR="004858CE" w:rsidRPr="00B47C95">
        <w:rPr>
          <w:i/>
          <w:sz w:val="24"/>
          <w:szCs w:val="24"/>
        </w:rPr>
        <w:fldChar w:fldCharType="begin"/>
      </w:r>
      <w:r w:rsidR="004858CE" w:rsidRPr="00B47C95">
        <w:rPr>
          <w:i/>
          <w:sz w:val="24"/>
          <w:szCs w:val="24"/>
        </w:rPr>
        <w:instrText xml:space="preserve"> SEQ Figure \* ARABIC </w:instrText>
      </w:r>
      <w:r w:rsidR="004858CE" w:rsidRPr="00B47C95">
        <w:rPr>
          <w:i/>
          <w:sz w:val="24"/>
          <w:szCs w:val="24"/>
        </w:rPr>
        <w:fldChar w:fldCharType="separate"/>
      </w:r>
      <w:r w:rsidR="008D6281" w:rsidRPr="00B47C95">
        <w:rPr>
          <w:i/>
          <w:sz w:val="24"/>
          <w:szCs w:val="24"/>
        </w:rPr>
        <w:t>9</w:t>
      </w:r>
      <w:r w:rsidR="004858CE" w:rsidRPr="00B47C95">
        <w:rPr>
          <w:i/>
          <w:sz w:val="24"/>
          <w:szCs w:val="24"/>
        </w:rPr>
        <w:fldChar w:fldCharType="end"/>
      </w:r>
      <w:r w:rsidRPr="00B47C95">
        <w:rPr>
          <w:i/>
          <w:sz w:val="24"/>
          <w:szCs w:val="24"/>
        </w:rPr>
        <w:t>: Regional Share of Domestic Consumption (%)</w:t>
      </w:r>
      <w:bookmarkEnd w:id="26"/>
    </w:p>
    <w:p w14:paraId="36D8FFC6" w14:textId="67863084" w:rsidR="0043247C" w:rsidRPr="00B47C95" w:rsidRDefault="00242FA1" w:rsidP="00B47C95">
      <w:pPr>
        <w:spacing w:before="0" w:after="0" w:line="360" w:lineRule="auto"/>
        <w:jc w:val="both"/>
        <w:rPr>
          <w:rFonts w:ascii="Times New Roman" w:hAnsi="Times New Roman" w:cs="Times New Roman"/>
          <w:i/>
          <w:color w:val="17406D" w:themeColor="text2"/>
          <w:sz w:val="22"/>
          <w:szCs w:val="24"/>
        </w:rPr>
      </w:pPr>
      <w:r>
        <w:rPr>
          <w:noProof/>
          <w:lang w:val="en-US"/>
        </w:rPr>
        <w:drawing>
          <wp:inline distT="0" distB="0" distL="0" distR="0" wp14:anchorId="4ECDFBE0" wp14:editId="69204B1B">
            <wp:extent cx="4410075" cy="2590800"/>
            <wp:effectExtent l="0" t="0" r="9525" b="0"/>
            <wp:docPr id="1463056709" name="Chart 1">
              <a:extLst xmlns:a="http://schemas.openxmlformats.org/drawingml/2006/main">
                <a:ext uri="{FF2B5EF4-FFF2-40B4-BE49-F238E27FC236}">
                  <a16:creationId xmlns:a16="http://schemas.microsoft.com/office/drawing/2014/main" id="{C2126AC7-2894-84AF-6001-C7D05630F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B47C95">
        <w:rPr>
          <w:rFonts w:ascii="Times New Roman" w:hAnsi="Times New Roman" w:cs="Times New Roman"/>
          <w:i/>
          <w:color w:val="17406D" w:themeColor="text2"/>
          <w:sz w:val="22"/>
          <w:szCs w:val="24"/>
        </w:rPr>
        <w:t>Source: NPA ERDM</w:t>
      </w:r>
    </w:p>
    <w:p w14:paraId="3543A5DC" w14:textId="7357DA7B" w:rsidR="003778CA" w:rsidRPr="00B47C95" w:rsidRDefault="0017110B" w:rsidP="00B47C95">
      <w:pPr>
        <w:pStyle w:val="Heading2"/>
        <w:spacing w:before="0"/>
        <w:rPr>
          <w:rFonts w:ascii="Times New Roman" w:hAnsi="Times New Roman" w:cs="Times New Roman"/>
          <w:sz w:val="24"/>
          <w:szCs w:val="24"/>
        </w:rPr>
      </w:pPr>
      <w:bookmarkStart w:id="27" w:name="_Toc141440548"/>
      <w:bookmarkStart w:id="28" w:name="_Toc20759031"/>
      <w:r w:rsidRPr="00B47C95">
        <w:rPr>
          <w:rFonts w:ascii="Times New Roman" w:hAnsi="Times New Roman" w:cs="Times New Roman"/>
          <w:sz w:val="24"/>
          <w:szCs w:val="24"/>
        </w:rPr>
        <w:t>3.</w:t>
      </w:r>
      <w:r w:rsidR="003778CA" w:rsidRPr="00B47C95">
        <w:rPr>
          <w:rFonts w:ascii="Times New Roman" w:hAnsi="Times New Roman" w:cs="Times New Roman"/>
          <w:sz w:val="24"/>
          <w:szCs w:val="24"/>
        </w:rPr>
        <w:t xml:space="preserve">2 </w:t>
      </w:r>
      <w:r w:rsidR="0047196C" w:rsidRPr="00B47C95">
        <w:rPr>
          <w:rFonts w:ascii="Times New Roman" w:hAnsi="Times New Roman" w:cs="Times New Roman"/>
          <w:sz w:val="24"/>
          <w:szCs w:val="24"/>
        </w:rPr>
        <w:t>E</w:t>
      </w:r>
      <w:r w:rsidR="003778CA" w:rsidRPr="00B47C95">
        <w:rPr>
          <w:rFonts w:ascii="Times New Roman" w:hAnsi="Times New Roman" w:cs="Times New Roman"/>
          <w:sz w:val="24"/>
          <w:szCs w:val="24"/>
        </w:rPr>
        <w:t xml:space="preserve">xport of </w:t>
      </w:r>
      <w:r w:rsidR="0047196C" w:rsidRPr="00B47C95">
        <w:rPr>
          <w:rFonts w:ascii="Times New Roman" w:hAnsi="Times New Roman" w:cs="Times New Roman"/>
          <w:sz w:val="24"/>
          <w:szCs w:val="24"/>
        </w:rPr>
        <w:t xml:space="preserve">Refined </w:t>
      </w:r>
      <w:r w:rsidR="003778CA" w:rsidRPr="00B47C95">
        <w:rPr>
          <w:rFonts w:ascii="Times New Roman" w:hAnsi="Times New Roman" w:cs="Times New Roman"/>
          <w:sz w:val="24"/>
          <w:szCs w:val="24"/>
        </w:rPr>
        <w:t>Petroleum Products</w:t>
      </w:r>
      <w:bookmarkEnd w:id="27"/>
      <w:r w:rsidR="003778CA" w:rsidRPr="00B47C95">
        <w:rPr>
          <w:rFonts w:ascii="Times New Roman" w:hAnsi="Times New Roman" w:cs="Times New Roman"/>
          <w:sz w:val="24"/>
          <w:szCs w:val="24"/>
        </w:rPr>
        <w:t xml:space="preserve"> </w:t>
      </w:r>
      <w:bookmarkEnd w:id="28"/>
      <w:r w:rsidR="003778CA" w:rsidRPr="00B47C95">
        <w:rPr>
          <w:rFonts w:ascii="Times New Roman" w:hAnsi="Times New Roman" w:cs="Times New Roman"/>
          <w:sz w:val="24"/>
          <w:szCs w:val="24"/>
        </w:rPr>
        <w:t xml:space="preserve"> </w:t>
      </w:r>
    </w:p>
    <w:p w14:paraId="7F3EB7AB" w14:textId="220017DD" w:rsidR="003778CA" w:rsidRDefault="003778CA" w:rsidP="008358B3">
      <w:pPr>
        <w:jc w:val="both"/>
        <w:rPr>
          <w:rFonts w:ascii="Times New Roman" w:hAnsi="Times New Roman" w:cs="Times New Roman"/>
          <w:sz w:val="24"/>
          <w:szCs w:val="24"/>
        </w:rPr>
      </w:pPr>
      <w:r>
        <w:rPr>
          <w:rFonts w:ascii="Times New Roman" w:hAnsi="Times New Roman" w:cs="Times New Roman"/>
          <w:sz w:val="24"/>
          <w:szCs w:val="24"/>
        </w:rPr>
        <w:t xml:space="preserve">An estimated </w:t>
      </w:r>
      <w:r w:rsidR="00E05BB1">
        <w:rPr>
          <w:rFonts w:ascii="Times New Roman" w:hAnsi="Times New Roman" w:cs="Times New Roman"/>
          <w:sz w:val="24"/>
          <w:szCs w:val="24"/>
        </w:rPr>
        <w:t>94</w:t>
      </w:r>
      <w:r>
        <w:rPr>
          <w:rFonts w:ascii="Times New Roman" w:hAnsi="Times New Roman" w:cs="Times New Roman"/>
          <w:sz w:val="24"/>
          <w:szCs w:val="24"/>
        </w:rPr>
        <w:t>,</w:t>
      </w:r>
      <w:r w:rsidR="00E05BB1">
        <w:rPr>
          <w:rFonts w:ascii="Times New Roman" w:hAnsi="Times New Roman" w:cs="Times New Roman"/>
          <w:sz w:val="24"/>
          <w:szCs w:val="24"/>
        </w:rPr>
        <w:t>552</w:t>
      </w:r>
      <w:r>
        <w:rPr>
          <w:rFonts w:ascii="Times New Roman" w:hAnsi="Times New Roman" w:cs="Times New Roman"/>
          <w:sz w:val="24"/>
          <w:szCs w:val="24"/>
        </w:rPr>
        <w:t xml:space="preserve"> </w:t>
      </w:r>
      <w:proofErr w:type="spellStart"/>
      <w:r w:rsidR="00E05BB1">
        <w:rPr>
          <w:rFonts w:ascii="Times New Roman" w:hAnsi="Times New Roman" w:cs="Times New Roman"/>
          <w:sz w:val="24"/>
          <w:szCs w:val="24"/>
        </w:rPr>
        <w:t>mt</w:t>
      </w:r>
      <w:proofErr w:type="spellEnd"/>
      <w:r w:rsidR="00E05BB1">
        <w:rPr>
          <w:rFonts w:ascii="Times New Roman" w:hAnsi="Times New Roman" w:cs="Times New Roman"/>
          <w:sz w:val="24"/>
          <w:szCs w:val="24"/>
        </w:rPr>
        <w:t xml:space="preserve"> of refined </w:t>
      </w:r>
      <w:r>
        <w:rPr>
          <w:rFonts w:ascii="Times New Roman" w:hAnsi="Times New Roman" w:cs="Times New Roman"/>
          <w:sz w:val="24"/>
          <w:szCs w:val="24"/>
        </w:rPr>
        <w:t xml:space="preserve">petroleum products were exported to our neighbouring countries, up </w:t>
      </w:r>
      <w:r w:rsidR="00771EC9">
        <w:rPr>
          <w:rFonts w:ascii="Times New Roman" w:hAnsi="Times New Roman" w:cs="Times New Roman"/>
          <w:sz w:val="24"/>
          <w:szCs w:val="24"/>
        </w:rPr>
        <w:t xml:space="preserve">by </w:t>
      </w:r>
      <w:r w:rsidR="00E05BB1">
        <w:rPr>
          <w:rFonts w:ascii="Times New Roman" w:hAnsi="Times New Roman" w:cs="Times New Roman"/>
          <w:sz w:val="24"/>
          <w:szCs w:val="24"/>
        </w:rPr>
        <w:t xml:space="preserve">10% </w:t>
      </w:r>
      <w:r>
        <w:rPr>
          <w:rFonts w:ascii="Times New Roman" w:hAnsi="Times New Roman" w:cs="Times New Roman"/>
          <w:sz w:val="24"/>
          <w:szCs w:val="24"/>
        </w:rPr>
        <w:t>from the previous quarter. The sharp rise was due to significant increase in the volume</w:t>
      </w:r>
      <w:r w:rsidR="008F5214">
        <w:rPr>
          <w:rFonts w:ascii="Times New Roman" w:hAnsi="Times New Roman" w:cs="Times New Roman"/>
          <w:sz w:val="24"/>
          <w:szCs w:val="24"/>
        </w:rPr>
        <w:t>s</w:t>
      </w:r>
      <w:r>
        <w:rPr>
          <w:rFonts w:ascii="Times New Roman" w:hAnsi="Times New Roman" w:cs="Times New Roman"/>
          <w:sz w:val="24"/>
          <w:szCs w:val="24"/>
        </w:rPr>
        <w:t xml:space="preserve"> of </w:t>
      </w:r>
      <w:r w:rsidR="008F5214">
        <w:rPr>
          <w:rFonts w:ascii="Times New Roman" w:hAnsi="Times New Roman" w:cs="Times New Roman"/>
          <w:sz w:val="24"/>
          <w:szCs w:val="24"/>
        </w:rPr>
        <w:t xml:space="preserve">gasoline and gasoil </w:t>
      </w:r>
      <w:r>
        <w:rPr>
          <w:rFonts w:ascii="Times New Roman" w:hAnsi="Times New Roman" w:cs="Times New Roman"/>
          <w:sz w:val="24"/>
          <w:szCs w:val="24"/>
        </w:rPr>
        <w:t xml:space="preserve">transited through Ghana by </w:t>
      </w:r>
      <w:proofErr w:type="spellStart"/>
      <w:r>
        <w:rPr>
          <w:rFonts w:ascii="Times New Roman" w:hAnsi="Times New Roman" w:cs="Times New Roman"/>
          <w:sz w:val="24"/>
          <w:szCs w:val="24"/>
        </w:rPr>
        <w:t>Sonabhy</w:t>
      </w:r>
      <w:proofErr w:type="spellEnd"/>
      <w:r>
        <w:rPr>
          <w:rFonts w:ascii="Times New Roman" w:hAnsi="Times New Roman" w:cs="Times New Roman"/>
          <w:sz w:val="24"/>
          <w:szCs w:val="24"/>
        </w:rPr>
        <w:t xml:space="preserve"> of Burkina </w:t>
      </w:r>
      <w:r w:rsidR="00FC0B96">
        <w:rPr>
          <w:rFonts w:ascii="Times New Roman" w:hAnsi="Times New Roman" w:cs="Times New Roman"/>
          <w:sz w:val="24"/>
          <w:szCs w:val="24"/>
        </w:rPr>
        <w:t>Faso, which</w:t>
      </w:r>
      <w:r w:rsidR="00827EA2">
        <w:rPr>
          <w:rFonts w:ascii="Times New Roman" w:hAnsi="Times New Roman" w:cs="Times New Roman"/>
          <w:sz w:val="24"/>
          <w:szCs w:val="24"/>
        </w:rPr>
        <w:t xml:space="preserve"> </w:t>
      </w:r>
      <w:r w:rsidR="008F5214">
        <w:rPr>
          <w:rFonts w:ascii="Times New Roman" w:hAnsi="Times New Roman" w:cs="Times New Roman"/>
          <w:sz w:val="24"/>
          <w:szCs w:val="24"/>
        </w:rPr>
        <w:t xml:space="preserve">accounted for 98% of total export, while re-export </w:t>
      </w:r>
      <w:r w:rsidR="007735AE">
        <w:rPr>
          <w:rFonts w:ascii="Times New Roman" w:hAnsi="Times New Roman" w:cs="Times New Roman"/>
          <w:sz w:val="24"/>
          <w:szCs w:val="24"/>
        </w:rPr>
        <w:t xml:space="preserve">to Niger, Mali, and Togo </w:t>
      </w:r>
      <w:r w:rsidR="008F5214">
        <w:rPr>
          <w:rFonts w:ascii="Times New Roman" w:hAnsi="Times New Roman" w:cs="Times New Roman"/>
          <w:sz w:val="24"/>
          <w:szCs w:val="24"/>
        </w:rPr>
        <w:t>accounted for a paltry 2% of total export</w:t>
      </w:r>
      <w:r w:rsidR="00737CE1">
        <w:rPr>
          <w:rFonts w:ascii="Times New Roman" w:hAnsi="Times New Roman" w:cs="Times New Roman"/>
          <w:sz w:val="24"/>
          <w:szCs w:val="24"/>
        </w:rPr>
        <w:t xml:space="preserve"> (see figure </w:t>
      </w:r>
      <w:r w:rsidR="00C71547">
        <w:rPr>
          <w:rFonts w:ascii="Times New Roman" w:hAnsi="Times New Roman" w:cs="Times New Roman"/>
          <w:sz w:val="24"/>
          <w:szCs w:val="24"/>
        </w:rPr>
        <w:t>10</w:t>
      </w:r>
      <w:r w:rsidR="00737CE1">
        <w:rPr>
          <w:rFonts w:ascii="Times New Roman" w:hAnsi="Times New Roman" w:cs="Times New Roman"/>
          <w:sz w:val="24"/>
          <w:szCs w:val="24"/>
        </w:rPr>
        <w:t>)</w:t>
      </w:r>
      <w:r w:rsidR="008F5214">
        <w:rPr>
          <w:rFonts w:ascii="Times New Roman" w:hAnsi="Times New Roman" w:cs="Times New Roman"/>
          <w:sz w:val="24"/>
          <w:szCs w:val="24"/>
        </w:rPr>
        <w:t xml:space="preserve">. </w:t>
      </w:r>
      <w:r w:rsidR="00EE5AFD">
        <w:rPr>
          <w:rFonts w:ascii="Times New Roman" w:hAnsi="Times New Roman" w:cs="Times New Roman"/>
          <w:sz w:val="24"/>
          <w:szCs w:val="24"/>
        </w:rPr>
        <w:t xml:space="preserve">Of the 2% of re-exported products, Go Energy re-exported 45%, BOST 37%, and </w:t>
      </w:r>
      <w:proofErr w:type="spellStart"/>
      <w:r w:rsidR="00EE5AFD">
        <w:rPr>
          <w:rFonts w:ascii="Times New Roman" w:hAnsi="Times New Roman" w:cs="Times New Roman"/>
          <w:sz w:val="24"/>
          <w:szCs w:val="24"/>
        </w:rPr>
        <w:t>Fueltrade</w:t>
      </w:r>
      <w:proofErr w:type="spellEnd"/>
      <w:r w:rsidR="00EE5AFD">
        <w:rPr>
          <w:rFonts w:ascii="Times New Roman" w:hAnsi="Times New Roman" w:cs="Times New Roman"/>
          <w:sz w:val="24"/>
          <w:szCs w:val="24"/>
        </w:rPr>
        <w:t xml:space="preserve"> 18%. </w:t>
      </w:r>
      <w:r w:rsidR="008F5214">
        <w:rPr>
          <w:rFonts w:ascii="Times New Roman" w:hAnsi="Times New Roman" w:cs="Times New Roman"/>
          <w:sz w:val="24"/>
          <w:szCs w:val="24"/>
        </w:rPr>
        <w:t>Gasoline accounted for the highest export while ATK recorded the least export (see figure</w:t>
      </w:r>
      <w:r w:rsidR="00737CE1">
        <w:rPr>
          <w:rFonts w:ascii="Times New Roman" w:hAnsi="Times New Roman" w:cs="Times New Roman"/>
          <w:sz w:val="24"/>
          <w:szCs w:val="24"/>
        </w:rPr>
        <w:t xml:space="preserve"> </w:t>
      </w:r>
      <w:r w:rsidR="00C71547">
        <w:rPr>
          <w:rFonts w:ascii="Times New Roman" w:hAnsi="Times New Roman" w:cs="Times New Roman"/>
          <w:sz w:val="24"/>
          <w:szCs w:val="24"/>
        </w:rPr>
        <w:t>11</w:t>
      </w:r>
      <w:r w:rsidR="008F5214">
        <w:rPr>
          <w:rFonts w:ascii="Times New Roman" w:hAnsi="Times New Roman" w:cs="Times New Roman"/>
          <w:sz w:val="24"/>
          <w:szCs w:val="24"/>
        </w:rPr>
        <w:t>)</w:t>
      </w:r>
      <w:r w:rsidRPr="003764E9">
        <w:rPr>
          <w:rFonts w:ascii="Times New Roman" w:hAnsi="Times New Roman" w:cs="Times New Roman"/>
          <w:sz w:val="24"/>
          <w:szCs w:val="24"/>
        </w:rPr>
        <w:t xml:space="preserve">. </w:t>
      </w:r>
      <w:r w:rsidR="00A204CC">
        <w:rPr>
          <w:rFonts w:ascii="Times New Roman" w:hAnsi="Times New Roman" w:cs="Times New Roman"/>
          <w:sz w:val="24"/>
          <w:szCs w:val="24"/>
        </w:rPr>
        <w:t>January recorded the highest monthly export of petroleum products, accounting for38% of total exports, while February and March each recorded the least of 31%.</w:t>
      </w:r>
    </w:p>
    <w:p w14:paraId="1CE20D6E" w14:textId="501E0E48" w:rsidR="006C133E" w:rsidRPr="00B47C95" w:rsidRDefault="006C133E" w:rsidP="006C133E">
      <w:pPr>
        <w:pStyle w:val="Caption"/>
        <w:keepNext/>
        <w:spacing w:after="0"/>
        <w:rPr>
          <w:i/>
          <w:sz w:val="24"/>
          <w:szCs w:val="24"/>
        </w:rPr>
      </w:pPr>
      <w:bookmarkStart w:id="29" w:name="_Toc136872334"/>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10</w:t>
      </w:r>
      <w:r w:rsidR="004858CE" w:rsidRPr="00B47C95">
        <w:rPr>
          <w:i/>
          <w:noProof/>
          <w:sz w:val="24"/>
          <w:szCs w:val="24"/>
        </w:rPr>
        <w:fldChar w:fldCharType="end"/>
      </w:r>
      <w:r w:rsidRPr="00B47C95">
        <w:rPr>
          <w:i/>
          <w:sz w:val="24"/>
          <w:szCs w:val="24"/>
        </w:rPr>
        <w:t>: Export of Refined Petroleum Products to Neighbouring Countries (%)</w:t>
      </w:r>
      <w:bookmarkEnd w:id="29"/>
    </w:p>
    <w:p w14:paraId="1EDE6824" w14:textId="5E6DAD5C" w:rsidR="00394EB2" w:rsidRDefault="007735AE" w:rsidP="00B47C95">
      <w:pPr>
        <w:pStyle w:val="Caption"/>
        <w:keepNext/>
        <w:spacing w:before="0" w:after="0"/>
        <w:rPr>
          <w:rFonts w:ascii="Times New Roman" w:hAnsi="Times New Roman" w:cs="Times New Roman"/>
          <w:sz w:val="24"/>
          <w:szCs w:val="24"/>
        </w:rPr>
      </w:pPr>
      <w:r>
        <w:rPr>
          <w:noProof/>
          <w:lang w:val="en-US"/>
        </w:rPr>
        <w:drawing>
          <wp:inline distT="0" distB="0" distL="0" distR="0" wp14:anchorId="742451C9" wp14:editId="5A3010C7">
            <wp:extent cx="4448175" cy="2438400"/>
            <wp:effectExtent l="0" t="0" r="9525" b="0"/>
            <wp:docPr id="1140069232" name="Chart 1">
              <a:extLst xmlns:a="http://schemas.openxmlformats.org/drawingml/2006/main">
                <a:ext uri="{FF2B5EF4-FFF2-40B4-BE49-F238E27FC236}">
                  <a16:creationId xmlns:a16="http://schemas.microsoft.com/office/drawing/2014/main" id="{B774564D-C0B5-628D-B4F1-3273B39864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D2FC325" w14:textId="29CDFE76" w:rsidR="003778CA" w:rsidRPr="00B47C95" w:rsidRDefault="003778CA" w:rsidP="00B47C95">
      <w:pPr>
        <w:spacing w:before="0" w:after="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 xml:space="preserve">Source: NPA </w:t>
      </w:r>
      <w:r w:rsidR="005B0595" w:rsidRPr="00B47C95">
        <w:rPr>
          <w:rFonts w:ascii="Times New Roman" w:hAnsi="Times New Roman" w:cs="Times New Roman"/>
          <w:i/>
          <w:color w:val="17406D" w:themeColor="text2"/>
          <w:sz w:val="22"/>
          <w:szCs w:val="24"/>
        </w:rPr>
        <w:t xml:space="preserve">ERDMS </w:t>
      </w:r>
      <w:r w:rsidRPr="00B47C95">
        <w:rPr>
          <w:rFonts w:ascii="Times New Roman" w:hAnsi="Times New Roman" w:cs="Times New Roman"/>
          <w:i/>
          <w:color w:val="17406D" w:themeColor="text2"/>
          <w:sz w:val="22"/>
          <w:szCs w:val="24"/>
        </w:rPr>
        <w:t>Database</w:t>
      </w:r>
    </w:p>
    <w:p w14:paraId="57832532" w14:textId="37C72DF4" w:rsidR="006C133E" w:rsidRPr="00B47C95" w:rsidRDefault="006C133E" w:rsidP="006C133E">
      <w:pPr>
        <w:pStyle w:val="Caption"/>
        <w:keepNext/>
        <w:spacing w:after="0"/>
        <w:rPr>
          <w:i/>
          <w:sz w:val="24"/>
          <w:szCs w:val="24"/>
        </w:rPr>
      </w:pPr>
      <w:bookmarkStart w:id="30" w:name="_Toc136872335"/>
      <w:r w:rsidRPr="00B47C95">
        <w:rPr>
          <w:i/>
          <w:sz w:val="24"/>
          <w:szCs w:val="24"/>
        </w:rPr>
        <w:lastRenderedPageBreak/>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11</w:t>
      </w:r>
      <w:r w:rsidR="004858CE" w:rsidRPr="00B47C95">
        <w:rPr>
          <w:i/>
          <w:noProof/>
          <w:sz w:val="24"/>
          <w:szCs w:val="24"/>
        </w:rPr>
        <w:fldChar w:fldCharType="end"/>
      </w:r>
      <w:r w:rsidRPr="00B47C95">
        <w:rPr>
          <w:i/>
          <w:sz w:val="24"/>
          <w:szCs w:val="24"/>
        </w:rPr>
        <w:t>: Export of Refined Petroleum Products (%)</w:t>
      </w:r>
      <w:bookmarkEnd w:id="30"/>
    </w:p>
    <w:p w14:paraId="1BD52B9C" w14:textId="4C0C889F" w:rsidR="007735AE" w:rsidRDefault="007735AE" w:rsidP="00242FA1">
      <w:pPr>
        <w:pStyle w:val="Caption"/>
        <w:keepNext/>
        <w:spacing w:after="0"/>
        <w:rPr>
          <w:rFonts w:ascii="Times New Roman" w:hAnsi="Times New Roman" w:cs="Times New Roman"/>
          <w:sz w:val="24"/>
          <w:szCs w:val="24"/>
        </w:rPr>
      </w:pPr>
      <w:r>
        <w:rPr>
          <w:noProof/>
          <w:lang w:val="en-US"/>
        </w:rPr>
        <w:drawing>
          <wp:inline distT="0" distB="0" distL="0" distR="0" wp14:anchorId="47D7F471" wp14:editId="1B0808BA">
            <wp:extent cx="4478694" cy="2687216"/>
            <wp:effectExtent l="0" t="0" r="17145" b="18415"/>
            <wp:docPr id="991167309" name="Chart 1">
              <a:extLst xmlns:a="http://schemas.openxmlformats.org/drawingml/2006/main">
                <a:ext uri="{FF2B5EF4-FFF2-40B4-BE49-F238E27FC236}">
                  <a16:creationId xmlns:a16="http://schemas.microsoft.com/office/drawing/2014/main" id="{EB50DAFD-45A6-F62A-48EB-3D800F19D1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3764E9">
        <w:rPr>
          <w:rFonts w:ascii="Times New Roman" w:hAnsi="Times New Roman" w:cs="Times New Roman"/>
          <w:sz w:val="24"/>
          <w:szCs w:val="24"/>
        </w:rPr>
        <w:t xml:space="preserve"> </w:t>
      </w:r>
    </w:p>
    <w:p w14:paraId="6BEBEBBE" w14:textId="77777777" w:rsidR="005D6327" w:rsidRPr="00B47C95" w:rsidRDefault="005D6327" w:rsidP="00B47C95">
      <w:pPr>
        <w:spacing w:before="0" w:after="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Source: NPA ERDMS Database</w:t>
      </w:r>
    </w:p>
    <w:p w14:paraId="26FFCD52" w14:textId="7FFCD0D0" w:rsidR="00CB632D" w:rsidRPr="00B47C95" w:rsidRDefault="0017110B" w:rsidP="004E4E47">
      <w:pPr>
        <w:pStyle w:val="Heading1"/>
        <w:rPr>
          <w:rFonts w:ascii="Times New Roman" w:hAnsi="Times New Roman" w:cs="Times New Roman"/>
          <w:sz w:val="56"/>
          <w:szCs w:val="56"/>
        </w:rPr>
      </w:pPr>
      <w:bookmarkStart w:id="31" w:name="_Toc141440549"/>
      <w:r w:rsidRPr="00B47C95">
        <w:rPr>
          <w:rFonts w:ascii="Times New Roman" w:hAnsi="Times New Roman" w:cs="Times New Roman"/>
          <w:sz w:val="56"/>
          <w:szCs w:val="56"/>
        </w:rPr>
        <w:t>4</w:t>
      </w:r>
      <w:r w:rsidR="00CB632D" w:rsidRPr="00B47C95">
        <w:rPr>
          <w:rFonts w:ascii="Times New Roman" w:hAnsi="Times New Roman" w:cs="Times New Roman"/>
          <w:sz w:val="56"/>
          <w:szCs w:val="56"/>
        </w:rPr>
        <w:t>.0 Performance of Petroleum Service Providers</w:t>
      </w:r>
      <w:bookmarkEnd w:id="31"/>
    </w:p>
    <w:p w14:paraId="3E747A63" w14:textId="2573704C" w:rsidR="00CB632D" w:rsidRDefault="00D62851" w:rsidP="00CB632D">
      <w:pPr>
        <w:jc w:val="both"/>
        <w:rPr>
          <w:rFonts w:ascii="Times New Roman" w:hAnsi="Times New Roman" w:cs="Times New Roman"/>
          <w:sz w:val="24"/>
          <w:szCs w:val="24"/>
        </w:rPr>
      </w:pPr>
      <w:r>
        <w:rPr>
          <w:rFonts w:ascii="Times New Roman" w:hAnsi="Times New Roman" w:cs="Times New Roman"/>
          <w:sz w:val="24"/>
          <w:szCs w:val="24"/>
        </w:rPr>
        <w:t xml:space="preserve">The </w:t>
      </w:r>
      <w:r w:rsidR="00CB632D" w:rsidRPr="00A56F97">
        <w:rPr>
          <w:rFonts w:ascii="Times New Roman" w:hAnsi="Times New Roman" w:cs="Times New Roman"/>
          <w:sz w:val="24"/>
          <w:szCs w:val="24"/>
        </w:rPr>
        <w:t xml:space="preserve">petroleum downstream industry </w:t>
      </w:r>
      <w:r>
        <w:rPr>
          <w:rFonts w:ascii="Times New Roman" w:hAnsi="Times New Roman" w:cs="Times New Roman"/>
          <w:sz w:val="24"/>
          <w:szCs w:val="24"/>
        </w:rPr>
        <w:t xml:space="preserve">has evolved over the years, and currently </w:t>
      </w:r>
      <w:r w:rsidR="00CB632D" w:rsidRPr="00A56F97">
        <w:rPr>
          <w:rFonts w:ascii="Times New Roman" w:hAnsi="Times New Roman" w:cs="Times New Roman"/>
          <w:sz w:val="24"/>
          <w:szCs w:val="24"/>
        </w:rPr>
        <w:t xml:space="preserve">consist of 30 categories of service providers, such as Bulk Import, Distribution and Export Companies (BIDEC), Oil and LPG Marketing Companies </w:t>
      </w:r>
      <w:r w:rsidR="00CB632D" w:rsidRPr="00A56F97">
        <w:rPr>
          <w:rFonts w:ascii="Times New Roman" w:hAnsi="Times New Roman" w:cs="Times New Roman"/>
          <w:sz w:val="24"/>
          <w:szCs w:val="24"/>
        </w:rPr>
        <w:t xml:space="preserve">(OMCs/LPGMCs), Storage Companies, Bulk Road Vehicles, etc. </w:t>
      </w:r>
      <w:r>
        <w:rPr>
          <w:rFonts w:ascii="Times New Roman" w:hAnsi="Times New Roman" w:cs="Times New Roman"/>
          <w:sz w:val="24"/>
          <w:szCs w:val="24"/>
        </w:rPr>
        <w:t xml:space="preserve">The performances of </w:t>
      </w:r>
      <w:r w:rsidR="003358B3">
        <w:rPr>
          <w:rFonts w:ascii="Times New Roman" w:hAnsi="Times New Roman" w:cs="Times New Roman"/>
          <w:sz w:val="24"/>
          <w:szCs w:val="24"/>
        </w:rPr>
        <w:t xml:space="preserve">the main </w:t>
      </w:r>
      <w:r>
        <w:rPr>
          <w:rFonts w:ascii="Times New Roman" w:hAnsi="Times New Roman" w:cs="Times New Roman"/>
          <w:sz w:val="24"/>
          <w:szCs w:val="24"/>
        </w:rPr>
        <w:t>categories are provided below.</w:t>
      </w:r>
    </w:p>
    <w:p w14:paraId="7DACEEE1" w14:textId="77777777" w:rsidR="0043247C" w:rsidRPr="00A56F97" w:rsidRDefault="0043247C" w:rsidP="00CB632D">
      <w:pPr>
        <w:jc w:val="both"/>
        <w:rPr>
          <w:rFonts w:ascii="Times New Roman" w:hAnsi="Times New Roman" w:cs="Times New Roman"/>
          <w:sz w:val="24"/>
          <w:szCs w:val="24"/>
        </w:rPr>
      </w:pPr>
    </w:p>
    <w:p w14:paraId="1587F944" w14:textId="5DBAE7F3" w:rsidR="00CB632D" w:rsidRPr="00C4741E" w:rsidRDefault="0017110B" w:rsidP="00CB632D">
      <w:pPr>
        <w:pStyle w:val="Heading2"/>
        <w:rPr>
          <w:rFonts w:ascii="Times New Roman" w:hAnsi="Times New Roman" w:cs="Times New Roman"/>
          <w:sz w:val="24"/>
          <w:szCs w:val="24"/>
        </w:rPr>
      </w:pPr>
      <w:bookmarkStart w:id="32" w:name="_Toc141440550"/>
      <w:r>
        <w:rPr>
          <w:rFonts w:ascii="Times New Roman" w:hAnsi="Times New Roman" w:cs="Times New Roman"/>
          <w:sz w:val="24"/>
          <w:szCs w:val="24"/>
        </w:rPr>
        <w:t>4</w:t>
      </w:r>
      <w:r w:rsidR="00CB632D" w:rsidRPr="00C4741E">
        <w:rPr>
          <w:rFonts w:ascii="Times New Roman" w:hAnsi="Times New Roman" w:cs="Times New Roman"/>
          <w:sz w:val="24"/>
          <w:szCs w:val="24"/>
        </w:rPr>
        <w:t xml:space="preserve">.1 BIDEC Market </w:t>
      </w:r>
      <w:r w:rsidR="00CB632D">
        <w:rPr>
          <w:rFonts w:ascii="Times New Roman" w:hAnsi="Times New Roman" w:cs="Times New Roman"/>
          <w:sz w:val="24"/>
          <w:szCs w:val="24"/>
        </w:rPr>
        <w:t>Performance</w:t>
      </w:r>
      <w:bookmarkEnd w:id="32"/>
    </w:p>
    <w:p w14:paraId="1C725C41" w14:textId="49C4DE39" w:rsidR="00CB632D" w:rsidRDefault="00D91332" w:rsidP="00CB632D">
      <w:pPr>
        <w:jc w:val="both"/>
        <w:rPr>
          <w:rFonts w:ascii="Times New Roman" w:hAnsi="Times New Roman" w:cs="Times New Roman"/>
          <w:noProof/>
          <w:sz w:val="24"/>
          <w:szCs w:val="24"/>
        </w:rPr>
      </w:pPr>
      <w:r>
        <w:rPr>
          <w:rFonts w:ascii="Times New Roman" w:hAnsi="Times New Roman" w:cs="Times New Roman"/>
          <w:noProof/>
          <w:sz w:val="24"/>
          <w:szCs w:val="24"/>
        </w:rPr>
        <w:t xml:space="preserve">Forty (40) </w:t>
      </w:r>
      <w:r w:rsidR="00CB632D" w:rsidRPr="005A4C88">
        <w:rPr>
          <w:rFonts w:ascii="Times New Roman" w:hAnsi="Times New Roman" w:cs="Times New Roman"/>
          <w:noProof/>
          <w:sz w:val="24"/>
          <w:szCs w:val="24"/>
        </w:rPr>
        <w:t xml:space="preserve">out of </w:t>
      </w:r>
      <w:r w:rsidR="00CB632D">
        <w:rPr>
          <w:rFonts w:ascii="Times New Roman" w:hAnsi="Times New Roman" w:cs="Times New Roman"/>
          <w:noProof/>
          <w:sz w:val="24"/>
          <w:szCs w:val="24"/>
        </w:rPr>
        <w:t xml:space="preserve">the </w:t>
      </w:r>
      <w:r>
        <w:rPr>
          <w:rFonts w:ascii="Times New Roman" w:hAnsi="Times New Roman" w:cs="Times New Roman"/>
          <w:noProof/>
          <w:sz w:val="24"/>
          <w:szCs w:val="24"/>
        </w:rPr>
        <w:t>forty-eight (</w:t>
      </w:r>
      <w:r w:rsidR="00CB632D" w:rsidRPr="005A4C88">
        <w:rPr>
          <w:rFonts w:ascii="Times New Roman" w:hAnsi="Times New Roman" w:cs="Times New Roman"/>
          <w:noProof/>
          <w:sz w:val="24"/>
          <w:szCs w:val="24"/>
        </w:rPr>
        <w:t>48</w:t>
      </w:r>
      <w:r>
        <w:rPr>
          <w:rFonts w:ascii="Times New Roman" w:hAnsi="Times New Roman" w:cs="Times New Roman"/>
          <w:noProof/>
          <w:sz w:val="24"/>
          <w:szCs w:val="24"/>
        </w:rPr>
        <w:t>)</w:t>
      </w:r>
      <w:r w:rsidR="00CB632D" w:rsidRPr="005A4C88">
        <w:rPr>
          <w:rFonts w:ascii="Times New Roman" w:hAnsi="Times New Roman" w:cs="Times New Roman"/>
          <w:noProof/>
          <w:sz w:val="24"/>
          <w:szCs w:val="24"/>
        </w:rPr>
        <w:t xml:space="preserve"> BIDEC/Refineries, sold 1,063,108 mt of refined petroleum products in Q1-2023, compared to </w:t>
      </w:r>
      <w:r>
        <w:rPr>
          <w:rFonts w:ascii="Times New Roman" w:hAnsi="Times New Roman" w:cs="Times New Roman"/>
          <w:noProof/>
          <w:sz w:val="24"/>
          <w:szCs w:val="24"/>
        </w:rPr>
        <w:t>forty-three (</w:t>
      </w:r>
      <w:r w:rsidR="00CB632D" w:rsidRPr="005A4C88">
        <w:rPr>
          <w:rFonts w:ascii="Times New Roman" w:hAnsi="Times New Roman" w:cs="Times New Roman"/>
          <w:noProof/>
          <w:sz w:val="24"/>
          <w:szCs w:val="24"/>
        </w:rPr>
        <w:t>43</w:t>
      </w:r>
      <w:r>
        <w:rPr>
          <w:rFonts w:ascii="Times New Roman" w:hAnsi="Times New Roman" w:cs="Times New Roman"/>
          <w:noProof/>
          <w:sz w:val="24"/>
          <w:szCs w:val="24"/>
        </w:rPr>
        <w:t>)</w:t>
      </w:r>
      <w:r w:rsidR="00CB632D" w:rsidRPr="005A4C88">
        <w:rPr>
          <w:rFonts w:ascii="Times New Roman" w:hAnsi="Times New Roman" w:cs="Times New Roman"/>
          <w:noProof/>
          <w:sz w:val="24"/>
          <w:szCs w:val="24"/>
        </w:rPr>
        <w:t xml:space="preserve"> BIDEC</w:t>
      </w:r>
      <w:r>
        <w:rPr>
          <w:rFonts w:ascii="Times New Roman" w:hAnsi="Times New Roman" w:cs="Times New Roman"/>
          <w:noProof/>
          <w:sz w:val="24"/>
          <w:szCs w:val="24"/>
        </w:rPr>
        <w:t>s</w:t>
      </w:r>
      <w:r w:rsidR="00CB632D" w:rsidRPr="005A4C88">
        <w:rPr>
          <w:rFonts w:ascii="Times New Roman" w:hAnsi="Times New Roman" w:cs="Times New Roman"/>
          <w:noProof/>
          <w:sz w:val="24"/>
          <w:szCs w:val="24"/>
        </w:rPr>
        <w:t xml:space="preserve"> selling 994,288 mt in Q4-2022. </w:t>
      </w:r>
      <w:r w:rsidR="00CB632D">
        <w:rPr>
          <w:rFonts w:ascii="Times New Roman" w:hAnsi="Times New Roman" w:cs="Times New Roman"/>
          <w:noProof/>
          <w:sz w:val="24"/>
          <w:szCs w:val="24"/>
        </w:rPr>
        <w:t xml:space="preserve">Go Energy sold the highest volume, while about </w:t>
      </w:r>
      <w:r>
        <w:rPr>
          <w:rFonts w:ascii="Times New Roman" w:hAnsi="Times New Roman" w:cs="Times New Roman"/>
          <w:noProof/>
          <w:sz w:val="24"/>
          <w:szCs w:val="24"/>
        </w:rPr>
        <w:t>eight B</w:t>
      </w:r>
      <w:r w:rsidR="00CB632D">
        <w:rPr>
          <w:rFonts w:ascii="Times New Roman" w:hAnsi="Times New Roman" w:cs="Times New Roman"/>
          <w:noProof/>
          <w:sz w:val="24"/>
          <w:szCs w:val="24"/>
        </w:rPr>
        <w:t xml:space="preserve">IDECs did not sell any volume for the period under review. </w:t>
      </w:r>
      <w:r w:rsidR="00CB632D" w:rsidRPr="005A4C88">
        <w:rPr>
          <w:rFonts w:ascii="Times New Roman" w:hAnsi="Times New Roman" w:cs="Times New Roman"/>
          <w:noProof/>
          <w:sz w:val="24"/>
          <w:szCs w:val="24"/>
        </w:rPr>
        <w:t>The top 20 BIDECs sold a total of 997,674mt of petroleum products in Q1-2023, representing 93.8% of total sales for the period. Go Energy Company Limited continue</w:t>
      </w:r>
      <w:r w:rsidR="00DD1B55">
        <w:rPr>
          <w:rFonts w:ascii="Times New Roman" w:hAnsi="Times New Roman" w:cs="Times New Roman"/>
          <w:noProof/>
          <w:sz w:val="24"/>
          <w:szCs w:val="24"/>
        </w:rPr>
        <w:t>s</w:t>
      </w:r>
      <w:r w:rsidR="00CB632D" w:rsidRPr="005A4C88">
        <w:rPr>
          <w:rFonts w:ascii="Times New Roman" w:hAnsi="Times New Roman" w:cs="Times New Roman"/>
          <w:noProof/>
          <w:sz w:val="24"/>
          <w:szCs w:val="24"/>
        </w:rPr>
        <w:t xml:space="preserve"> to lead the market, selling over 18</w:t>
      </w:r>
      <w:r w:rsidR="00CB632D">
        <w:rPr>
          <w:rFonts w:ascii="Times New Roman" w:hAnsi="Times New Roman" w:cs="Times New Roman"/>
          <w:noProof/>
          <w:sz w:val="24"/>
          <w:szCs w:val="24"/>
        </w:rPr>
        <w:t>.95</w:t>
      </w:r>
      <w:r w:rsidR="00CB632D" w:rsidRPr="005A4C88">
        <w:rPr>
          <w:rFonts w:ascii="Times New Roman" w:hAnsi="Times New Roman" w:cs="Times New Roman"/>
          <w:noProof/>
          <w:sz w:val="24"/>
          <w:szCs w:val="24"/>
        </w:rPr>
        <w:t xml:space="preserve">% of the market, </w:t>
      </w:r>
      <w:r>
        <w:rPr>
          <w:rFonts w:ascii="Times New Roman" w:hAnsi="Times New Roman" w:cs="Times New Roman"/>
          <w:noProof/>
          <w:sz w:val="24"/>
          <w:szCs w:val="24"/>
        </w:rPr>
        <w:t xml:space="preserve">representing </w:t>
      </w:r>
      <w:r w:rsidR="00CB632D" w:rsidRPr="005A4C88">
        <w:rPr>
          <w:rFonts w:ascii="Times New Roman" w:hAnsi="Times New Roman" w:cs="Times New Roman"/>
          <w:noProof/>
          <w:sz w:val="24"/>
          <w:szCs w:val="24"/>
        </w:rPr>
        <w:t xml:space="preserve">a 1.6% reduction in market share compared to the previous quarter. </w:t>
      </w:r>
      <w:r w:rsidR="00CB632D" w:rsidRPr="00A85E3F">
        <w:rPr>
          <w:rFonts w:ascii="Times New Roman" w:hAnsi="Times New Roman" w:cs="Times New Roman"/>
          <w:noProof/>
          <w:sz w:val="24"/>
          <w:szCs w:val="24"/>
        </w:rPr>
        <w:t>Juwel Energy Limited sold the second largest volumes</w:t>
      </w:r>
      <w:r>
        <w:rPr>
          <w:rFonts w:ascii="Times New Roman" w:hAnsi="Times New Roman" w:cs="Times New Roman"/>
          <w:noProof/>
          <w:sz w:val="24"/>
          <w:szCs w:val="24"/>
        </w:rPr>
        <w:t xml:space="preserve"> (</w:t>
      </w:r>
      <w:r w:rsidR="00CB632D" w:rsidRPr="00A85E3F">
        <w:rPr>
          <w:rFonts w:ascii="Times New Roman" w:hAnsi="Times New Roman" w:cs="Times New Roman"/>
          <w:noProof/>
          <w:sz w:val="24"/>
          <w:szCs w:val="24"/>
        </w:rPr>
        <w:t>17.27%</w:t>
      </w:r>
      <w:r>
        <w:rPr>
          <w:rFonts w:ascii="Times New Roman" w:hAnsi="Times New Roman" w:cs="Times New Roman"/>
          <w:noProof/>
          <w:sz w:val="24"/>
          <w:szCs w:val="24"/>
        </w:rPr>
        <w:t>)</w:t>
      </w:r>
      <w:r w:rsidR="00CB632D" w:rsidRPr="00A85E3F">
        <w:rPr>
          <w:rFonts w:ascii="Times New Roman" w:hAnsi="Times New Roman" w:cs="Times New Roman"/>
          <w:noProof/>
          <w:sz w:val="24"/>
          <w:szCs w:val="24"/>
        </w:rPr>
        <w:t xml:space="preserve">, </w:t>
      </w:r>
      <w:r>
        <w:rPr>
          <w:rFonts w:ascii="Times New Roman" w:hAnsi="Times New Roman" w:cs="Times New Roman"/>
          <w:noProof/>
          <w:sz w:val="24"/>
          <w:szCs w:val="24"/>
        </w:rPr>
        <w:t xml:space="preserve">representing </w:t>
      </w:r>
      <w:r w:rsidR="00CB632D" w:rsidRPr="00A85E3F">
        <w:rPr>
          <w:rFonts w:ascii="Times New Roman" w:hAnsi="Times New Roman" w:cs="Times New Roman"/>
          <w:noProof/>
          <w:sz w:val="24"/>
          <w:szCs w:val="24"/>
        </w:rPr>
        <w:t xml:space="preserve">a 1.6% increase in market share compared to the previous quarter. </w:t>
      </w:r>
      <w:r w:rsidR="00CB632D">
        <w:rPr>
          <w:rFonts w:ascii="Times New Roman" w:hAnsi="Times New Roman" w:cs="Times New Roman"/>
          <w:noProof/>
          <w:sz w:val="24"/>
          <w:szCs w:val="24"/>
        </w:rPr>
        <w:t xml:space="preserve">Nine out of the top 20 BIDECs recorded increases in their market shares </w:t>
      </w:r>
      <w:r w:rsidR="000B5555">
        <w:rPr>
          <w:rFonts w:ascii="Times New Roman" w:hAnsi="Times New Roman" w:cs="Times New Roman"/>
          <w:noProof/>
          <w:sz w:val="24"/>
          <w:szCs w:val="24"/>
        </w:rPr>
        <w:t xml:space="preserve">when </w:t>
      </w:r>
      <w:r w:rsidR="00CB632D">
        <w:rPr>
          <w:rFonts w:ascii="Times New Roman" w:hAnsi="Times New Roman" w:cs="Times New Roman"/>
          <w:noProof/>
          <w:sz w:val="24"/>
          <w:szCs w:val="24"/>
        </w:rPr>
        <w:t>compared to the previous quarter (see figure</w:t>
      </w:r>
      <w:r w:rsidR="00124E89">
        <w:rPr>
          <w:rFonts w:ascii="Times New Roman" w:hAnsi="Times New Roman" w:cs="Times New Roman"/>
          <w:noProof/>
          <w:sz w:val="24"/>
          <w:szCs w:val="24"/>
        </w:rPr>
        <w:t xml:space="preserve"> 1</w:t>
      </w:r>
      <w:r w:rsidR="004D2011">
        <w:rPr>
          <w:rFonts w:ascii="Times New Roman" w:hAnsi="Times New Roman" w:cs="Times New Roman"/>
          <w:noProof/>
          <w:sz w:val="24"/>
          <w:szCs w:val="24"/>
        </w:rPr>
        <w:t>2</w:t>
      </w:r>
      <w:r w:rsidR="00CB632D">
        <w:rPr>
          <w:rFonts w:ascii="Times New Roman" w:hAnsi="Times New Roman" w:cs="Times New Roman"/>
          <w:noProof/>
          <w:sz w:val="24"/>
          <w:szCs w:val="24"/>
        </w:rPr>
        <w:t xml:space="preserve"> ). Maranatha sold over 10% of the market, representing about 1% increase in market share compared to the previous quarter. Five other BIDECs sold between 5% and 10%, while the rest sold less than 5% of the market for refined petroleum products. </w:t>
      </w:r>
    </w:p>
    <w:p w14:paraId="4A24902F" w14:textId="34032C7D" w:rsidR="006C133E" w:rsidRPr="00B47C95" w:rsidRDefault="006C133E" w:rsidP="006C133E">
      <w:pPr>
        <w:pStyle w:val="Caption"/>
        <w:keepNext/>
        <w:spacing w:after="0"/>
        <w:rPr>
          <w:i/>
          <w:sz w:val="24"/>
          <w:szCs w:val="24"/>
        </w:rPr>
      </w:pPr>
      <w:bookmarkStart w:id="33" w:name="_Toc136872336"/>
      <w:r w:rsidRPr="00B47C95">
        <w:rPr>
          <w:i/>
          <w:sz w:val="24"/>
          <w:szCs w:val="24"/>
        </w:rPr>
        <w:lastRenderedPageBreak/>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12</w:t>
      </w:r>
      <w:r w:rsidR="004858CE" w:rsidRPr="00B47C95">
        <w:rPr>
          <w:i/>
          <w:noProof/>
          <w:sz w:val="24"/>
          <w:szCs w:val="24"/>
        </w:rPr>
        <w:fldChar w:fldCharType="end"/>
      </w:r>
      <w:r w:rsidRPr="00B47C95">
        <w:rPr>
          <w:i/>
          <w:sz w:val="24"/>
          <w:szCs w:val="24"/>
        </w:rPr>
        <w:t>: Top 20 BIDEC Market Share (%)</w:t>
      </w:r>
      <w:bookmarkEnd w:id="33"/>
    </w:p>
    <w:p w14:paraId="12A26B10" w14:textId="7CDAEF00" w:rsidR="00C71547" w:rsidRPr="00C71547" w:rsidRDefault="00C71547" w:rsidP="00B47C95">
      <w:pPr>
        <w:spacing w:before="0" w:after="0"/>
      </w:pPr>
      <w:r>
        <w:rPr>
          <w:noProof/>
          <w:lang w:val="en-US"/>
        </w:rPr>
        <w:drawing>
          <wp:inline distT="0" distB="0" distL="0" distR="0" wp14:anchorId="76D9DCC4" wp14:editId="1BA43A95">
            <wp:extent cx="4795935" cy="5141167"/>
            <wp:effectExtent l="0" t="0" r="5080" b="2540"/>
            <wp:docPr id="1385835738" name="Chart 1">
              <a:extLst xmlns:a="http://schemas.openxmlformats.org/drawingml/2006/main">
                <a:ext uri="{FF2B5EF4-FFF2-40B4-BE49-F238E27FC236}">
                  <a16:creationId xmlns:a16="http://schemas.microsoft.com/office/drawing/2014/main" id="{5D5C104A-013E-3BD9-7512-6C4C899C7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EE7C63" w14:textId="3F5B591D" w:rsidR="00C71547" w:rsidRDefault="00AF1B93" w:rsidP="00B47C95">
      <w:pPr>
        <w:spacing w:before="0" w:after="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Source: NPA ERDMS</w:t>
      </w:r>
    </w:p>
    <w:p w14:paraId="5CD19ED5" w14:textId="77777777" w:rsidR="0043247C" w:rsidRDefault="0043247C" w:rsidP="00B47C95">
      <w:pPr>
        <w:spacing w:before="0" w:after="0" w:line="360" w:lineRule="auto"/>
        <w:jc w:val="both"/>
        <w:rPr>
          <w:rFonts w:ascii="Times New Roman" w:hAnsi="Times New Roman" w:cs="Times New Roman"/>
          <w:i/>
          <w:color w:val="17406D" w:themeColor="text2"/>
          <w:sz w:val="22"/>
          <w:szCs w:val="24"/>
        </w:rPr>
      </w:pPr>
    </w:p>
    <w:p w14:paraId="32B719ED" w14:textId="6A9D0589" w:rsidR="00D2340A" w:rsidRDefault="00D2340A" w:rsidP="00C71547">
      <w:pPr>
        <w:pStyle w:val="Heading2"/>
        <w:rPr>
          <w:rFonts w:ascii="Times New Roman" w:hAnsi="Times New Roman" w:cs="Times New Roman"/>
          <w:sz w:val="24"/>
          <w:szCs w:val="24"/>
        </w:rPr>
      </w:pPr>
      <w:bookmarkStart w:id="34" w:name="_Toc141440551"/>
      <w:r>
        <w:rPr>
          <w:rFonts w:ascii="Times New Roman" w:hAnsi="Times New Roman" w:cs="Times New Roman"/>
          <w:sz w:val="24"/>
          <w:szCs w:val="24"/>
        </w:rPr>
        <w:t>4.</w:t>
      </w:r>
      <w:r w:rsidR="00895DF3">
        <w:rPr>
          <w:rFonts w:ascii="Times New Roman" w:hAnsi="Times New Roman" w:cs="Times New Roman"/>
          <w:sz w:val="24"/>
          <w:szCs w:val="24"/>
        </w:rPr>
        <w:t>1</w:t>
      </w:r>
      <w:r w:rsidR="00C71547">
        <w:rPr>
          <w:rFonts w:ascii="Times New Roman" w:hAnsi="Times New Roman" w:cs="Times New Roman"/>
          <w:sz w:val="24"/>
          <w:szCs w:val="24"/>
        </w:rPr>
        <w:t>.1</w:t>
      </w:r>
      <w:r>
        <w:rPr>
          <w:rFonts w:ascii="Times New Roman" w:hAnsi="Times New Roman" w:cs="Times New Roman"/>
          <w:sz w:val="24"/>
          <w:szCs w:val="24"/>
        </w:rPr>
        <w:t xml:space="preserve"> BIDECs Market Competition</w:t>
      </w:r>
      <w:bookmarkEnd w:id="34"/>
    </w:p>
    <w:p w14:paraId="52EAC138" w14:textId="791D99F1" w:rsidR="003E1B4D" w:rsidRDefault="00CB632D" w:rsidP="003E1B4D">
      <w:pPr>
        <w:jc w:val="both"/>
        <w:rPr>
          <w:rFonts w:ascii="Times New Roman" w:hAnsi="Times New Roman" w:cs="Times New Roman"/>
          <w:noProof/>
          <w:sz w:val="24"/>
          <w:szCs w:val="24"/>
        </w:rPr>
      </w:pPr>
      <w:r>
        <w:rPr>
          <w:rFonts w:ascii="Times New Roman" w:hAnsi="Times New Roman" w:cs="Times New Roman"/>
          <w:sz w:val="24"/>
          <w:szCs w:val="24"/>
        </w:rPr>
        <w:t xml:space="preserve">One of the measures for </w:t>
      </w:r>
      <w:r w:rsidR="00DC6CE3">
        <w:rPr>
          <w:rFonts w:ascii="Times New Roman" w:hAnsi="Times New Roman" w:cs="Times New Roman"/>
          <w:sz w:val="24"/>
          <w:szCs w:val="24"/>
        </w:rPr>
        <w:t xml:space="preserve">assessing </w:t>
      </w:r>
      <w:r>
        <w:rPr>
          <w:rFonts w:ascii="Times New Roman" w:hAnsi="Times New Roman" w:cs="Times New Roman"/>
          <w:sz w:val="24"/>
          <w:szCs w:val="24"/>
        </w:rPr>
        <w:t>market co</w:t>
      </w:r>
      <w:r w:rsidR="009A65EF">
        <w:rPr>
          <w:rFonts w:ascii="Times New Roman" w:hAnsi="Times New Roman" w:cs="Times New Roman"/>
          <w:sz w:val="24"/>
          <w:szCs w:val="24"/>
        </w:rPr>
        <w:t>ncentration</w:t>
      </w:r>
      <w:r>
        <w:rPr>
          <w:rFonts w:ascii="Times New Roman" w:hAnsi="Times New Roman" w:cs="Times New Roman"/>
          <w:sz w:val="24"/>
          <w:szCs w:val="24"/>
        </w:rPr>
        <w:t>, t</w:t>
      </w:r>
      <w:r w:rsidRPr="00D417FC">
        <w:rPr>
          <w:rFonts w:ascii="Times New Roman" w:hAnsi="Times New Roman" w:cs="Times New Roman"/>
          <w:sz w:val="24"/>
          <w:szCs w:val="24"/>
        </w:rPr>
        <w:t>he Herfindahl-Hirschman Index (HHI)</w:t>
      </w:r>
      <w:r>
        <w:rPr>
          <w:rFonts w:ascii="Times New Roman" w:hAnsi="Times New Roman" w:cs="Times New Roman"/>
          <w:sz w:val="24"/>
          <w:szCs w:val="24"/>
        </w:rPr>
        <w:t xml:space="preserve"> was used to assess the level of co</w:t>
      </w:r>
      <w:r w:rsidR="009A65EF">
        <w:rPr>
          <w:rFonts w:ascii="Times New Roman" w:hAnsi="Times New Roman" w:cs="Times New Roman"/>
          <w:sz w:val="24"/>
          <w:szCs w:val="24"/>
        </w:rPr>
        <w:t>ncentration of the</w:t>
      </w:r>
      <w:r>
        <w:rPr>
          <w:rFonts w:ascii="Times New Roman" w:hAnsi="Times New Roman" w:cs="Times New Roman"/>
          <w:sz w:val="24"/>
          <w:szCs w:val="24"/>
        </w:rPr>
        <w:t xml:space="preserve"> BIDECs</w:t>
      </w:r>
      <w:r w:rsidR="009A65EF">
        <w:rPr>
          <w:rFonts w:ascii="Times New Roman" w:hAnsi="Times New Roman" w:cs="Times New Roman"/>
          <w:sz w:val="24"/>
          <w:szCs w:val="24"/>
        </w:rPr>
        <w:t xml:space="preserve"> market</w:t>
      </w:r>
      <w:r>
        <w:rPr>
          <w:rFonts w:ascii="Times New Roman" w:hAnsi="Times New Roman" w:cs="Times New Roman"/>
          <w:sz w:val="24"/>
          <w:szCs w:val="24"/>
        </w:rPr>
        <w:t xml:space="preserve">. The HHI for the market of all refined petroleum products for Q1 2023 revealed a </w:t>
      </w:r>
      <w:r w:rsidR="009A65EF">
        <w:rPr>
          <w:rFonts w:ascii="Times New Roman" w:hAnsi="Times New Roman" w:cs="Times New Roman"/>
          <w:sz w:val="24"/>
          <w:szCs w:val="24"/>
        </w:rPr>
        <w:t>less concentrated</w:t>
      </w:r>
      <w:r>
        <w:rPr>
          <w:rFonts w:ascii="Times New Roman" w:hAnsi="Times New Roman" w:cs="Times New Roman"/>
          <w:sz w:val="24"/>
          <w:szCs w:val="24"/>
        </w:rPr>
        <w:t xml:space="preserve"> market</w:t>
      </w:r>
      <w:r w:rsidR="009A65EF">
        <w:rPr>
          <w:rFonts w:ascii="Times New Roman" w:hAnsi="Times New Roman" w:cs="Times New Roman"/>
          <w:sz w:val="24"/>
          <w:szCs w:val="24"/>
        </w:rPr>
        <w:t>, even though not highly competitive</w:t>
      </w:r>
      <w:r>
        <w:rPr>
          <w:rFonts w:ascii="Times New Roman" w:hAnsi="Times New Roman" w:cs="Times New Roman"/>
          <w:sz w:val="24"/>
          <w:szCs w:val="24"/>
        </w:rPr>
        <w:t xml:space="preserve"> with a score of </w:t>
      </w:r>
      <w:r w:rsidRPr="00D926B4">
        <w:rPr>
          <w:rFonts w:ascii="Times New Roman" w:hAnsi="Times New Roman" w:cs="Times New Roman"/>
          <w:sz w:val="24"/>
          <w:szCs w:val="24"/>
        </w:rPr>
        <w:t xml:space="preserve">less than 1,500 (i.e., 957). The HHI for Q1 2023 revealed a </w:t>
      </w:r>
      <w:r w:rsidR="00DD1B55" w:rsidRPr="00D926B4">
        <w:rPr>
          <w:rFonts w:ascii="Times New Roman" w:hAnsi="Times New Roman" w:cs="Times New Roman"/>
          <w:sz w:val="24"/>
          <w:szCs w:val="24"/>
        </w:rPr>
        <w:t>less concentrated</w:t>
      </w:r>
      <w:r w:rsidRPr="00D926B4">
        <w:rPr>
          <w:rFonts w:ascii="Times New Roman" w:hAnsi="Times New Roman" w:cs="Times New Roman"/>
          <w:sz w:val="24"/>
          <w:szCs w:val="24"/>
        </w:rPr>
        <w:t xml:space="preserve"> market compared to the previous quarter’s score of 975</w:t>
      </w:r>
      <w:r w:rsidR="00E513D1" w:rsidRPr="00D926B4">
        <w:rPr>
          <w:rFonts w:ascii="Times New Roman" w:hAnsi="Times New Roman" w:cs="Times New Roman"/>
          <w:sz w:val="24"/>
          <w:szCs w:val="24"/>
        </w:rPr>
        <w:t xml:space="preserve"> (see figure 13)</w:t>
      </w:r>
      <w:r w:rsidRPr="00D926B4">
        <w:rPr>
          <w:rFonts w:ascii="Times New Roman" w:hAnsi="Times New Roman" w:cs="Times New Roman"/>
          <w:sz w:val="24"/>
          <w:szCs w:val="24"/>
        </w:rPr>
        <w:t xml:space="preserve">.  By products, the diesel market was </w:t>
      </w:r>
      <w:r w:rsidR="00DD1B55" w:rsidRPr="00D926B4">
        <w:rPr>
          <w:rFonts w:ascii="Times New Roman" w:hAnsi="Times New Roman" w:cs="Times New Roman"/>
          <w:sz w:val="24"/>
          <w:szCs w:val="24"/>
        </w:rPr>
        <w:t>less concentrated</w:t>
      </w:r>
      <w:r w:rsidRPr="00D926B4">
        <w:rPr>
          <w:rFonts w:ascii="Times New Roman" w:hAnsi="Times New Roman" w:cs="Times New Roman"/>
          <w:sz w:val="24"/>
          <w:szCs w:val="24"/>
        </w:rPr>
        <w:t xml:space="preserve"> than the petrol market, with a score of 1,030, while petrol had a score of 1,394. The LPG market was </w:t>
      </w:r>
      <w:r w:rsidR="00DD1B55" w:rsidRPr="00D926B4">
        <w:rPr>
          <w:rFonts w:ascii="Times New Roman" w:hAnsi="Times New Roman" w:cs="Times New Roman"/>
          <w:sz w:val="24"/>
          <w:szCs w:val="24"/>
        </w:rPr>
        <w:t>mo</w:t>
      </w:r>
      <w:r w:rsidR="009A65EF">
        <w:rPr>
          <w:rFonts w:ascii="Times New Roman" w:hAnsi="Times New Roman" w:cs="Times New Roman"/>
          <w:sz w:val="24"/>
          <w:szCs w:val="24"/>
        </w:rPr>
        <w:t>derately</w:t>
      </w:r>
      <w:r w:rsidR="00DD1B55" w:rsidRPr="00D926B4">
        <w:rPr>
          <w:rFonts w:ascii="Times New Roman" w:hAnsi="Times New Roman" w:cs="Times New Roman"/>
          <w:sz w:val="24"/>
          <w:szCs w:val="24"/>
        </w:rPr>
        <w:t xml:space="preserve"> </w:t>
      </w:r>
      <w:r w:rsidR="00D80DB7" w:rsidRPr="00D926B4">
        <w:rPr>
          <w:rFonts w:ascii="Times New Roman" w:hAnsi="Times New Roman" w:cs="Times New Roman"/>
          <w:sz w:val="24"/>
          <w:szCs w:val="24"/>
        </w:rPr>
        <w:t>concentrated</w:t>
      </w:r>
      <w:r w:rsidRPr="00D926B4">
        <w:rPr>
          <w:rFonts w:ascii="Times New Roman" w:hAnsi="Times New Roman" w:cs="Times New Roman"/>
          <w:sz w:val="24"/>
          <w:szCs w:val="24"/>
        </w:rPr>
        <w:t xml:space="preserve"> with a score</w:t>
      </w:r>
      <w:r>
        <w:rPr>
          <w:rFonts w:ascii="Times New Roman" w:hAnsi="Times New Roman" w:cs="Times New Roman"/>
          <w:sz w:val="24"/>
          <w:szCs w:val="24"/>
        </w:rPr>
        <w:t xml:space="preserve"> of 1,627 (i.e., between 1,500-2,500) for the period under review. Although a plurality of measures </w:t>
      </w:r>
      <w:r w:rsidR="005B4106">
        <w:rPr>
          <w:rFonts w:ascii="Times New Roman" w:hAnsi="Times New Roman" w:cs="Times New Roman"/>
          <w:sz w:val="24"/>
          <w:szCs w:val="24"/>
        </w:rPr>
        <w:t>is</w:t>
      </w:r>
      <w:r w:rsidR="00E4784D">
        <w:rPr>
          <w:rFonts w:ascii="Times New Roman" w:hAnsi="Times New Roman" w:cs="Times New Roman"/>
          <w:sz w:val="24"/>
          <w:szCs w:val="24"/>
        </w:rPr>
        <w:t xml:space="preserve"> </w:t>
      </w:r>
      <w:r>
        <w:rPr>
          <w:rFonts w:ascii="Times New Roman" w:hAnsi="Times New Roman" w:cs="Times New Roman"/>
          <w:sz w:val="24"/>
          <w:szCs w:val="24"/>
        </w:rPr>
        <w:t>used to comprehensively measure market co</w:t>
      </w:r>
      <w:r w:rsidR="009A65EF">
        <w:rPr>
          <w:rFonts w:ascii="Times New Roman" w:hAnsi="Times New Roman" w:cs="Times New Roman"/>
          <w:sz w:val="24"/>
          <w:szCs w:val="24"/>
        </w:rPr>
        <w:t>ncentration</w:t>
      </w:r>
      <w:r>
        <w:rPr>
          <w:rFonts w:ascii="Times New Roman" w:hAnsi="Times New Roman" w:cs="Times New Roman"/>
          <w:sz w:val="24"/>
          <w:szCs w:val="24"/>
        </w:rPr>
        <w:t xml:space="preserve">, the HHI is </w:t>
      </w:r>
      <w:r w:rsidR="009A65EF">
        <w:rPr>
          <w:rFonts w:ascii="Times New Roman" w:hAnsi="Times New Roman" w:cs="Times New Roman"/>
          <w:sz w:val="24"/>
          <w:szCs w:val="24"/>
        </w:rPr>
        <w:t>widely accepted as a</w:t>
      </w:r>
      <w:r w:rsidR="00E4784D">
        <w:rPr>
          <w:rFonts w:ascii="Times New Roman" w:hAnsi="Times New Roman" w:cs="Times New Roman"/>
          <w:sz w:val="24"/>
          <w:szCs w:val="24"/>
        </w:rPr>
        <w:t xml:space="preserve"> good measure </w:t>
      </w:r>
      <w:r w:rsidR="009A65EF">
        <w:rPr>
          <w:rFonts w:ascii="Times New Roman" w:hAnsi="Times New Roman" w:cs="Times New Roman"/>
          <w:sz w:val="24"/>
          <w:szCs w:val="24"/>
        </w:rPr>
        <w:t>of market concentration.</w:t>
      </w:r>
      <w:r w:rsidR="009E7453">
        <w:rPr>
          <w:rFonts w:ascii="Times New Roman" w:hAnsi="Times New Roman" w:cs="Times New Roman"/>
          <w:sz w:val="24"/>
          <w:szCs w:val="24"/>
        </w:rPr>
        <w:t xml:space="preserve"> </w:t>
      </w:r>
    </w:p>
    <w:p w14:paraId="00846CF8" w14:textId="28250899" w:rsidR="00E1408B" w:rsidRPr="00B47C95" w:rsidRDefault="00E1408B" w:rsidP="00E1408B">
      <w:pPr>
        <w:pStyle w:val="Caption"/>
        <w:keepNext/>
        <w:spacing w:after="0"/>
        <w:rPr>
          <w:i/>
          <w:sz w:val="24"/>
          <w:szCs w:val="24"/>
        </w:rPr>
      </w:pPr>
      <w:bookmarkStart w:id="35" w:name="_Toc136872337"/>
      <w:r w:rsidRPr="00B47C95">
        <w:rPr>
          <w:i/>
          <w:sz w:val="24"/>
          <w:szCs w:val="24"/>
        </w:rPr>
        <w:lastRenderedPageBreak/>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13</w:t>
      </w:r>
      <w:r w:rsidR="004858CE" w:rsidRPr="00B47C95">
        <w:rPr>
          <w:i/>
          <w:noProof/>
          <w:sz w:val="24"/>
          <w:szCs w:val="24"/>
        </w:rPr>
        <w:fldChar w:fldCharType="end"/>
      </w:r>
      <w:r w:rsidRPr="00B47C95">
        <w:rPr>
          <w:i/>
          <w:sz w:val="24"/>
          <w:szCs w:val="24"/>
        </w:rPr>
        <w:t>: HHI for BIDECs All Products Market</w:t>
      </w:r>
      <w:bookmarkEnd w:id="35"/>
    </w:p>
    <w:p w14:paraId="68570799" w14:textId="48268C4C" w:rsidR="00535FE5" w:rsidRDefault="00535FE5" w:rsidP="009122D4">
      <w:pPr>
        <w:spacing w:after="0" w:line="360" w:lineRule="auto"/>
        <w:rPr>
          <w:highlight w:val="yellow"/>
        </w:rPr>
      </w:pPr>
      <w:r>
        <w:rPr>
          <w:noProof/>
          <w:lang w:val="en-US"/>
        </w:rPr>
        <w:drawing>
          <wp:inline distT="0" distB="0" distL="0" distR="0" wp14:anchorId="63C7412A" wp14:editId="56E5C939">
            <wp:extent cx="4590661" cy="2817845"/>
            <wp:effectExtent l="0" t="0" r="635" b="1905"/>
            <wp:docPr id="1718995321" name="Chart 1">
              <a:extLst xmlns:a="http://schemas.openxmlformats.org/drawingml/2006/main">
                <a:ext uri="{FF2B5EF4-FFF2-40B4-BE49-F238E27FC236}">
                  <a16:creationId xmlns:a16="http://schemas.microsoft.com/office/drawing/2014/main" id="{80A7BF0D-9B43-4B9F-3C7C-934F8B7DB2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06EB05" w14:textId="78A03FF0" w:rsidR="0043247C" w:rsidRPr="00B47C95" w:rsidRDefault="009122D4" w:rsidP="00B47C95">
      <w:pPr>
        <w:spacing w:before="0" w:after="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Source: Author’s construct from ERDM</w:t>
      </w:r>
    </w:p>
    <w:p w14:paraId="105B03C2" w14:textId="3A02FBF1" w:rsidR="00CB632D" w:rsidRPr="005357B0" w:rsidRDefault="0017110B" w:rsidP="00CB632D">
      <w:pPr>
        <w:pStyle w:val="Heading2"/>
        <w:rPr>
          <w:rFonts w:ascii="Times New Roman" w:hAnsi="Times New Roman" w:cs="Times New Roman"/>
          <w:sz w:val="24"/>
          <w:szCs w:val="24"/>
        </w:rPr>
      </w:pPr>
      <w:bookmarkStart w:id="36" w:name="_Toc141440552"/>
      <w:r>
        <w:rPr>
          <w:rFonts w:ascii="Times New Roman" w:hAnsi="Times New Roman" w:cs="Times New Roman"/>
          <w:sz w:val="24"/>
          <w:szCs w:val="24"/>
        </w:rPr>
        <w:t>4</w:t>
      </w:r>
      <w:r w:rsidR="00CB632D" w:rsidRPr="005357B0">
        <w:rPr>
          <w:rFonts w:ascii="Times New Roman" w:hAnsi="Times New Roman" w:cs="Times New Roman"/>
          <w:sz w:val="24"/>
          <w:szCs w:val="24"/>
        </w:rPr>
        <w:t xml:space="preserve">.2 OMC/LPGMC Market </w:t>
      </w:r>
      <w:r w:rsidR="00CB632D">
        <w:rPr>
          <w:rFonts w:ascii="Times New Roman" w:hAnsi="Times New Roman" w:cs="Times New Roman"/>
          <w:sz w:val="24"/>
          <w:szCs w:val="24"/>
        </w:rPr>
        <w:t>Performance</w:t>
      </w:r>
      <w:bookmarkEnd w:id="36"/>
    </w:p>
    <w:p w14:paraId="0EABE426" w14:textId="7E015EAA" w:rsidR="00CB632D" w:rsidRDefault="00B3775A" w:rsidP="00CB632D">
      <w:pPr>
        <w:jc w:val="both"/>
        <w:rPr>
          <w:rFonts w:ascii="Times New Roman" w:hAnsi="Times New Roman" w:cs="Times New Roman"/>
          <w:noProof/>
          <w:sz w:val="24"/>
          <w:szCs w:val="24"/>
        </w:rPr>
      </w:pPr>
      <w:r>
        <w:rPr>
          <w:rFonts w:ascii="Times New Roman" w:hAnsi="Times New Roman" w:cs="Times New Roman"/>
          <w:noProof/>
          <w:sz w:val="24"/>
          <w:szCs w:val="24"/>
        </w:rPr>
        <w:t>One hundred and fifty (</w:t>
      </w:r>
      <w:r w:rsidR="00CB632D">
        <w:rPr>
          <w:rFonts w:ascii="Times New Roman" w:hAnsi="Times New Roman" w:cs="Times New Roman"/>
          <w:noProof/>
          <w:sz w:val="24"/>
          <w:szCs w:val="24"/>
        </w:rPr>
        <w:t>150</w:t>
      </w:r>
      <w:r>
        <w:rPr>
          <w:rFonts w:ascii="Times New Roman" w:hAnsi="Times New Roman" w:cs="Times New Roman"/>
          <w:noProof/>
          <w:sz w:val="24"/>
          <w:szCs w:val="24"/>
        </w:rPr>
        <w:t>)</w:t>
      </w:r>
      <w:r w:rsidR="00CB632D" w:rsidRPr="005A4C88">
        <w:rPr>
          <w:rFonts w:ascii="Times New Roman" w:hAnsi="Times New Roman" w:cs="Times New Roman"/>
          <w:noProof/>
          <w:sz w:val="24"/>
          <w:szCs w:val="24"/>
        </w:rPr>
        <w:t xml:space="preserve"> out of </w:t>
      </w:r>
      <w:r w:rsidR="00363366">
        <w:rPr>
          <w:rFonts w:ascii="Times New Roman" w:hAnsi="Times New Roman" w:cs="Times New Roman"/>
          <w:noProof/>
          <w:sz w:val="24"/>
          <w:szCs w:val="24"/>
        </w:rPr>
        <w:t xml:space="preserve">the </w:t>
      </w:r>
      <w:r w:rsidR="00CB632D">
        <w:rPr>
          <w:rFonts w:ascii="Times New Roman" w:hAnsi="Times New Roman" w:cs="Times New Roman"/>
          <w:noProof/>
          <w:sz w:val="24"/>
          <w:szCs w:val="24"/>
        </w:rPr>
        <w:t>197</w:t>
      </w:r>
      <w:r w:rsidR="00CB632D" w:rsidRPr="005A4C88">
        <w:rPr>
          <w:rFonts w:ascii="Times New Roman" w:hAnsi="Times New Roman" w:cs="Times New Roman"/>
          <w:noProof/>
          <w:sz w:val="24"/>
          <w:szCs w:val="24"/>
        </w:rPr>
        <w:t xml:space="preserve"> </w:t>
      </w:r>
      <w:r w:rsidR="00CB632D">
        <w:rPr>
          <w:rFonts w:ascii="Times New Roman" w:hAnsi="Times New Roman" w:cs="Times New Roman"/>
          <w:noProof/>
          <w:sz w:val="24"/>
          <w:szCs w:val="24"/>
        </w:rPr>
        <w:t xml:space="preserve">OMC/LPGMCs marketed and retailed </w:t>
      </w:r>
      <w:r w:rsidR="00CB632D" w:rsidRPr="005A4C88">
        <w:rPr>
          <w:rFonts w:ascii="Times New Roman" w:hAnsi="Times New Roman" w:cs="Times New Roman"/>
          <w:noProof/>
          <w:sz w:val="24"/>
          <w:szCs w:val="24"/>
        </w:rPr>
        <w:t xml:space="preserve">1,063,108 mt of refined petroleum products in Q1-2023, compared to </w:t>
      </w:r>
      <w:r w:rsidR="00CB632D">
        <w:rPr>
          <w:rFonts w:ascii="Times New Roman" w:hAnsi="Times New Roman" w:cs="Times New Roman"/>
          <w:noProof/>
          <w:sz w:val="24"/>
          <w:szCs w:val="24"/>
        </w:rPr>
        <w:t>1</w:t>
      </w:r>
      <w:r w:rsidR="00CB632D" w:rsidRPr="005A4C88">
        <w:rPr>
          <w:rFonts w:ascii="Times New Roman" w:hAnsi="Times New Roman" w:cs="Times New Roman"/>
          <w:noProof/>
          <w:sz w:val="24"/>
          <w:szCs w:val="24"/>
        </w:rPr>
        <w:t>4</w:t>
      </w:r>
      <w:r w:rsidR="00CB632D">
        <w:rPr>
          <w:rFonts w:ascii="Times New Roman" w:hAnsi="Times New Roman" w:cs="Times New Roman"/>
          <w:noProof/>
          <w:sz w:val="24"/>
          <w:szCs w:val="24"/>
        </w:rPr>
        <w:t>2</w:t>
      </w:r>
      <w:r w:rsidR="00CB632D" w:rsidRPr="005A4C88">
        <w:rPr>
          <w:rFonts w:ascii="Times New Roman" w:hAnsi="Times New Roman" w:cs="Times New Roman"/>
          <w:noProof/>
          <w:sz w:val="24"/>
          <w:szCs w:val="24"/>
        </w:rPr>
        <w:t xml:space="preserve"> </w:t>
      </w:r>
      <w:r w:rsidR="00CB632D">
        <w:rPr>
          <w:rFonts w:ascii="Times New Roman" w:hAnsi="Times New Roman" w:cs="Times New Roman"/>
          <w:noProof/>
          <w:sz w:val="24"/>
          <w:szCs w:val="24"/>
        </w:rPr>
        <w:t xml:space="preserve">marketing </w:t>
      </w:r>
      <w:r w:rsidR="00CB632D" w:rsidRPr="005A4C88">
        <w:rPr>
          <w:rFonts w:ascii="Times New Roman" w:hAnsi="Times New Roman" w:cs="Times New Roman"/>
          <w:noProof/>
          <w:sz w:val="24"/>
          <w:szCs w:val="24"/>
        </w:rPr>
        <w:t xml:space="preserve">994,288 mt in Q4-2022. </w:t>
      </w:r>
      <w:r w:rsidR="00CB632D">
        <w:rPr>
          <w:rFonts w:ascii="Times New Roman" w:hAnsi="Times New Roman" w:cs="Times New Roman"/>
          <w:noProof/>
          <w:sz w:val="24"/>
          <w:szCs w:val="24"/>
        </w:rPr>
        <w:t>Goil Plc continue to dominate the marketing and retailing market, selling more than double the second largest marketer Vivo Energy. Star Oil was the biggest gainer of the top 20, increasing its market share by more than 1%, and moving from the number 5 position to number 3 in Q1 2023. Goil Plc, although the market leader, lost the most grounds, shedding off 1.8% of its market compared to the previous quarter. Eleven of the top 20 OMCs lost market shares, while nine gained shares for the period under review</w:t>
      </w:r>
      <w:r w:rsidR="00124E89">
        <w:rPr>
          <w:rFonts w:ascii="Times New Roman" w:hAnsi="Times New Roman" w:cs="Times New Roman"/>
          <w:noProof/>
          <w:sz w:val="24"/>
          <w:szCs w:val="24"/>
        </w:rPr>
        <w:t xml:space="preserve"> (see figure 1</w:t>
      </w:r>
      <w:r w:rsidR="008A0B8C">
        <w:rPr>
          <w:rFonts w:ascii="Times New Roman" w:hAnsi="Times New Roman" w:cs="Times New Roman"/>
          <w:noProof/>
          <w:sz w:val="24"/>
          <w:szCs w:val="24"/>
        </w:rPr>
        <w:t>4</w:t>
      </w:r>
      <w:r w:rsidR="00124E89">
        <w:rPr>
          <w:rFonts w:ascii="Times New Roman" w:hAnsi="Times New Roman" w:cs="Times New Roman"/>
          <w:noProof/>
          <w:sz w:val="24"/>
          <w:szCs w:val="24"/>
        </w:rPr>
        <w:t>)</w:t>
      </w:r>
      <w:r w:rsidR="00CB632D">
        <w:rPr>
          <w:rFonts w:ascii="Times New Roman" w:hAnsi="Times New Roman" w:cs="Times New Roman"/>
          <w:noProof/>
          <w:sz w:val="24"/>
          <w:szCs w:val="24"/>
        </w:rPr>
        <w:t xml:space="preserve">. R&amp;P Oil and Maxx Energy exited the top </w:t>
      </w:r>
      <w:r w:rsidR="00CB632D">
        <w:rPr>
          <w:rFonts w:ascii="Times New Roman" w:hAnsi="Times New Roman" w:cs="Times New Roman"/>
          <w:noProof/>
          <w:sz w:val="24"/>
          <w:szCs w:val="24"/>
        </w:rPr>
        <w:t xml:space="preserve">20 marketers and </w:t>
      </w:r>
      <w:r w:rsidR="00363366">
        <w:rPr>
          <w:rFonts w:ascii="Times New Roman" w:hAnsi="Times New Roman" w:cs="Times New Roman"/>
          <w:noProof/>
          <w:sz w:val="24"/>
          <w:szCs w:val="24"/>
        </w:rPr>
        <w:t xml:space="preserve">were </w:t>
      </w:r>
      <w:r w:rsidR="00CB632D">
        <w:rPr>
          <w:rFonts w:ascii="Times New Roman" w:hAnsi="Times New Roman" w:cs="Times New Roman"/>
          <w:noProof/>
          <w:sz w:val="24"/>
          <w:szCs w:val="24"/>
        </w:rPr>
        <w:t>replaced by Frontier and Naagam</w:t>
      </w:r>
      <w:r w:rsidR="00DC18E9">
        <w:rPr>
          <w:rFonts w:ascii="Times New Roman" w:hAnsi="Times New Roman" w:cs="Times New Roman"/>
          <w:noProof/>
          <w:sz w:val="24"/>
          <w:szCs w:val="24"/>
        </w:rPr>
        <w:t>n</w:t>
      </w:r>
      <w:r w:rsidR="00CB632D">
        <w:rPr>
          <w:rFonts w:ascii="Times New Roman" w:hAnsi="Times New Roman" w:cs="Times New Roman"/>
          <w:noProof/>
          <w:sz w:val="24"/>
          <w:szCs w:val="24"/>
        </w:rPr>
        <w:t xml:space="preserve">i. </w:t>
      </w:r>
      <w:r w:rsidR="00CB632D" w:rsidRPr="005A4C88">
        <w:rPr>
          <w:rFonts w:ascii="Times New Roman" w:hAnsi="Times New Roman" w:cs="Times New Roman"/>
          <w:noProof/>
          <w:sz w:val="24"/>
          <w:szCs w:val="24"/>
        </w:rPr>
        <w:t xml:space="preserve">The top 20 </w:t>
      </w:r>
      <w:r w:rsidR="00CB632D">
        <w:rPr>
          <w:rFonts w:ascii="Times New Roman" w:hAnsi="Times New Roman" w:cs="Times New Roman"/>
          <w:noProof/>
          <w:sz w:val="24"/>
          <w:szCs w:val="24"/>
        </w:rPr>
        <w:t>OMCs marketed and retailed 77.5% of refined petroleum products for the period under review. By products, Goil Plc marketed and retailed more gasoline, gasoil, and LPG than the other OMCs. Star Oil displaced Vivo to become the second highest marketer of gasoline, as well as displacing TotalEnergies to number 3 market</w:t>
      </w:r>
      <w:r w:rsidR="00363366">
        <w:rPr>
          <w:rFonts w:ascii="Times New Roman" w:hAnsi="Times New Roman" w:cs="Times New Roman"/>
          <w:noProof/>
          <w:sz w:val="24"/>
          <w:szCs w:val="24"/>
        </w:rPr>
        <w:t>er</w:t>
      </w:r>
      <w:r w:rsidR="00CB632D">
        <w:rPr>
          <w:rFonts w:ascii="Times New Roman" w:hAnsi="Times New Roman" w:cs="Times New Roman"/>
          <w:noProof/>
          <w:sz w:val="24"/>
          <w:szCs w:val="24"/>
        </w:rPr>
        <w:t xml:space="preserve"> of gasoil for the period under review.</w:t>
      </w:r>
    </w:p>
    <w:p w14:paraId="29F0674B" w14:textId="64763126" w:rsidR="001F3375" w:rsidRPr="00B47C95" w:rsidRDefault="001F3375" w:rsidP="001F3375">
      <w:pPr>
        <w:pStyle w:val="Caption"/>
        <w:keepNext/>
        <w:spacing w:after="0"/>
        <w:jc w:val="both"/>
        <w:rPr>
          <w:i/>
          <w:sz w:val="24"/>
          <w:szCs w:val="24"/>
        </w:rPr>
      </w:pPr>
      <w:bookmarkStart w:id="37" w:name="_Toc136872338"/>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14</w:t>
      </w:r>
      <w:r w:rsidR="004858CE" w:rsidRPr="00B47C95">
        <w:rPr>
          <w:i/>
          <w:noProof/>
          <w:sz w:val="24"/>
          <w:szCs w:val="24"/>
        </w:rPr>
        <w:fldChar w:fldCharType="end"/>
      </w:r>
      <w:r w:rsidRPr="00B47C95">
        <w:rPr>
          <w:i/>
          <w:sz w:val="24"/>
          <w:szCs w:val="24"/>
        </w:rPr>
        <w:t>: Top 20 OMC Market Share (%)</w:t>
      </w:r>
      <w:bookmarkEnd w:id="37"/>
    </w:p>
    <w:p w14:paraId="2DE13FE8" w14:textId="17A933E0" w:rsidR="00CB632D" w:rsidRPr="00FB74D8" w:rsidRDefault="00CB632D" w:rsidP="00B47C95">
      <w:pPr>
        <w:spacing w:before="0" w:after="0"/>
        <w:jc w:val="both"/>
        <w:rPr>
          <w:rFonts w:ascii="Times New Roman" w:hAnsi="Times New Roman" w:cs="Times New Roman"/>
          <w:noProof/>
          <w:sz w:val="24"/>
          <w:szCs w:val="24"/>
        </w:rPr>
      </w:pPr>
      <w:r>
        <w:rPr>
          <w:noProof/>
          <w:lang w:val="en-US"/>
        </w:rPr>
        <w:drawing>
          <wp:inline distT="0" distB="0" distL="0" distR="0" wp14:anchorId="065CF77A" wp14:editId="3C27FF7C">
            <wp:extent cx="4786604" cy="2304661"/>
            <wp:effectExtent l="0" t="0" r="14605" b="635"/>
            <wp:docPr id="2078935285" name="Chart 1">
              <a:extLst xmlns:a="http://schemas.openxmlformats.org/drawingml/2006/main">
                <a:ext uri="{FF2B5EF4-FFF2-40B4-BE49-F238E27FC236}">
                  <a16:creationId xmlns:a16="http://schemas.microsoft.com/office/drawing/2014/main" id="{161236A1-4D31-3FD8-C131-C469C98D9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B5D9DD" w14:textId="77777777" w:rsidR="00B85F3D" w:rsidRPr="00B47C95" w:rsidRDefault="00B85F3D" w:rsidP="00B47C95">
      <w:pPr>
        <w:spacing w:before="0" w:after="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Source: NPA ERDMS</w:t>
      </w:r>
    </w:p>
    <w:p w14:paraId="4F6971B4" w14:textId="57B0DA6F" w:rsidR="00895DF3" w:rsidRPr="005357B0" w:rsidRDefault="00895DF3" w:rsidP="00895DF3">
      <w:pPr>
        <w:pStyle w:val="Heading2"/>
        <w:rPr>
          <w:rFonts w:ascii="Times New Roman" w:hAnsi="Times New Roman" w:cs="Times New Roman"/>
          <w:sz w:val="24"/>
          <w:szCs w:val="24"/>
        </w:rPr>
      </w:pPr>
      <w:bookmarkStart w:id="38" w:name="_Toc141440553"/>
      <w:r>
        <w:rPr>
          <w:rFonts w:ascii="Times New Roman" w:hAnsi="Times New Roman" w:cs="Times New Roman"/>
          <w:sz w:val="24"/>
          <w:szCs w:val="24"/>
        </w:rPr>
        <w:t>4</w:t>
      </w:r>
      <w:r w:rsidRPr="005357B0">
        <w:rPr>
          <w:rFonts w:ascii="Times New Roman" w:hAnsi="Times New Roman" w:cs="Times New Roman"/>
          <w:sz w:val="24"/>
          <w:szCs w:val="24"/>
        </w:rPr>
        <w:t>.2</w:t>
      </w:r>
      <w:r>
        <w:rPr>
          <w:rFonts w:ascii="Times New Roman" w:hAnsi="Times New Roman" w:cs="Times New Roman"/>
          <w:sz w:val="24"/>
          <w:szCs w:val="24"/>
        </w:rPr>
        <w:t>.1</w:t>
      </w:r>
      <w:r w:rsidRPr="005357B0">
        <w:rPr>
          <w:rFonts w:ascii="Times New Roman" w:hAnsi="Times New Roman" w:cs="Times New Roman"/>
          <w:sz w:val="24"/>
          <w:szCs w:val="24"/>
        </w:rPr>
        <w:t xml:space="preserve"> OMC/LPGMC Market </w:t>
      </w:r>
      <w:r>
        <w:rPr>
          <w:rFonts w:ascii="Times New Roman" w:hAnsi="Times New Roman" w:cs="Times New Roman"/>
          <w:sz w:val="24"/>
          <w:szCs w:val="24"/>
        </w:rPr>
        <w:t>Competition</w:t>
      </w:r>
      <w:bookmarkEnd w:id="38"/>
    </w:p>
    <w:p w14:paraId="6D864DD6" w14:textId="1143154A" w:rsidR="00895DF3" w:rsidRDefault="00895DF3" w:rsidP="00895DF3">
      <w:pPr>
        <w:jc w:val="both"/>
        <w:rPr>
          <w:rFonts w:ascii="Times New Roman" w:hAnsi="Times New Roman" w:cs="Times New Roman"/>
          <w:sz w:val="24"/>
          <w:szCs w:val="24"/>
        </w:rPr>
      </w:pPr>
      <w:r>
        <w:rPr>
          <w:rFonts w:ascii="Times New Roman" w:hAnsi="Times New Roman" w:cs="Times New Roman"/>
          <w:sz w:val="24"/>
          <w:szCs w:val="24"/>
        </w:rPr>
        <w:t>T</w:t>
      </w:r>
      <w:r w:rsidRPr="00D417FC">
        <w:rPr>
          <w:rFonts w:ascii="Times New Roman" w:hAnsi="Times New Roman" w:cs="Times New Roman"/>
          <w:sz w:val="24"/>
          <w:szCs w:val="24"/>
        </w:rPr>
        <w:t>he Herfindahl-Hirschman Index (HHI)</w:t>
      </w:r>
      <w:r>
        <w:rPr>
          <w:rFonts w:ascii="Times New Roman" w:hAnsi="Times New Roman" w:cs="Times New Roman"/>
          <w:sz w:val="24"/>
          <w:szCs w:val="24"/>
        </w:rPr>
        <w:t xml:space="preserve"> for the OMC/LPGMC market</w:t>
      </w:r>
      <w:r w:rsidRPr="00E05990">
        <w:rPr>
          <w:rFonts w:ascii="Times New Roman" w:hAnsi="Times New Roman" w:cs="Times New Roman"/>
          <w:sz w:val="24"/>
          <w:szCs w:val="24"/>
        </w:rPr>
        <w:t xml:space="preserve"> </w:t>
      </w:r>
      <w:r>
        <w:rPr>
          <w:rFonts w:ascii="Times New Roman" w:hAnsi="Times New Roman" w:cs="Times New Roman"/>
          <w:sz w:val="24"/>
          <w:szCs w:val="24"/>
        </w:rPr>
        <w:t xml:space="preserve">for all refined petroleum </w:t>
      </w:r>
      <w:r w:rsidRPr="00D926B4">
        <w:rPr>
          <w:rFonts w:ascii="Times New Roman" w:hAnsi="Times New Roman" w:cs="Times New Roman"/>
          <w:sz w:val="24"/>
          <w:szCs w:val="24"/>
        </w:rPr>
        <w:t>products in Q1 2023 revealed a c</w:t>
      </w:r>
      <w:r w:rsidR="00D80DB7" w:rsidRPr="0096616C">
        <w:rPr>
          <w:rFonts w:ascii="Times New Roman" w:hAnsi="Times New Roman" w:cs="Times New Roman"/>
          <w:sz w:val="24"/>
          <w:szCs w:val="24"/>
        </w:rPr>
        <w:t>oncentrat</w:t>
      </w:r>
      <w:r w:rsidR="009A65EF">
        <w:rPr>
          <w:rFonts w:ascii="Times New Roman" w:hAnsi="Times New Roman" w:cs="Times New Roman"/>
          <w:sz w:val="24"/>
          <w:szCs w:val="24"/>
        </w:rPr>
        <w:t>ed</w:t>
      </w:r>
      <w:r w:rsidR="00D80DB7" w:rsidRPr="0096616C">
        <w:rPr>
          <w:rFonts w:ascii="Times New Roman" w:hAnsi="Times New Roman" w:cs="Times New Roman"/>
          <w:sz w:val="24"/>
          <w:szCs w:val="24"/>
        </w:rPr>
        <w:t xml:space="preserve"> </w:t>
      </w:r>
      <w:r w:rsidRPr="00D926B4">
        <w:rPr>
          <w:rFonts w:ascii="Times New Roman" w:hAnsi="Times New Roman" w:cs="Times New Roman"/>
          <w:sz w:val="24"/>
          <w:szCs w:val="24"/>
        </w:rPr>
        <w:t>market with a score of 671</w:t>
      </w:r>
      <w:r w:rsidR="000632DA" w:rsidRPr="00D926B4">
        <w:rPr>
          <w:rFonts w:ascii="Times New Roman" w:hAnsi="Times New Roman" w:cs="Times New Roman"/>
          <w:sz w:val="24"/>
          <w:szCs w:val="24"/>
        </w:rPr>
        <w:t xml:space="preserve"> (see figure 15)</w:t>
      </w:r>
      <w:r w:rsidRPr="00D926B4">
        <w:rPr>
          <w:rFonts w:ascii="Times New Roman" w:hAnsi="Times New Roman" w:cs="Times New Roman"/>
          <w:sz w:val="24"/>
          <w:szCs w:val="24"/>
        </w:rPr>
        <w:t>. This score compares favourably to the previous quarter’s score of 742</w:t>
      </w:r>
      <w:r w:rsidR="009A65EF">
        <w:rPr>
          <w:rFonts w:ascii="Times New Roman" w:hAnsi="Times New Roman" w:cs="Times New Roman"/>
          <w:sz w:val="24"/>
          <w:szCs w:val="24"/>
        </w:rPr>
        <w:t>.</w:t>
      </w:r>
      <w:r w:rsidRPr="00D926B4">
        <w:rPr>
          <w:rFonts w:ascii="Times New Roman" w:hAnsi="Times New Roman" w:cs="Times New Roman"/>
          <w:sz w:val="24"/>
          <w:szCs w:val="24"/>
        </w:rPr>
        <w:t xml:space="preserve"> By products, the LPG market was more competitive than the diesel and petrol markets, with a score of 386, followed by diesel with 671, and petrol with 901.</w:t>
      </w:r>
    </w:p>
    <w:p w14:paraId="7AA227BC" w14:textId="0FACD057" w:rsidR="001F3375" w:rsidRPr="00B47C95" w:rsidRDefault="001F3375" w:rsidP="001F3375">
      <w:pPr>
        <w:pStyle w:val="Caption"/>
        <w:keepNext/>
        <w:spacing w:after="0"/>
        <w:jc w:val="both"/>
        <w:rPr>
          <w:i/>
          <w:sz w:val="24"/>
          <w:szCs w:val="24"/>
        </w:rPr>
      </w:pPr>
      <w:bookmarkStart w:id="39" w:name="_Toc136872339"/>
      <w:r w:rsidRPr="00B47C95">
        <w:rPr>
          <w:i/>
          <w:sz w:val="24"/>
          <w:szCs w:val="24"/>
        </w:rPr>
        <w:lastRenderedPageBreak/>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15</w:t>
      </w:r>
      <w:r w:rsidR="004858CE" w:rsidRPr="00B47C95">
        <w:rPr>
          <w:i/>
          <w:noProof/>
          <w:sz w:val="24"/>
          <w:szCs w:val="24"/>
        </w:rPr>
        <w:fldChar w:fldCharType="end"/>
      </w:r>
      <w:r w:rsidRPr="00B47C95">
        <w:rPr>
          <w:i/>
          <w:sz w:val="24"/>
          <w:szCs w:val="24"/>
        </w:rPr>
        <w:t>: HHI for OMC/LPGMC All Products Market</w:t>
      </w:r>
      <w:bookmarkEnd w:id="39"/>
    </w:p>
    <w:p w14:paraId="1B1F7DF7" w14:textId="36C1E568" w:rsidR="00BF4BD2" w:rsidRDefault="008D05B9" w:rsidP="00B47C95">
      <w:pPr>
        <w:jc w:val="both"/>
      </w:pPr>
      <w:r>
        <w:rPr>
          <w:noProof/>
          <w:lang w:val="en-US"/>
        </w:rPr>
        <w:drawing>
          <wp:inline distT="0" distB="0" distL="0" distR="0" wp14:anchorId="5F51EFAB" wp14:editId="4CA2C2FF">
            <wp:extent cx="4619625" cy="2619375"/>
            <wp:effectExtent l="0" t="0" r="9525" b="9525"/>
            <wp:docPr id="1003719966" name="Chart 1">
              <a:extLst xmlns:a="http://schemas.openxmlformats.org/drawingml/2006/main">
                <a:ext uri="{FF2B5EF4-FFF2-40B4-BE49-F238E27FC236}">
                  <a16:creationId xmlns:a16="http://schemas.microsoft.com/office/drawing/2014/main" id="{2401E0F9-06D2-18CC-ABE9-C3E1929459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F3233CD" w14:textId="43331326" w:rsidR="00CB632D" w:rsidRPr="00BC03AA" w:rsidRDefault="0017110B" w:rsidP="00CB632D">
      <w:pPr>
        <w:pStyle w:val="Heading2"/>
        <w:rPr>
          <w:rFonts w:ascii="Times New Roman" w:hAnsi="Times New Roman" w:cs="Times New Roman"/>
          <w:sz w:val="24"/>
          <w:szCs w:val="24"/>
        </w:rPr>
      </w:pPr>
      <w:bookmarkStart w:id="40" w:name="_Toc141440554"/>
      <w:r>
        <w:rPr>
          <w:rFonts w:ascii="Times New Roman" w:hAnsi="Times New Roman" w:cs="Times New Roman"/>
          <w:sz w:val="24"/>
          <w:szCs w:val="24"/>
        </w:rPr>
        <w:t>4</w:t>
      </w:r>
      <w:r w:rsidR="00CB632D" w:rsidRPr="00BC03AA">
        <w:rPr>
          <w:rFonts w:ascii="Times New Roman" w:hAnsi="Times New Roman" w:cs="Times New Roman"/>
          <w:sz w:val="24"/>
          <w:szCs w:val="24"/>
        </w:rPr>
        <w:t xml:space="preserve">.3 </w:t>
      </w:r>
      <w:r w:rsidR="00CB632D">
        <w:rPr>
          <w:rFonts w:ascii="Times New Roman" w:hAnsi="Times New Roman" w:cs="Times New Roman"/>
          <w:sz w:val="24"/>
          <w:szCs w:val="24"/>
        </w:rPr>
        <w:t xml:space="preserve">Storage </w:t>
      </w:r>
      <w:r w:rsidR="00CB632D" w:rsidRPr="00BC03AA">
        <w:rPr>
          <w:rFonts w:ascii="Times New Roman" w:hAnsi="Times New Roman" w:cs="Times New Roman"/>
          <w:sz w:val="24"/>
          <w:szCs w:val="24"/>
        </w:rPr>
        <w:t xml:space="preserve">Depot </w:t>
      </w:r>
      <w:r w:rsidR="00CB632D">
        <w:rPr>
          <w:rFonts w:ascii="Times New Roman" w:hAnsi="Times New Roman" w:cs="Times New Roman"/>
          <w:sz w:val="24"/>
          <w:szCs w:val="24"/>
        </w:rPr>
        <w:t>Market Performance</w:t>
      </w:r>
      <w:bookmarkEnd w:id="40"/>
    </w:p>
    <w:p w14:paraId="23FA3B1B" w14:textId="58972F10" w:rsidR="00CB632D" w:rsidRDefault="00CB632D" w:rsidP="00CB632D">
      <w:pPr>
        <w:jc w:val="both"/>
        <w:rPr>
          <w:rFonts w:ascii="Times New Roman" w:hAnsi="Times New Roman" w:cs="Times New Roman"/>
          <w:noProof/>
          <w:sz w:val="24"/>
          <w:szCs w:val="24"/>
        </w:rPr>
      </w:pPr>
      <w:r w:rsidRPr="005A4C88">
        <w:rPr>
          <w:rFonts w:ascii="Times New Roman" w:hAnsi="Times New Roman" w:cs="Times New Roman"/>
          <w:noProof/>
          <w:sz w:val="24"/>
          <w:szCs w:val="24"/>
        </w:rPr>
        <w:t xml:space="preserve">A total of </w:t>
      </w:r>
      <w:r>
        <w:rPr>
          <w:rFonts w:ascii="Times New Roman" w:hAnsi="Times New Roman" w:cs="Times New Roman"/>
          <w:noProof/>
          <w:sz w:val="24"/>
          <w:szCs w:val="24"/>
        </w:rPr>
        <w:t xml:space="preserve">20 petroleum products storage depot throughputted </w:t>
      </w:r>
      <w:r w:rsidRPr="005A4C88">
        <w:rPr>
          <w:rFonts w:ascii="Times New Roman" w:hAnsi="Times New Roman" w:cs="Times New Roman"/>
          <w:noProof/>
          <w:sz w:val="24"/>
          <w:szCs w:val="24"/>
        </w:rPr>
        <w:t>1,063,108 mt of refined petroleum products in Q1-2023</w:t>
      </w:r>
      <w:r>
        <w:rPr>
          <w:rFonts w:ascii="Times New Roman" w:hAnsi="Times New Roman" w:cs="Times New Roman"/>
          <w:noProof/>
          <w:sz w:val="24"/>
          <w:szCs w:val="24"/>
        </w:rPr>
        <w:t>. The Chase</w:t>
      </w:r>
      <w:r w:rsidR="00D6780B">
        <w:rPr>
          <w:rFonts w:ascii="Times New Roman" w:hAnsi="Times New Roman" w:cs="Times New Roman"/>
          <w:noProof/>
          <w:sz w:val="24"/>
          <w:szCs w:val="24"/>
        </w:rPr>
        <w:t xml:space="preserve"> (TTF)</w:t>
      </w:r>
      <w:r>
        <w:rPr>
          <w:rFonts w:ascii="Times New Roman" w:hAnsi="Times New Roman" w:cs="Times New Roman"/>
          <w:noProof/>
          <w:sz w:val="24"/>
          <w:szCs w:val="24"/>
        </w:rPr>
        <w:t xml:space="preserve"> depot continued its dominance of the market with over 20% market share, although it lost 3% compared to the previous quarter. BOST-Accra Plains and Tema Multiproducts terminal were the top gainers, while Chase and BOST-Kumasi depots were the top losers for the period under review</w:t>
      </w:r>
      <w:r w:rsidR="00AF1729">
        <w:rPr>
          <w:rFonts w:ascii="Times New Roman" w:hAnsi="Times New Roman" w:cs="Times New Roman"/>
          <w:noProof/>
          <w:sz w:val="24"/>
          <w:szCs w:val="24"/>
        </w:rPr>
        <w:t xml:space="preserve"> (see figure 1</w:t>
      </w:r>
      <w:r w:rsidR="008A0B8C">
        <w:rPr>
          <w:rFonts w:ascii="Times New Roman" w:hAnsi="Times New Roman" w:cs="Times New Roman"/>
          <w:noProof/>
          <w:sz w:val="24"/>
          <w:szCs w:val="24"/>
        </w:rPr>
        <w:t>6</w:t>
      </w:r>
      <w:r w:rsidR="00AF1729">
        <w:rPr>
          <w:rFonts w:ascii="Times New Roman" w:hAnsi="Times New Roman" w:cs="Times New Roman"/>
          <w:noProof/>
          <w:sz w:val="24"/>
          <w:szCs w:val="24"/>
        </w:rPr>
        <w:t>)</w:t>
      </w:r>
      <w:r>
        <w:rPr>
          <w:rFonts w:ascii="Times New Roman" w:hAnsi="Times New Roman" w:cs="Times New Roman"/>
          <w:noProof/>
          <w:sz w:val="24"/>
          <w:szCs w:val="24"/>
        </w:rPr>
        <w:t>. By products, Chase throughput more gasoil and gasoline than any depot, Quantum Terminal-Atuabo throughput more LPG than the than any depot. The Ridge terminal throughput more ATK than any depot for the period under review.</w:t>
      </w:r>
    </w:p>
    <w:p w14:paraId="3B0D2D0E" w14:textId="5A57E907" w:rsidR="005D7B33" w:rsidRPr="00B47C95" w:rsidRDefault="005D7B33" w:rsidP="005D7B33">
      <w:pPr>
        <w:pStyle w:val="Caption"/>
        <w:keepNext/>
        <w:spacing w:after="0"/>
        <w:jc w:val="both"/>
        <w:rPr>
          <w:i/>
          <w:sz w:val="24"/>
          <w:szCs w:val="24"/>
        </w:rPr>
      </w:pPr>
      <w:bookmarkStart w:id="41" w:name="_Toc136872340"/>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16</w:t>
      </w:r>
      <w:r w:rsidR="004858CE" w:rsidRPr="00B47C95">
        <w:rPr>
          <w:i/>
          <w:noProof/>
          <w:sz w:val="24"/>
          <w:szCs w:val="24"/>
        </w:rPr>
        <w:fldChar w:fldCharType="end"/>
      </w:r>
      <w:r w:rsidRPr="00B47C95">
        <w:rPr>
          <w:i/>
          <w:sz w:val="24"/>
          <w:szCs w:val="24"/>
        </w:rPr>
        <w:t>: Storage Depot Market Share (%)</w:t>
      </w:r>
      <w:bookmarkEnd w:id="41"/>
    </w:p>
    <w:p w14:paraId="2B7B9AD7" w14:textId="478A8D24" w:rsidR="005B3E0A" w:rsidRPr="00B47C95" w:rsidRDefault="005B3E0A" w:rsidP="00B47C95">
      <w:pPr>
        <w:spacing w:before="0" w:after="0" w:line="360" w:lineRule="auto"/>
        <w:jc w:val="both"/>
        <w:rPr>
          <w:rFonts w:ascii="Times New Roman" w:hAnsi="Times New Roman" w:cs="Times New Roman"/>
          <w:i/>
          <w:color w:val="17406D" w:themeColor="text2"/>
          <w:sz w:val="22"/>
          <w:szCs w:val="24"/>
        </w:rPr>
      </w:pPr>
      <w:r w:rsidRPr="00B47C95">
        <w:rPr>
          <w:rFonts w:ascii="Times New Roman" w:hAnsi="Times New Roman" w:cs="Times New Roman"/>
          <w:i/>
          <w:noProof/>
          <w:color w:val="17406D" w:themeColor="text2"/>
          <w:sz w:val="22"/>
          <w:szCs w:val="24"/>
        </w:rPr>
        <w:drawing>
          <wp:inline distT="0" distB="0" distL="0" distR="0" wp14:anchorId="3FEFFFAD" wp14:editId="37F0DC4A">
            <wp:extent cx="4667250" cy="2562225"/>
            <wp:effectExtent l="0" t="0" r="0" b="9525"/>
            <wp:docPr id="1561007000" name="Chart 1">
              <a:extLst xmlns:a="http://schemas.openxmlformats.org/drawingml/2006/main">
                <a:ext uri="{FF2B5EF4-FFF2-40B4-BE49-F238E27FC236}">
                  <a16:creationId xmlns:a16="http://schemas.microsoft.com/office/drawing/2014/main" id="{2652CB2A-4F7C-3466-4865-5C54B80E8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B47C95">
        <w:rPr>
          <w:rFonts w:ascii="Times New Roman" w:hAnsi="Times New Roman" w:cs="Times New Roman"/>
          <w:i/>
          <w:color w:val="17406D" w:themeColor="text2"/>
          <w:sz w:val="22"/>
          <w:szCs w:val="24"/>
        </w:rPr>
        <w:t>Source: NPA ERDMS</w:t>
      </w:r>
    </w:p>
    <w:p w14:paraId="2B3DB0C7" w14:textId="77777777" w:rsidR="005B3E0A" w:rsidRDefault="005B3E0A" w:rsidP="006A7CE0">
      <w:pPr>
        <w:spacing w:after="0"/>
        <w:jc w:val="both"/>
        <w:rPr>
          <w:rFonts w:ascii="Times New Roman" w:hAnsi="Times New Roman" w:cs="Times New Roman"/>
          <w:noProof/>
          <w:sz w:val="24"/>
          <w:szCs w:val="24"/>
        </w:rPr>
      </w:pPr>
    </w:p>
    <w:p w14:paraId="70F96837" w14:textId="5F4E4586" w:rsidR="00681E07" w:rsidRPr="00BC03AA" w:rsidRDefault="00681E07" w:rsidP="00681E07">
      <w:pPr>
        <w:pStyle w:val="Heading2"/>
        <w:rPr>
          <w:rFonts w:ascii="Times New Roman" w:hAnsi="Times New Roman" w:cs="Times New Roman"/>
          <w:sz w:val="24"/>
          <w:szCs w:val="24"/>
        </w:rPr>
      </w:pPr>
      <w:bookmarkStart w:id="42" w:name="_Toc141440555"/>
      <w:r>
        <w:rPr>
          <w:rFonts w:ascii="Times New Roman" w:hAnsi="Times New Roman" w:cs="Times New Roman"/>
          <w:sz w:val="24"/>
          <w:szCs w:val="24"/>
        </w:rPr>
        <w:t>4</w:t>
      </w:r>
      <w:r w:rsidRPr="00BC03AA">
        <w:rPr>
          <w:rFonts w:ascii="Times New Roman" w:hAnsi="Times New Roman" w:cs="Times New Roman"/>
          <w:sz w:val="24"/>
          <w:szCs w:val="24"/>
        </w:rPr>
        <w:t>.3</w:t>
      </w:r>
      <w:r>
        <w:rPr>
          <w:rFonts w:ascii="Times New Roman" w:hAnsi="Times New Roman" w:cs="Times New Roman"/>
          <w:sz w:val="24"/>
          <w:szCs w:val="24"/>
        </w:rPr>
        <w:t>.1</w:t>
      </w:r>
      <w:r w:rsidRPr="00BC03AA">
        <w:rPr>
          <w:rFonts w:ascii="Times New Roman" w:hAnsi="Times New Roman" w:cs="Times New Roman"/>
          <w:sz w:val="24"/>
          <w:szCs w:val="24"/>
        </w:rPr>
        <w:t xml:space="preserve"> </w:t>
      </w:r>
      <w:r>
        <w:rPr>
          <w:rFonts w:ascii="Times New Roman" w:hAnsi="Times New Roman" w:cs="Times New Roman"/>
          <w:sz w:val="24"/>
          <w:szCs w:val="24"/>
        </w:rPr>
        <w:t xml:space="preserve">Storage </w:t>
      </w:r>
      <w:r w:rsidRPr="00BC03AA">
        <w:rPr>
          <w:rFonts w:ascii="Times New Roman" w:hAnsi="Times New Roman" w:cs="Times New Roman"/>
          <w:sz w:val="24"/>
          <w:szCs w:val="24"/>
        </w:rPr>
        <w:t xml:space="preserve">Depot </w:t>
      </w:r>
      <w:r>
        <w:rPr>
          <w:rFonts w:ascii="Times New Roman" w:hAnsi="Times New Roman" w:cs="Times New Roman"/>
          <w:sz w:val="24"/>
          <w:szCs w:val="24"/>
        </w:rPr>
        <w:t>Utilization Rate</w:t>
      </w:r>
      <w:bookmarkEnd w:id="42"/>
    </w:p>
    <w:p w14:paraId="65A536F0" w14:textId="5B7E2FA4" w:rsidR="00895DF3" w:rsidRDefault="00895DF3" w:rsidP="00895DF3">
      <w:pPr>
        <w:jc w:val="both"/>
        <w:rPr>
          <w:rFonts w:ascii="Times New Roman" w:hAnsi="Times New Roman" w:cs="Times New Roman"/>
          <w:noProof/>
          <w:sz w:val="24"/>
          <w:szCs w:val="24"/>
        </w:rPr>
      </w:pPr>
      <w:r>
        <w:rPr>
          <w:rFonts w:ascii="Times New Roman" w:hAnsi="Times New Roman" w:cs="Times New Roman"/>
          <w:noProof/>
          <w:sz w:val="24"/>
          <w:szCs w:val="24"/>
        </w:rPr>
        <w:t xml:space="preserve">Storage depots utilization </w:t>
      </w:r>
      <w:r w:rsidR="002F32A3">
        <w:rPr>
          <w:rStyle w:val="FootnoteReference"/>
          <w:rFonts w:ascii="Times New Roman" w:hAnsi="Times New Roman" w:cs="Times New Roman"/>
          <w:noProof/>
          <w:sz w:val="24"/>
          <w:szCs w:val="24"/>
        </w:rPr>
        <w:footnoteReference w:id="2"/>
      </w:r>
      <w:r>
        <w:rPr>
          <w:rFonts w:ascii="Times New Roman" w:hAnsi="Times New Roman" w:cs="Times New Roman"/>
          <w:noProof/>
          <w:sz w:val="24"/>
          <w:szCs w:val="24"/>
        </w:rPr>
        <w:t>rates for refined petroleum products was estimated at 28% of available capacity per month, underscoring an over capacity of refined petroleum products storage depots in the country. Compared to the previous quarter, utilization rate increased by 2%, mainly due to the 7% increase in consumption of refined petroleum products, as well as the 10% increase in export during the period under review. By products, LPG depots were the highest utilized at over 80%,</w:t>
      </w:r>
      <w:r w:rsidR="0096616C">
        <w:rPr>
          <w:rStyle w:val="FootnoteReference"/>
          <w:rFonts w:ascii="Times New Roman" w:hAnsi="Times New Roman" w:cs="Times New Roman"/>
          <w:noProof/>
          <w:sz w:val="24"/>
          <w:szCs w:val="24"/>
        </w:rPr>
        <w:footnoteReference w:id="3"/>
      </w:r>
      <w:r>
        <w:rPr>
          <w:rFonts w:ascii="Times New Roman" w:hAnsi="Times New Roman" w:cs="Times New Roman"/>
          <w:noProof/>
          <w:sz w:val="24"/>
          <w:szCs w:val="24"/>
        </w:rPr>
        <w:t xml:space="preserve"> followed by Premix at over 60%, while </w:t>
      </w:r>
      <w:r>
        <w:rPr>
          <w:rFonts w:ascii="Times New Roman" w:hAnsi="Times New Roman" w:cs="Times New Roman"/>
          <w:noProof/>
          <w:sz w:val="24"/>
          <w:szCs w:val="24"/>
        </w:rPr>
        <w:lastRenderedPageBreak/>
        <w:t>naphtha storage depots were the least utilized. A third of gasoline (petrol) storage capacity was utilized while a fifth of gasoil (diesel) capacity was utilized for the period under review (see figure 1</w:t>
      </w:r>
      <w:r w:rsidR="008A0B8C">
        <w:rPr>
          <w:rFonts w:ascii="Times New Roman" w:hAnsi="Times New Roman" w:cs="Times New Roman"/>
          <w:noProof/>
          <w:sz w:val="24"/>
          <w:szCs w:val="24"/>
        </w:rPr>
        <w:t>7</w:t>
      </w:r>
      <w:r>
        <w:rPr>
          <w:rFonts w:ascii="Times New Roman" w:hAnsi="Times New Roman" w:cs="Times New Roman"/>
          <w:noProof/>
          <w:sz w:val="24"/>
          <w:szCs w:val="24"/>
        </w:rPr>
        <w:t>).</w:t>
      </w:r>
    </w:p>
    <w:p w14:paraId="4BC08B67" w14:textId="70A1C3BD" w:rsidR="005D7B33" w:rsidRPr="00B47C95" w:rsidRDefault="005D7B33" w:rsidP="005D7B33">
      <w:pPr>
        <w:pStyle w:val="Caption"/>
        <w:keepNext/>
        <w:spacing w:after="0"/>
        <w:jc w:val="both"/>
        <w:rPr>
          <w:i/>
          <w:sz w:val="24"/>
          <w:szCs w:val="24"/>
        </w:rPr>
      </w:pPr>
      <w:bookmarkStart w:id="43" w:name="_Toc136872341"/>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17</w:t>
      </w:r>
      <w:r w:rsidR="004858CE" w:rsidRPr="00B47C95">
        <w:rPr>
          <w:i/>
          <w:noProof/>
          <w:sz w:val="24"/>
          <w:szCs w:val="24"/>
        </w:rPr>
        <w:fldChar w:fldCharType="end"/>
      </w:r>
      <w:r w:rsidRPr="00B47C95">
        <w:rPr>
          <w:i/>
          <w:sz w:val="24"/>
          <w:szCs w:val="24"/>
        </w:rPr>
        <w:t>: Storage Depot Utilization Rates (%)</w:t>
      </w:r>
      <w:bookmarkEnd w:id="43"/>
    </w:p>
    <w:p w14:paraId="32BBDCED" w14:textId="77777777" w:rsidR="00895DF3" w:rsidRDefault="00895DF3" w:rsidP="00B47C95">
      <w:pPr>
        <w:spacing w:before="0" w:after="0"/>
        <w:jc w:val="both"/>
        <w:rPr>
          <w:rFonts w:ascii="Times New Roman" w:hAnsi="Times New Roman" w:cs="Times New Roman"/>
          <w:noProof/>
          <w:sz w:val="24"/>
          <w:szCs w:val="24"/>
        </w:rPr>
      </w:pPr>
      <w:r>
        <w:rPr>
          <w:noProof/>
          <w:lang w:val="en-US"/>
        </w:rPr>
        <w:drawing>
          <wp:inline distT="0" distB="0" distL="0" distR="0" wp14:anchorId="534BB292" wp14:editId="6C42F538">
            <wp:extent cx="4476750" cy="2428875"/>
            <wp:effectExtent l="0" t="0" r="0" b="9525"/>
            <wp:docPr id="1555163891" name="Chart 1">
              <a:extLst xmlns:a="http://schemas.openxmlformats.org/drawingml/2006/main">
                <a:ext uri="{FF2B5EF4-FFF2-40B4-BE49-F238E27FC236}">
                  <a16:creationId xmlns:a16="http://schemas.microsoft.com/office/drawing/2014/main" id="{B9DA10A9-E6D6-A374-A3E9-B3504AA41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C1741FF" w14:textId="77777777" w:rsidR="00895DF3" w:rsidRPr="00B47C95" w:rsidRDefault="00895DF3" w:rsidP="00B47C95">
      <w:pPr>
        <w:spacing w:before="0" w:after="0" w:line="480" w:lineRule="auto"/>
        <w:jc w:val="both"/>
        <w:rPr>
          <w:rFonts w:ascii="Times New Roman" w:hAnsi="Times New Roman" w:cs="Times New Roman"/>
          <w:i/>
          <w:color w:val="17406D" w:themeColor="text2"/>
          <w:sz w:val="22"/>
          <w:szCs w:val="24"/>
        </w:rPr>
      </w:pPr>
      <w:r w:rsidRPr="00B47C95">
        <w:rPr>
          <w:rFonts w:ascii="Times New Roman" w:hAnsi="Times New Roman" w:cs="Times New Roman"/>
          <w:i/>
          <w:color w:val="17406D" w:themeColor="text2"/>
          <w:sz w:val="22"/>
          <w:szCs w:val="24"/>
        </w:rPr>
        <w:t>Source: NPA ERDMS</w:t>
      </w:r>
    </w:p>
    <w:p w14:paraId="705B033B" w14:textId="77777777" w:rsidR="00895DF3" w:rsidRDefault="00895DF3" w:rsidP="006A7CE0">
      <w:pPr>
        <w:spacing w:after="0"/>
        <w:jc w:val="both"/>
        <w:rPr>
          <w:rFonts w:ascii="Times New Roman" w:hAnsi="Times New Roman" w:cs="Times New Roman"/>
          <w:noProof/>
          <w:sz w:val="24"/>
          <w:szCs w:val="24"/>
        </w:rPr>
      </w:pPr>
    </w:p>
    <w:p w14:paraId="07F1603B" w14:textId="77777777" w:rsidR="00895DF3" w:rsidRDefault="00895DF3" w:rsidP="006A7CE0">
      <w:pPr>
        <w:spacing w:after="0"/>
        <w:jc w:val="both"/>
        <w:rPr>
          <w:rFonts w:ascii="Times New Roman" w:hAnsi="Times New Roman" w:cs="Times New Roman"/>
          <w:noProof/>
          <w:sz w:val="24"/>
          <w:szCs w:val="24"/>
        </w:rPr>
      </w:pPr>
    </w:p>
    <w:p w14:paraId="332DE57E" w14:textId="21C1DCC2" w:rsidR="00CB632D" w:rsidRDefault="0017110B" w:rsidP="00CB632D">
      <w:pPr>
        <w:pStyle w:val="Heading2"/>
        <w:rPr>
          <w:rFonts w:ascii="Times New Roman" w:hAnsi="Times New Roman" w:cs="Times New Roman"/>
          <w:sz w:val="24"/>
          <w:szCs w:val="24"/>
        </w:rPr>
      </w:pPr>
      <w:bookmarkStart w:id="44" w:name="_Toc141440556"/>
      <w:r>
        <w:rPr>
          <w:rFonts w:ascii="Times New Roman" w:hAnsi="Times New Roman" w:cs="Times New Roman"/>
          <w:sz w:val="24"/>
          <w:szCs w:val="24"/>
        </w:rPr>
        <w:t>4</w:t>
      </w:r>
      <w:r w:rsidR="00CB632D" w:rsidRPr="00AB14A4">
        <w:rPr>
          <w:rFonts w:ascii="Times New Roman" w:hAnsi="Times New Roman" w:cs="Times New Roman"/>
          <w:sz w:val="24"/>
          <w:szCs w:val="24"/>
        </w:rPr>
        <w:t>.</w:t>
      </w:r>
      <w:r w:rsidR="000B45F1">
        <w:rPr>
          <w:rFonts w:ascii="Times New Roman" w:hAnsi="Times New Roman" w:cs="Times New Roman"/>
          <w:sz w:val="24"/>
          <w:szCs w:val="24"/>
        </w:rPr>
        <w:t>4</w:t>
      </w:r>
      <w:r w:rsidR="00CB632D" w:rsidRPr="00AB14A4">
        <w:rPr>
          <w:rFonts w:ascii="Times New Roman" w:hAnsi="Times New Roman" w:cs="Times New Roman"/>
          <w:sz w:val="24"/>
          <w:szCs w:val="24"/>
        </w:rPr>
        <w:t xml:space="preserve"> Discharge Facilities Market Performance</w:t>
      </w:r>
      <w:bookmarkEnd w:id="44"/>
    </w:p>
    <w:p w14:paraId="15699AFA" w14:textId="2955670F" w:rsidR="00FE6E6D" w:rsidRDefault="00CB632D" w:rsidP="00CB632D">
      <w:pPr>
        <w:spacing w:after="0"/>
        <w:jc w:val="both"/>
        <w:rPr>
          <w:rFonts w:ascii="Times New Roman" w:hAnsi="Times New Roman" w:cs="Times New Roman"/>
          <w:sz w:val="24"/>
          <w:szCs w:val="24"/>
        </w:rPr>
      </w:pPr>
      <w:r>
        <w:rPr>
          <w:rFonts w:ascii="Times New Roman" w:hAnsi="Times New Roman" w:cs="Times New Roman"/>
          <w:sz w:val="24"/>
          <w:szCs w:val="24"/>
        </w:rPr>
        <w:t>Of the total 1</w:t>
      </w:r>
      <w:r w:rsidRPr="003764E9">
        <w:rPr>
          <w:rFonts w:ascii="Times New Roman" w:hAnsi="Times New Roman" w:cs="Times New Roman"/>
          <w:sz w:val="24"/>
          <w:szCs w:val="24"/>
        </w:rPr>
        <w:t>,</w:t>
      </w:r>
      <w:r>
        <w:rPr>
          <w:rFonts w:ascii="Times New Roman" w:hAnsi="Times New Roman" w:cs="Times New Roman"/>
          <w:sz w:val="24"/>
          <w:szCs w:val="24"/>
        </w:rPr>
        <w:t>145</w:t>
      </w:r>
      <w:r w:rsidRPr="003764E9">
        <w:rPr>
          <w:rFonts w:ascii="Times New Roman" w:hAnsi="Times New Roman" w:cs="Times New Roman"/>
          <w:sz w:val="24"/>
          <w:szCs w:val="24"/>
        </w:rPr>
        <w:t>,</w:t>
      </w:r>
      <w:r>
        <w:rPr>
          <w:rFonts w:ascii="Times New Roman" w:hAnsi="Times New Roman" w:cs="Times New Roman"/>
          <w:sz w:val="24"/>
          <w:szCs w:val="24"/>
        </w:rPr>
        <w:t xml:space="preserve">949mt </w:t>
      </w:r>
      <w:r w:rsidR="00DC6F15">
        <w:rPr>
          <w:rFonts w:ascii="Times New Roman" w:hAnsi="Times New Roman" w:cs="Times New Roman"/>
          <w:sz w:val="24"/>
          <w:szCs w:val="24"/>
        </w:rPr>
        <w:t xml:space="preserve">of </w:t>
      </w:r>
      <w:r>
        <w:rPr>
          <w:rFonts w:ascii="Times New Roman" w:hAnsi="Times New Roman" w:cs="Times New Roman"/>
          <w:sz w:val="24"/>
          <w:szCs w:val="24"/>
        </w:rPr>
        <w:t xml:space="preserve">refined </w:t>
      </w:r>
      <w:r w:rsidRPr="003764E9">
        <w:rPr>
          <w:rFonts w:ascii="Times New Roman" w:hAnsi="Times New Roman" w:cs="Times New Roman"/>
          <w:sz w:val="24"/>
          <w:szCs w:val="24"/>
        </w:rPr>
        <w:t xml:space="preserve">petroleum products </w:t>
      </w:r>
      <w:r>
        <w:rPr>
          <w:rFonts w:ascii="Times New Roman" w:hAnsi="Times New Roman" w:cs="Times New Roman"/>
          <w:sz w:val="24"/>
          <w:szCs w:val="24"/>
        </w:rPr>
        <w:t>imports, the offshore discharge facility, All Berth Buoy (ABB), accounted for 81% of total imports for Q1-2023. The ABB was used to discharge almost all (99%) and 81% of our gasoline and gasoil imports. The Takoradi Oil Jetty was used to import the remaining gasoline and gasoil imports for the period (see figure</w:t>
      </w:r>
      <w:r w:rsidR="00BF6758">
        <w:rPr>
          <w:rFonts w:ascii="Times New Roman" w:hAnsi="Times New Roman" w:cs="Times New Roman"/>
          <w:sz w:val="24"/>
          <w:szCs w:val="24"/>
        </w:rPr>
        <w:t xml:space="preserve"> 1</w:t>
      </w:r>
      <w:r w:rsidR="009122D4">
        <w:rPr>
          <w:rFonts w:ascii="Times New Roman" w:hAnsi="Times New Roman" w:cs="Times New Roman"/>
          <w:sz w:val="24"/>
          <w:szCs w:val="24"/>
        </w:rPr>
        <w:t>9</w:t>
      </w:r>
      <w:r w:rsidR="00BF6758">
        <w:rPr>
          <w:rFonts w:ascii="Times New Roman" w:hAnsi="Times New Roman" w:cs="Times New Roman"/>
          <w:sz w:val="24"/>
          <w:szCs w:val="24"/>
        </w:rPr>
        <w:t>)</w:t>
      </w:r>
      <w:r>
        <w:rPr>
          <w:rFonts w:ascii="Times New Roman" w:hAnsi="Times New Roman" w:cs="Times New Roman"/>
          <w:sz w:val="24"/>
          <w:szCs w:val="24"/>
        </w:rPr>
        <w:t xml:space="preserve">. The Tema </w:t>
      </w:r>
      <w:r>
        <w:rPr>
          <w:rFonts w:ascii="Times New Roman" w:hAnsi="Times New Roman" w:cs="Times New Roman"/>
          <w:sz w:val="24"/>
          <w:szCs w:val="24"/>
        </w:rPr>
        <w:t xml:space="preserve">Oil Jetty was used exclusively to discharge LPG, ATK, and residual fuel oil during the period under review. The above findings reveal our over dependence on the ABB and the Tema Oil Jetty for our import need, which threatens our fuel security. </w:t>
      </w:r>
    </w:p>
    <w:p w14:paraId="4DC61056" w14:textId="4C5F8124" w:rsidR="00284C95" w:rsidRPr="00B47C95" w:rsidRDefault="00284C95" w:rsidP="00284C95">
      <w:pPr>
        <w:pStyle w:val="Caption"/>
        <w:keepNext/>
        <w:spacing w:after="0"/>
        <w:rPr>
          <w:i/>
          <w:sz w:val="24"/>
          <w:szCs w:val="24"/>
        </w:rPr>
      </w:pPr>
      <w:bookmarkStart w:id="45" w:name="_Toc136872343"/>
      <w:r w:rsidRPr="00B47C95">
        <w:rPr>
          <w:i/>
          <w:sz w:val="24"/>
          <w:szCs w:val="24"/>
        </w:rPr>
        <w:t xml:space="preserve">Figure </w:t>
      </w:r>
      <w:r w:rsidR="004858CE" w:rsidRPr="00B47C95">
        <w:rPr>
          <w:i/>
          <w:noProof/>
          <w:sz w:val="24"/>
          <w:szCs w:val="24"/>
        </w:rPr>
        <w:fldChar w:fldCharType="begin"/>
      </w:r>
      <w:r w:rsidR="004858CE" w:rsidRPr="00B47C95">
        <w:rPr>
          <w:i/>
          <w:noProof/>
          <w:sz w:val="24"/>
          <w:szCs w:val="24"/>
        </w:rPr>
        <w:instrText xml:space="preserve"> SEQ Figure \* ARABIC </w:instrText>
      </w:r>
      <w:r w:rsidR="004858CE" w:rsidRPr="00B47C95">
        <w:rPr>
          <w:i/>
          <w:noProof/>
          <w:sz w:val="24"/>
          <w:szCs w:val="24"/>
        </w:rPr>
        <w:fldChar w:fldCharType="separate"/>
      </w:r>
      <w:r w:rsidR="008D6281" w:rsidRPr="00B47C95">
        <w:rPr>
          <w:i/>
          <w:noProof/>
          <w:sz w:val="24"/>
          <w:szCs w:val="24"/>
        </w:rPr>
        <w:t>18</w:t>
      </w:r>
      <w:r w:rsidR="004858CE" w:rsidRPr="00B47C95">
        <w:rPr>
          <w:i/>
          <w:noProof/>
          <w:sz w:val="24"/>
          <w:szCs w:val="24"/>
        </w:rPr>
        <w:fldChar w:fldCharType="end"/>
      </w:r>
      <w:r w:rsidRPr="00B47C95">
        <w:rPr>
          <w:i/>
          <w:sz w:val="24"/>
          <w:szCs w:val="24"/>
        </w:rPr>
        <w:t>: Discharge Facilities Market Share</w:t>
      </w:r>
      <w:r w:rsidR="00291662" w:rsidRPr="00B47C95">
        <w:rPr>
          <w:i/>
          <w:sz w:val="24"/>
          <w:szCs w:val="24"/>
        </w:rPr>
        <w:t xml:space="preserve"> (</w:t>
      </w:r>
      <w:r w:rsidRPr="00B47C95">
        <w:rPr>
          <w:i/>
          <w:sz w:val="24"/>
          <w:szCs w:val="24"/>
        </w:rPr>
        <w:t>%</w:t>
      </w:r>
      <w:r w:rsidR="00291662" w:rsidRPr="00B47C95">
        <w:rPr>
          <w:i/>
          <w:sz w:val="24"/>
          <w:szCs w:val="24"/>
        </w:rPr>
        <w:t>)</w:t>
      </w:r>
      <w:bookmarkEnd w:id="45"/>
    </w:p>
    <w:p w14:paraId="3BEB1146" w14:textId="77777777" w:rsidR="00CB632D" w:rsidRDefault="00CB632D" w:rsidP="00B47C95">
      <w:pPr>
        <w:spacing w:before="0" w:after="0"/>
      </w:pPr>
      <w:r>
        <w:rPr>
          <w:noProof/>
          <w:lang w:val="en-US"/>
          <w14:ligatures w14:val="standardContextual"/>
        </w:rPr>
        <w:drawing>
          <wp:inline distT="0" distB="0" distL="0" distR="0" wp14:anchorId="4F55410D" wp14:editId="40B2247A">
            <wp:extent cx="4552950" cy="2333625"/>
            <wp:effectExtent l="0" t="0" r="0" b="9525"/>
            <wp:docPr id="1770419314" name="Chart 1">
              <a:extLst xmlns:a="http://schemas.openxmlformats.org/drawingml/2006/main">
                <a:ext uri="{FF2B5EF4-FFF2-40B4-BE49-F238E27FC236}">
                  <a16:creationId xmlns:a16="http://schemas.microsoft.com/office/drawing/2014/main" id="{44C51C20-0BB0-D16B-9106-DE6DE82F3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50512B7" w14:textId="06EA21FD" w:rsidR="00D97D83" w:rsidRDefault="00A03C94" w:rsidP="00B47C95">
      <w:pPr>
        <w:spacing w:before="0" w:after="0"/>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Source: NPA Imports Database</w:t>
      </w:r>
    </w:p>
    <w:p w14:paraId="4EABB738" w14:textId="77777777" w:rsidR="00D97D83" w:rsidRDefault="00D97D83" w:rsidP="00B47C95">
      <w:pPr>
        <w:spacing w:before="0" w:after="0"/>
        <w:jc w:val="both"/>
        <w:rPr>
          <w:rFonts w:ascii="Times New Roman" w:hAnsi="Times New Roman" w:cs="Times New Roman"/>
          <w:i/>
          <w:color w:val="17406D" w:themeColor="text2"/>
          <w:sz w:val="24"/>
          <w:szCs w:val="24"/>
        </w:rPr>
      </w:pPr>
    </w:p>
    <w:p w14:paraId="2CA0B6C9" w14:textId="77777777" w:rsidR="00D97D83" w:rsidRDefault="00D97D83" w:rsidP="00B47C95">
      <w:pPr>
        <w:spacing w:before="0" w:after="0"/>
        <w:jc w:val="both"/>
        <w:rPr>
          <w:rFonts w:ascii="Times New Roman" w:hAnsi="Times New Roman" w:cs="Times New Roman"/>
          <w:i/>
          <w:color w:val="17406D" w:themeColor="text2"/>
          <w:sz w:val="24"/>
          <w:szCs w:val="24"/>
        </w:rPr>
      </w:pPr>
    </w:p>
    <w:p w14:paraId="63722AD1" w14:textId="77777777" w:rsidR="009122D4" w:rsidRDefault="009122D4" w:rsidP="00B47C95">
      <w:pPr>
        <w:spacing w:after="0" w:line="480" w:lineRule="auto"/>
        <w:jc w:val="both"/>
      </w:pPr>
      <w:bookmarkStart w:id="46" w:name="_Toc387138955"/>
      <w:bookmarkStart w:id="47" w:name="_Toc387851551"/>
      <w:bookmarkStart w:id="48" w:name="_Toc387830809"/>
    </w:p>
    <w:p w14:paraId="708C758E" w14:textId="77777777" w:rsidR="00340459" w:rsidRDefault="00340459" w:rsidP="00B47C95">
      <w:pPr>
        <w:spacing w:after="0" w:line="480" w:lineRule="auto"/>
        <w:jc w:val="both"/>
      </w:pPr>
    </w:p>
    <w:p w14:paraId="06625F92" w14:textId="77777777" w:rsidR="00D35806" w:rsidRDefault="00D35806" w:rsidP="00B47C95">
      <w:pPr>
        <w:spacing w:after="0" w:line="480" w:lineRule="auto"/>
        <w:jc w:val="both"/>
      </w:pPr>
    </w:p>
    <w:p w14:paraId="40E7AFF4" w14:textId="28F53EAD" w:rsidR="00955B3F" w:rsidRPr="00B47C95" w:rsidRDefault="0017110B" w:rsidP="004E4E47">
      <w:pPr>
        <w:pStyle w:val="Heading1"/>
        <w:rPr>
          <w:rFonts w:ascii="Times New Roman" w:hAnsi="Times New Roman" w:cs="Times New Roman"/>
          <w:sz w:val="52"/>
          <w:szCs w:val="56"/>
        </w:rPr>
      </w:pPr>
      <w:bookmarkStart w:id="49" w:name="_Toc141440557"/>
      <w:r w:rsidRPr="00B47C95">
        <w:rPr>
          <w:rFonts w:ascii="Times New Roman" w:hAnsi="Times New Roman" w:cs="Times New Roman"/>
          <w:sz w:val="52"/>
          <w:szCs w:val="56"/>
        </w:rPr>
        <w:lastRenderedPageBreak/>
        <w:t>5</w:t>
      </w:r>
      <w:r w:rsidR="00955B3F" w:rsidRPr="00B47C95">
        <w:rPr>
          <w:rFonts w:ascii="Times New Roman" w:hAnsi="Times New Roman" w:cs="Times New Roman"/>
          <w:sz w:val="52"/>
          <w:szCs w:val="56"/>
        </w:rPr>
        <w:t>.0 Petroleum Products</w:t>
      </w:r>
      <w:r w:rsidR="00DB75A6" w:rsidRPr="00B47C95">
        <w:rPr>
          <w:rFonts w:ascii="Times New Roman" w:hAnsi="Times New Roman" w:cs="Times New Roman"/>
          <w:sz w:val="52"/>
          <w:szCs w:val="56"/>
        </w:rPr>
        <w:t xml:space="preserve"> Pricing</w:t>
      </w:r>
      <w:bookmarkEnd w:id="49"/>
    </w:p>
    <w:p w14:paraId="519B273D" w14:textId="049D592B" w:rsidR="00E76ED7" w:rsidRPr="00E76ED7" w:rsidRDefault="00E76ED7" w:rsidP="00AE47F7">
      <w:pPr>
        <w:jc w:val="both"/>
      </w:pPr>
      <w:r w:rsidRPr="00955B3F">
        <w:rPr>
          <w:rFonts w:ascii="Times New Roman" w:hAnsi="Times New Roman" w:cs="Times New Roman"/>
          <w:sz w:val="24"/>
          <w:szCs w:val="24"/>
        </w:rPr>
        <w:t>Th</w:t>
      </w:r>
      <w:r>
        <w:rPr>
          <w:rFonts w:ascii="Times New Roman" w:hAnsi="Times New Roman" w:cs="Times New Roman"/>
          <w:sz w:val="24"/>
          <w:szCs w:val="24"/>
        </w:rPr>
        <w:t xml:space="preserve">is section of the report </w:t>
      </w:r>
      <w:r w:rsidR="00DA34A3">
        <w:rPr>
          <w:rFonts w:ascii="Times New Roman" w:hAnsi="Times New Roman" w:cs="Times New Roman"/>
          <w:sz w:val="24"/>
          <w:szCs w:val="24"/>
        </w:rPr>
        <w:t>presents analysis of</w:t>
      </w:r>
      <w:r>
        <w:rPr>
          <w:rFonts w:ascii="Times New Roman" w:hAnsi="Times New Roman" w:cs="Times New Roman"/>
          <w:sz w:val="24"/>
          <w:szCs w:val="24"/>
        </w:rPr>
        <w:t xml:space="preserve"> FOB prices, ex refinery prices, ex pump prices, marketers’ margin, and BIDEC supplier’s premium.</w:t>
      </w:r>
    </w:p>
    <w:p w14:paraId="44486922" w14:textId="39BC8DBE" w:rsidR="00CE734E" w:rsidRDefault="0017110B" w:rsidP="00870AFB">
      <w:pPr>
        <w:pStyle w:val="Heading2"/>
        <w:spacing w:line="240" w:lineRule="auto"/>
        <w:rPr>
          <w:rFonts w:ascii="Times New Roman" w:hAnsi="Times New Roman" w:cs="Times New Roman"/>
          <w:sz w:val="24"/>
          <w:szCs w:val="24"/>
        </w:rPr>
      </w:pPr>
      <w:bookmarkStart w:id="50" w:name="_Toc141440558"/>
      <w:r>
        <w:rPr>
          <w:rFonts w:ascii="Times New Roman" w:hAnsi="Times New Roman" w:cs="Times New Roman"/>
          <w:sz w:val="24"/>
          <w:szCs w:val="24"/>
        </w:rPr>
        <w:t>5</w:t>
      </w:r>
      <w:r w:rsidR="00CE734E">
        <w:rPr>
          <w:rFonts w:ascii="Times New Roman" w:hAnsi="Times New Roman" w:cs="Times New Roman"/>
          <w:sz w:val="24"/>
          <w:szCs w:val="24"/>
        </w:rPr>
        <w:t>.1</w:t>
      </w:r>
      <w:r w:rsidR="00CE734E" w:rsidRPr="008358B2">
        <w:rPr>
          <w:rFonts w:ascii="Times New Roman" w:hAnsi="Times New Roman" w:cs="Times New Roman"/>
          <w:sz w:val="24"/>
          <w:szCs w:val="24"/>
        </w:rPr>
        <w:t xml:space="preserve"> </w:t>
      </w:r>
      <w:r w:rsidR="00CE734E">
        <w:rPr>
          <w:rFonts w:ascii="Times New Roman" w:hAnsi="Times New Roman" w:cs="Times New Roman"/>
          <w:sz w:val="24"/>
          <w:szCs w:val="24"/>
        </w:rPr>
        <w:t>FOB Pric</w:t>
      </w:r>
      <w:r w:rsidR="00DD018C">
        <w:rPr>
          <w:rFonts w:ascii="Times New Roman" w:hAnsi="Times New Roman" w:cs="Times New Roman"/>
          <w:sz w:val="24"/>
          <w:szCs w:val="24"/>
        </w:rPr>
        <w:t>es of Crude</w:t>
      </w:r>
      <w:r w:rsidR="0031409C">
        <w:rPr>
          <w:rFonts w:ascii="Times New Roman" w:hAnsi="Times New Roman" w:cs="Times New Roman"/>
          <w:sz w:val="24"/>
          <w:szCs w:val="24"/>
        </w:rPr>
        <w:t xml:space="preserve"> Oil</w:t>
      </w:r>
      <w:bookmarkEnd w:id="50"/>
      <w:r w:rsidR="0031409C">
        <w:rPr>
          <w:rFonts w:ascii="Times New Roman" w:hAnsi="Times New Roman" w:cs="Times New Roman"/>
          <w:sz w:val="24"/>
          <w:szCs w:val="24"/>
        </w:rPr>
        <w:t xml:space="preserve"> </w:t>
      </w:r>
    </w:p>
    <w:p w14:paraId="5954A60C" w14:textId="3E519B9C" w:rsidR="00955B3F" w:rsidRDefault="00955B3F" w:rsidP="00AE47F7">
      <w:pPr>
        <w:jc w:val="both"/>
        <w:rPr>
          <w:rFonts w:ascii="Times New Roman" w:hAnsi="Times New Roman" w:cs="Times New Roman"/>
          <w:sz w:val="24"/>
          <w:szCs w:val="24"/>
        </w:rPr>
      </w:pPr>
      <w:r w:rsidRPr="00955B3F">
        <w:rPr>
          <w:rFonts w:ascii="Times New Roman" w:hAnsi="Times New Roman" w:cs="Times New Roman"/>
          <w:sz w:val="24"/>
          <w:szCs w:val="24"/>
        </w:rPr>
        <w:t xml:space="preserve">The </w:t>
      </w:r>
      <w:r w:rsidR="001C2312">
        <w:rPr>
          <w:rFonts w:ascii="Times New Roman" w:hAnsi="Times New Roman" w:cs="Times New Roman"/>
          <w:sz w:val="24"/>
          <w:szCs w:val="24"/>
        </w:rPr>
        <w:t>average</w:t>
      </w:r>
      <w:r w:rsidRPr="00955B3F">
        <w:rPr>
          <w:rFonts w:ascii="Times New Roman" w:hAnsi="Times New Roman" w:cs="Times New Roman"/>
          <w:sz w:val="24"/>
          <w:szCs w:val="24"/>
        </w:rPr>
        <w:t xml:space="preserve"> FOB prices of </w:t>
      </w:r>
      <w:r w:rsidR="00F91C78">
        <w:rPr>
          <w:rFonts w:ascii="Times New Roman" w:hAnsi="Times New Roman" w:cs="Times New Roman"/>
          <w:bCs/>
          <w:sz w:val="24"/>
          <w:szCs w:val="24"/>
        </w:rPr>
        <w:t>crude oil</w:t>
      </w:r>
      <w:r w:rsidRPr="00955B3F">
        <w:rPr>
          <w:rFonts w:ascii="Times New Roman" w:hAnsi="Times New Roman" w:cs="Times New Roman"/>
          <w:sz w:val="24"/>
          <w:szCs w:val="24"/>
        </w:rPr>
        <w:t xml:space="preserve"> ranged between US</w:t>
      </w:r>
      <w:r w:rsidR="00B80B4C">
        <w:rPr>
          <w:rFonts w:ascii="Times New Roman" w:hAnsi="Times New Roman" w:cs="Times New Roman"/>
          <w:sz w:val="24"/>
          <w:szCs w:val="24"/>
        </w:rPr>
        <w:t>$</w:t>
      </w:r>
      <w:r w:rsidRPr="00955B3F">
        <w:rPr>
          <w:rFonts w:ascii="Times New Roman" w:hAnsi="Times New Roman" w:cs="Times New Roman"/>
          <w:sz w:val="24"/>
          <w:szCs w:val="24"/>
        </w:rPr>
        <w:t>7</w:t>
      </w:r>
      <w:r w:rsidR="004C3CCE">
        <w:rPr>
          <w:rFonts w:ascii="Times New Roman" w:hAnsi="Times New Roman" w:cs="Times New Roman"/>
          <w:sz w:val="24"/>
          <w:szCs w:val="24"/>
        </w:rPr>
        <w:t>6</w:t>
      </w:r>
      <w:r w:rsidRPr="00955B3F">
        <w:rPr>
          <w:rFonts w:ascii="Times New Roman" w:hAnsi="Times New Roman" w:cs="Times New Roman"/>
          <w:sz w:val="24"/>
          <w:szCs w:val="24"/>
        </w:rPr>
        <w:t>.</w:t>
      </w:r>
      <w:r w:rsidR="004C3CCE">
        <w:rPr>
          <w:rFonts w:ascii="Times New Roman" w:hAnsi="Times New Roman" w:cs="Times New Roman"/>
          <w:sz w:val="24"/>
          <w:szCs w:val="24"/>
        </w:rPr>
        <w:t>20</w:t>
      </w:r>
      <w:r w:rsidRPr="00955B3F">
        <w:rPr>
          <w:rFonts w:ascii="Times New Roman" w:hAnsi="Times New Roman" w:cs="Times New Roman"/>
          <w:sz w:val="24"/>
          <w:szCs w:val="24"/>
        </w:rPr>
        <w:t>/</w:t>
      </w:r>
      <w:proofErr w:type="spellStart"/>
      <w:r w:rsidRPr="00955B3F">
        <w:rPr>
          <w:rFonts w:ascii="Times New Roman" w:hAnsi="Times New Roman" w:cs="Times New Roman"/>
          <w:sz w:val="24"/>
          <w:szCs w:val="24"/>
        </w:rPr>
        <w:t>bbl</w:t>
      </w:r>
      <w:proofErr w:type="spellEnd"/>
      <w:r w:rsidRPr="00955B3F">
        <w:rPr>
          <w:rFonts w:ascii="Times New Roman" w:hAnsi="Times New Roman" w:cs="Times New Roman"/>
          <w:sz w:val="24"/>
          <w:szCs w:val="24"/>
        </w:rPr>
        <w:t xml:space="preserve"> and US</w:t>
      </w:r>
      <w:r w:rsidR="00B80B4C">
        <w:rPr>
          <w:rFonts w:ascii="Times New Roman" w:hAnsi="Times New Roman" w:cs="Times New Roman"/>
          <w:sz w:val="24"/>
          <w:szCs w:val="24"/>
        </w:rPr>
        <w:t>$</w:t>
      </w:r>
      <w:r w:rsidRPr="00955B3F">
        <w:rPr>
          <w:rFonts w:ascii="Times New Roman" w:hAnsi="Times New Roman" w:cs="Times New Roman"/>
          <w:sz w:val="24"/>
          <w:szCs w:val="24"/>
        </w:rPr>
        <w:t>8</w:t>
      </w:r>
      <w:r w:rsidR="004C3CCE">
        <w:rPr>
          <w:rFonts w:ascii="Times New Roman" w:hAnsi="Times New Roman" w:cs="Times New Roman"/>
          <w:sz w:val="24"/>
          <w:szCs w:val="24"/>
        </w:rPr>
        <w:t>6</w:t>
      </w:r>
      <w:r w:rsidRPr="00955B3F">
        <w:rPr>
          <w:rFonts w:ascii="Times New Roman" w:hAnsi="Times New Roman" w:cs="Times New Roman"/>
          <w:sz w:val="24"/>
          <w:szCs w:val="24"/>
        </w:rPr>
        <w:t>.</w:t>
      </w:r>
      <w:r w:rsidR="004C3CCE">
        <w:rPr>
          <w:rFonts w:ascii="Times New Roman" w:hAnsi="Times New Roman" w:cs="Times New Roman"/>
          <w:sz w:val="24"/>
          <w:szCs w:val="24"/>
        </w:rPr>
        <w:t>39</w:t>
      </w:r>
      <w:r w:rsidRPr="00955B3F">
        <w:rPr>
          <w:rFonts w:ascii="Times New Roman" w:hAnsi="Times New Roman" w:cs="Times New Roman"/>
          <w:sz w:val="24"/>
          <w:szCs w:val="24"/>
        </w:rPr>
        <w:t>/</w:t>
      </w:r>
      <w:proofErr w:type="spellStart"/>
      <w:r w:rsidRPr="00955B3F">
        <w:rPr>
          <w:rFonts w:ascii="Times New Roman" w:hAnsi="Times New Roman" w:cs="Times New Roman"/>
          <w:sz w:val="24"/>
          <w:szCs w:val="24"/>
        </w:rPr>
        <w:t>bbl</w:t>
      </w:r>
      <w:proofErr w:type="spellEnd"/>
      <w:r w:rsidR="001C2312">
        <w:rPr>
          <w:rFonts w:ascii="Times New Roman" w:hAnsi="Times New Roman" w:cs="Times New Roman"/>
          <w:sz w:val="24"/>
          <w:szCs w:val="24"/>
        </w:rPr>
        <w:t xml:space="preserve"> per pricing window</w:t>
      </w:r>
      <w:r w:rsidR="004C3CCE">
        <w:rPr>
          <w:rFonts w:ascii="Times New Roman" w:hAnsi="Times New Roman" w:cs="Times New Roman"/>
          <w:sz w:val="24"/>
          <w:szCs w:val="24"/>
        </w:rPr>
        <w:t xml:space="preserve"> for Q1 2023. Dated </w:t>
      </w:r>
      <w:r w:rsidR="00FF67B6">
        <w:rPr>
          <w:rFonts w:ascii="Times New Roman" w:hAnsi="Times New Roman" w:cs="Times New Roman"/>
          <w:sz w:val="24"/>
          <w:szCs w:val="24"/>
        </w:rPr>
        <w:t>B</w:t>
      </w:r>
      <w:r w:rsidR="004C3CCE">
        <w:rPr>
          <w:rFonts w:ascii="Times New Roman" w:hAnsi="Times New Roman" w:cs="Times New Roman"/>
          <w:sz w:val="24"/>
          <w:szCs w:val="24"/>
        </w:rPr>
        <w:t>rent crude oil recorded the highest decline while West Texas Intermediate (WTI) recorded the least decline (see table 1). Bonny Light (Nigeria) traded at a premium to Dated Brent</w:t>
      </w:r>
      <w:r w:rsidRPr="00955B3F">
        <w:rPr>
          <w:rFonts w:ascii="Times New Roman" w:hAnsi="Times New Roman" w:cs="Times New Roman"/>
          <w:sz w:val="24"/>
          <w:szCs w:val="24"/>
        </w:rPr>
        <w:t xml:space="preserve">, </w:t>
      </w:r>
      <w:r w:rsidR="004C3CCE">
        <w:rPr>
          <w:rFonts w:ascii="Times New Roman" w:hAnsi="Times New Roman" w:cs="Times New Roman"/>
          <w:sz w:val="24"/>
          <w:szCs w:val="24"/>
        </w:rPr>
        <w:t xml:space="preserve">while Jubilee </w:t>
      </w:r>
      <w:r w:rsidR="00FF67B6">
        <w:rPr>
          <w:rFonts w:ascii="Times New Roman" w:hAnsi="Times New Roman" w:cs="Times New Roman"/>
          <w:sz w:val="24"/>
          <w:szCs w:val="24"/>
        </w:rPr>
        <w:t xml:space="preserve">(Ghana) </w:t>
      </w:r>
      <w:r w:rsidR="004C3CCE">
        <w:rPr>
          <w:rFonts w:ascii="Times New Roman" w:hAnsi="Times New Roman" w:cs="Times New Roman"/>
          <w:sz w:val="24"/>
          <w:szCs w:val="24"/>
        </w:rPr>
        <w:t>traded at a premium and discount to WTI and Dated Brent respectively</w:t>
      </w:r>
      <w:r w:rsidR="004C24B0">
        <w:rPr>
          <w:rFonts w:ascii="Times New Roman" w:hAnsi="Times New Roman" w:cs="Times New Roman"/>
          <w:sz w:val="24"/>
          <w:szCs w:val="24"/>
        </w:rPr>
        <w:t xml:space="preserve"> for the period under review</w:t>
      </w:r>
      <w:r w:rsidR="004C3CCE">
        <w:rPr>
          <w:rFonts w:ascii="Times New Roman" w:hAnsi="Times New Roman" w:cs="Times New Roman"/>
          <w:sz w:val="24"/>
          <w:szCs w:val="24"/>
        </w:rPr>
        <w:t xml:space="preserve">. </w:t>
      </w:r>
    </w:p>
    <w:p w14:paraId="111B6649" w14:textId="60B52FC3" w:rsidR="000F0479" w:rsidRPr="000F0479" w:rsidRDefault="000F0479" w:rsidP="000F0479">
      <w:pPr>
        <w:jc w:val="both"/>
        <w:rPr>
          <w:rFonts w:ascii="Times New Roman" w:hAnsi="Times New Roman" w:cs="Times New Roman"/>
          <w:sz w:val="24"/>
          <w:szCs w:val="24"/>
        </w:rPr>
      </w:pPr>
      <w:r>
        <w:rPr>
          <w:rFonts w:ascii="Times New Roman" w:hAnsi="Times New Roman" w:cs="Times New Roman"/>
          <w:sz w:val="24"/>
          <w:szCs w:val="24"/>
        </w:rPr>
        <w:t>Crude o</w:t>
      </w:r>
      <w:r w:rsidRPr="000F0479">
        <w:rPr>
          <w:rFonts w:ascii="Times New Roman" w:hAnsi="Times New Roman" w:cs="Times New Roman"/>
          <w:sz w:val="24"/>
          <w:szCs w:val="24"/>
        </w:rPr>
        <w:t>il prices fell mainly on concerns that slower growth in major economies may limit fuel consumption. Also, worries about the prospect of steep interest rate hikes in the United States slowing economic growth and hitting fuel demand weighed on prices. The declines were, however, limited with signs of demand recovery in China, the world's top oil importer.</w:t>
      </w:r>
    </w:p>
    <w:p w14:paraId="7B372E86" w14:textId="480A7600" w:rsidR="00B80B4C" w:rsidRDefault="00B80B4C" w:rsidP="0099066D">
      <w:pPr>
        <w:pStyle w:val="Caption"/>
        <w:keepNext/>
        <w:spacing w:after="0"/>
      </w:pPr>
    </w:p>
    <w:p w14:paraId="7BCF481A" w14:textId="760A8D88" w:rsidR="00151D43" w:rsidRPr="00B47C95" w:rsidRDefault="00151D43" w:rsidP="00151D43">
      <w:pPr>
        <w:pStyle w:val="Caption"/>
        <w:keepNext/>
        <w:spacing w:after="0"/>
        <w:rPr>
          <w:i/>
          <w:sz w:val="24"/>
          <w:szCs w:val="24"/>
        </w:rPr>
      </w:pPr>
      <w:bookmarkStart w:id="51" w:name="_Toc136871779"/>
      <w:r w:rsidRPr="00B47C95">
        <w:rPr>
          <w:i/>
          <w:sz w:val="24"/>
          <w:szCs w:val="24"/>
        </w:rPr>
        <w:t xml:space="preserve">Table </w:t>
      </w:r>
      <w:r w:rsidR="004858CE" w:rsidRPr="00B47C95">
        <w:rPr>
          <w:i/>
          <w:noProof/>
          <w:sz w:val="24"/>
          <w:szCs w:val="24"/>
        </w:rPr>
        <w:fldChar w:fldCharType="begin"/>
      </w:r>
      <w:r w:rsidR="004858CE" w:rsidRPr="00B47C95">
        <w:rPr>
          <w:i/>
          <w:noProof/>
          <w:sz w:val="24"/>
          <w:szCs w:val="24"/>
        </w:rPr>
        <w:instrText xml:space="preserve"> SEQ Table \* ARABIC </w:instrText>
      </w:r>
      <w:r w:rsidR="004858CE" w:rsidRPr="00B47C95">
        <w:rPr>
          <w:i/>
          <w:noProof/>
          <w:sz w:val="24"/>
          <w:szCs w:val="24"/>
        </w:rPr>
        <w:fldChar w:fldCharType="separate"/>
      </w:r>
      <w:r w:rsidR="008D6281" w:rsidRPr="00B47C95">
        <w:rPr>
          <w:i/>
          <w:noProof/>
          <w:sz w:val="24"/>
          <w:szCs w:val="24"/>
        </w:rPr>
        <w:t>1</w:t>
      </w:r>
      <w:r w:rsidR="004858CE" w:rsidRPr="00B47C95">
        <w:rPr>
          <w:i/>
          <w:noProof/>
          <w:sz w:val="24"/>
          <w:szCs w:val="24"/>
        </w:rPr>
        <w:fldChar w:fldCharType="end"/>
      </w:r>
      <w:r w:rsidRPr="00B47C95">
        <w:rPr>
          <w:i/>
          <w:sz w:val="24"/>
          <w:szCs w:val="24"/>
        </w:rPr>
        <w:t>: Crude Oil FOB Price (US$/BBL)</w:t>
      </w:r>
      <w:bookmarkEnd w:id="51"/>
    </w:p>
    <w:tbl>
      <w:tblPr>
        <w:tblW w:w="6008" w:type="dxa"/>
        <w:tblLook w:val="04A0" w:firstRow="1" w:lastRow="0" w:firstColumn="1" w:lastColumn="0" w:noHBand="0" w:noVBand="1"/>
      </w:tblPr>
      <w:tblGrid>
        <w:gridCol w:w="1226"/>
        <w:gridCol w:w="1672"/>
        <w:gridCol w:w="1672"/>
        <w:gridCol w:w="1438"/>
      </w:tblGrid>
      <w:tr w:rsidR="00DD2676" w:rsidRPr="00DD2676" w14:paraId="282276EE" w14:textId="77777777" w:rsidTr="00B47C95">
        <w:trPr>
          <w:trHeight w:val="289"/>
        </w:trPr>
        <w:tc>
          <w:tcPr>
            <w:tcW w:w="1226" w:type="dxa"/>
            <w:tcBorders>
              <w:top w:val="single" w:sz="4" w:space="0" w:color="auto"/>
              <w:left w:val="nil"/>
              <w:bottom w:val="single" w:sz="4" w:space="0" w:color="auto"/>
              <w:right w:val="nil"/>
            </w:tcBorders>
            <w:shd w:val="clear" w:color="000000" w:fill="B4C6E7"/>
            <w:noWrap/>
            <w:vAlign w:val="bottom"/>
            <w:hideMark/>
          </w:tcPr>
          <w:p w14:paraId="519A99B6" w14:textId="77777777" w:rsidR="00DD2676" w:rsidRPr="00DD2676" w:rsidRDefault="00DD2676" w:rsidP="00DD2676">
            <w:pPr>
              <w:spacing w:after="0" w:line="240" w:lineRule="auto"/>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Grade</w:t>
            </w:r>
          </w:p>
        </w:tc>
        <w:tc>
          <w:tcPr>
            <w:tcW w:w="1672" w:type="dxa"/>
            <w:tcBorders>
              <w:top w:val="single" w:sz="4" w:space="0" w:color="auto"/>
              <w:left w:val="nil"/>
              <w:bottom w:val="single" w:sz="4" w:space="0" w:color="auto"/>
              <w:right w:val="nil"/>
            </w:tcBorders>
            <w:shd w:val="clear" w:color="000000" w:fill="B4C6E7"/>
            <w:noWrap/>
            <w:vAlign w:val="bottom"/>
            <w:hideMark/>
          </w:tcPr>
          <w:p w14:paraId="3307B8DB" w14:textId="4C3B6523" w:rsidR="00DD2676" w:rsidRPr="00DD2676" w:rsidRDefault="00DD2676" w:rsidP="00DD2676">
            <w:pPr>
              <w:spacing w:after="0" w:line="240" w:lineRule="auto"/>
              <w:jc w:val="center"/>
              <w:rPr>
                <w:rFonts w:ascii="Times New Roman" w:eastAsia="Times New Roman" w:hAnsi="Times New Roman" w:cs="Times New Roman"/>
                <w:color w:val="000000"/>
                <w:sz w:val="24"/>
                <w:szCs w:val="24"/>
                <w:lang w:val="en-US"/>
              </w:rPr>
            </w:pPr>
            <w:r w:rsidRPr="00DD2676">
              <w:rPr>
                <w:rFonts w:ascii="Times New Roman" w:eastAsia="Times New Roman" w:hAnsi="Times New Roman" w:cs="Times New Roman"/>
                <w:color w:val="000000"/>
                <w:sz w:val="24"/>
                <w:szCs w:val="24"/>
              </w:rPr>
              <w:t xml:space="preserve">Price Range </w:t>
            </w:r>
            <w:r w:rsidR="00A22596">
              <w:rPr>
                <w:rFonts w:ascii="Times New Roman" w:eastAsia="Times New Roman" w:hAnsi="Times New Roman" w:cs="Times New Roman"/>
                <w:color w:val="000000"/>
                <w:sz w:val="24"/>
                <w:szCs w:val="24"/>
                <w:lang w:val="en-US"/>
              </w:rPr>
              <w:t>(US$/BBL)</w:t>
            </w:r>
          </w:p>
        </w:tc>
        <w:tc>
          <w:tcPr>
            <w:tcW w:w="1672" w:type="dxa"/>
            <w:tcBorders>
              <w:top w:val="single" w:sz="4" w:space="0" w:color="auto"/>
              <w:left w:val="nil"/>
              <w:bottom w:val="single" w:sz="4" w:space="0" w:color="auto"/>
              <w:right w:val="nil"/>
            </w:tcBorders>
            <w:shd w:val="clear" w:color="000000" w:fill="B4C6E7"/>
            <w:noWrap/>
            <w:vAlign w:val="bottom"/>
            <w:hideMark/>
          </w:tcPr>
          <w:p w14:paraId="4A4B65F3" w14:textId="76231B9B" w:rsidR="00DD2676" w:rsidRPr="00DD2676" w:rsidRDefault="00DD2676" w:rsidP="00DD2676">
            <w:pPr>
              <w:spacing w:after="0" w:line="240" w:lineRule="auto"/>
              <w:jc w:val="center"/>
              <w:rPr>
                <w:rFonts w:ascii="Times New Roman" w:eastAsia="Times New Roman" w:hAnsi="Times New Roman" w:cs="Times New Roman"/>
                <w:color w:val="000000"/>
                <w:sz w:val="24"/>
                <w:szCs w:val="24"/>
                <w:lang w:val="en-US"/>
              </w:rPr>
            </w:pPr>
            <w:r w:rsidRPr="00DD2676">
              <w:rPr>
                <w:rFonts w:ascii="Times New Roman" w:eastAsia="Times New Roman" w:hAnsi="Times New Roman" w:cs="Times New Roman"/>
                <w:color w:val="000000"/>
                <w:sz w:val="24"/>
                <w:szCs w:val="24"/>
              </w:rPr>
              <w:t>Average Price</w:t>
            </w:r>
            <w:r w:rsidR="00A22596">
              <w:rPr>
                <w:rFonts w:ascii="Times New Roman" w:eastAsia="Times New Roman" w:hAnsi="Times New Roman" w:cs="Times New Roman"/>
                <w:color w:val="000000"/>
                <w:sz w:val="24"/>
                <w:szCs w:val="24"/>
                <w:lang w:val="en-US"/>
              </w:rPr>
              <w:t xml:space="preserve"> (US$/BBL)</w:t>
            </w:r>
          </w:p>
        </w:tc>
        <w:tc>
          <w:tcPr>
            <w:tcW w:w="1438" w:type="dxa"/>
            <w:tcBorders>
              <w:top w:val="single" w:sz="4" w:space="0" w:color="auto"/>
              <w:left w:val="nil"/>
              <w:bottom w:val="single" w:sz="4" w:space="0" w:color="auto"/>
              <w:right w:val="nil"/>
            </w:tcBorders>
            <w:shd w:val="clear" w:color="000000" w:fill="B4C6E7"/>
            <w:noWrap/>
            <w:vAlign w:val="bottom"/>
            <w:hideMark/>
          </w:tcPr>
          <w:p w14:paraId="4993048D"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%Change from Q4-22</w:t>
            </w:r>
          </w:p>
        </w:tc>
      </w:tr>
      <w:tr w:rsidR="00DD2676" w:rsidRPr="00DD2676" w14:paraId="0D9DF7FF" w14:textId="77777777" w:rsidTr="00B47C95">
        <w:trPr>
          <w:trHeight w:val="289"/>
        </w:trPr>
        <w:tc>
          <w:tcPr>
            <w:tcW w:w="1226" w:type="dxa"/>
            <w:tcBorders>
              <w:top w:val="nil"/>
              <w:left w:val="nil"/>
              <w:bottom w:val="nil"/>
              <w:right w:val="nil"/>
            </w:tcBorders>
            <w:shd w:val="clear" w:color="auto" w:fill="auto"/>
            <w:noWrap/>
            <w:vAlign w:val="bottom"/>
            <w:hideMark/>
          </w:tcPr>
          <w:p w14:paraId="4D395CE8" w14:textId="77777777" w:rsidR="00DD2676" w:rsidRPr="00DD2676" w:rsidRDefault="00DD2676" w:rsidP="00DD2676">
            <w:pPr>
              <w:spacing w:after="0" w:line="240" w:lineRule="auto"/>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Dated Brent</w:t>
            </w:r>
          </w:p>
        </w:tc>
        <w:tc>
          <w:tcPr>
            <w:tcW w:w="1672" w:type="dxa"/>
            <w:tcBorders>
              <w:top w:val="nil"/>
              <w:left w:val="nil"/>
              <w:bottom w:val="nil"/>
              <w:right w:val="nil"/>
            </w:tcBorders>
            <w:shd w:val="clear" w:color="auto" w:fill="auto"/>
            <w:noWrap/>
            <w:vAlign w:val="bottom"/>
            <w:hideMark/>
          </w:tcPr>
          <w:p w14:paraId="2CADFEF5"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78.99 - 85.16</w:t>
            </w:r>
          </w:p>
        </w:tc>
        <w:tc>
          <w:tcPr>
            <w:tcW w:w="1672" w:type="dxa"/>
            <w:tcBorders>
              <w:top w:val="nil"/>
              <w:left w:val="nil"/>
              <w:bottom w:val="nil"/>
              <w:right w:val="nil"/>
            </w:tcBorders>
            <w:shd w:val="clear" w:color="auto" w:fill="auto"/>
            <w:noWrap/>
            <w:vAlign w:val="bottom"/>
            <w:hideMark/>
          </w:tcPr>
          <w:p w14:paraId="2A1ACC34"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82.32</w:t>
            </w:r>
          </w:p>
        </w:tc>
        <w:tc>
          <w:tcPr>
            <w:tcW w:w="1438" w:type="dxa"/>
            <w:tcBorders>
              <w:top w:val="nil"/>
              <w:left w:val="nil"/>
              <w:bottom w:val="nil"/>
              <w:right w:val="nil"/>
            </w:tcBorders>
            <w:shd w:val="clear" w:color="auto" w:fill="auto"/>
            <w:noWrap/>
            <w:vAlign w:val="bottom"/>
            <w:hideMark/>
          </w:tcPr>
          <w:p w14:paraId="6118C081"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-8.90%</w:t>
            </w:r>
          </w:p>
        </w:tc>
      </w:tr>
      <w:tr w:rsidR="00DD2676" w:rsidRPr="00DD2676" w14:paraId="79E67136" w14:textId="77777777" w:rsidTr="00B47C95">
        <w:trPr>
          <w:trHeight w:val="289"/>
        </w:trPr>
        <w:tc>
          <w:tcPr>
            <w:tcW w:w="1226" w:type="dxa"/>
            <w:tcBorders>
              <w:top w:val="nil"/>
              <w:left w:val="nil"/>
              <w:bottom w:val="nil"/>
              <w:right w:val="nil"/>
            </w:tcBorders>
            <w:shd w:val="clear" w:color="auto" w:fill="auto"/>
            <w:noWrap/>
            <w:vAlign w:val="bottom"/>
            <w:hideMark/>
          </w:tcPr>
          <w:p w14:paraId="003FB108" w14:textId="77777777" w:rsidR="00DD2676" w:rsidRPr="00DD2676" w:rsidRDefault="00DD2676" w:rsidP="00DD2676">
            <w:pPr>
              <w:spacing w:after="0" w:line="240" w:lineRule="auto"/>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WTI</w:t>
            </w:r>
          </w:p>
        </w:tc>
        <w:tc>
          <w:tcPr>
            <w:tcW w:w="1672" w:type="dxa"/>
            <w:tcBorders>
              <w:top w:val="nil"/>
              <w:left w:val="nil"/>
              <w:bottom w:val="nil"/>
              <w:right w:val="nil"/>
            </w:tcBorders>
            <w:shd w:val="clear" w:color="auto" w:fill="auto"/>
            <w:noWrap/>
            <w:vAlign w:val="bottom"/>
            <w:hideMark/>
          </w:tcPr>
          <w:p w14:paraId="267726A5"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76.20 - 80.15</w:t>
            </w:r>
          </w:p>
        </w:tc>
        <w:tc>
          <w:tcPr>
            <w:tcW w:w="1672" w:type="dxa"/>
            <w:tcBorders>
              <w:top w:val="nil"/>
              <w:left w:val="nil"/>
              <w:bottom w:val="nil"/>
              <w:right w:val="nil"/>
            </w:tcBorders>
            <w:shd w:val="clear" w:color="auto" w:fill="auto"/>
            <w:noWrap/>
            <w:vAlign w:val="bottom"/>
            <w:hideMark/>
          </w:tcPr>
          <w:p w14:paraId="44125E43"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77.44</w:t>
            </w:r>
          </w:p>
        </w:tc>
        <w:tc>
          <w:tcPr>
            <w:tcW w:w="1438" w:type="dxa"/>
            <w:tcBorders>
              <w:top w:val="nil"/>
              <w:left w:val="nil"/>
              <w:bottom w:val="nil"/>
              <w:right w:val="nil"/>
            </w:tcBorders>
            <w:shd w:val="clear" w:color="auto" w:fill="auto"/>
            <w:noWrap/>
            <w:vAlign w:val="bottom"/>
            <w:hideMark/>
          </w:tcPr>
          <w:p w14:paraId="0FB6FBCC"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-7.77%</w:t>
            </w:r>
          </w:p>
        </w:tc>
      </w:tr>
      <w:tr w:rsidR="00DD2676" w:rsidRPr="00DD2676" w14:paraId="129A994A" w14:textId="77777777" w:rsidTr="00B47C95">
        <w:trPr>
          <w:trHeight w:val="289"/>
        </w:trPr>
        <w:tc>
          <w:tcPr>
            <w:tcW w:w="1226" w:type="dxa"/>
            <w:tcBorders>
              <w:top w:val="nil"/>
              <w:left w:val="nil"/>
              <w:bottom w:val="nil"/>
              <w:right w:val="nil"/>
            </w:tcBorders>
            <w:shd w:val="clear" w:color="auto" w:fill="auto"/>
            <w:noWrap/>
            <w:vAlign w:val="bottom"/>
            <w:hideMark/>
          </w:tcPr>
          <w:p w14:paraId="189215FD" w14:textId="77777777" w:rsidR="00DD2676" w:rsidRPr="00DD2676" w:rsidRDefault="00DD2676" w:rsidP="00DD2676">
            <w:pPr>
              <w:spacing w:after="0" w:line="240" w:lineRule="auto"/>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Bonny Light</w:t>
            </w:r>
          </w:p>
        </w:tc>
        <w:tc>
          <w:tcPr>
            <w:tcW w:w="1672" w:type="dxa"/>
            <w:tcBorders>
              <w:top w:val="nil"/>
              <w:left w:val="nil"/>
              <w:bottom w:val="nil"/>
              <w:right w:val="nil"/>
            </w:tcBorders>
            <w:shd w:val="clear" w:color="auto" w:fill="auto"/>
            <w:noWrap/>
            <w:vAlign w:val="bottom"/>
            <w:hideMark/>
          </w:tcPr>
          <w:p w14:paraId="376237A5"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79.38 - 86.39</w:t>
            </w:r>
          </w:p>
        </w:tc>
        <w:tc>
          <w:tcPr>
            <w:tcW w:w="1672" w:type="dxa"/>
            <w:tcBorders>
              <w:top w:val="nil"/>
              <w:left w:val="nil"/>
              <w:bottom w:val="nil"/>
              <w:right w:val="nil"/>
            </w:tcBorders>
            <w:shd w:val="clear" w:color="auto" w:fill="auto"/>
            <w:noWrap/>
            <w:vAlign w:val="bottom"/>
            <w:hideMark/>
          </w:tcPr>
          <w:p w14:paraId="4DFD7947"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82.95</w:t>
            </w:r>
          </w:p>
        </w:tc>
        <w:tc>
          <w:tcPr>
            <w:tcW w:w="1438" w:type="dxa"/>
            <w:tcBorders>
              <w:top w:val="nil"/>
              <w:left w:val="nil"/>
              <w:bottom w:val="nil"/>
              <w:right w:val="nil"/>
            </w:tcBorders>
            <w:shd w:val="clear" w:color="auto" w:fill="auto"/>
            <w:noWrap/>
            <w:vAlign w:val="bottom"/>
            <w:hideMark/>
          </w:tcPr>
          <w:p w14:paraId="10226573"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-8.25%</w:t>
            </w:r>
          </w:p>
        </w:tc>
      </w:tr>
      <w:tr w:rsidR="00DD2676" w:rsidRPr="00DD2676" w14:paraId="4439BF08" w14:textId="77777777" w:rsidTr="00B47C95">
        <w:trPr>
          <w:trHeight w:val="289"/>
        </w:trPr>
        <w:tc>
          <w:tcPr>
            <w:tcW w:w="1226" w:type="dxa"/>
            <w:tcBorders>
              <w:top w:val="nil"/>
              <w:left w:val="nil"/>
              <w:bottom w:val="single" w:sz="4" w:space="0" w:color="auto"/>
              <w:right w:val="nil"/>
            </w:tcBorders>
            <w:shd w:val="clear" w:color="auto" w:fill="auto"/>
            <w:noWrap/>
            <w:vAlign w:val="bottom"/>
            <w:hideMark/>
          </w:tcPr>
          <w:p w14:paraId="4FF75B50" w14:textId="77777777" w:rsidR="00DD2676" w:rsidRPr="00DD2676" w:rsidRDefault="00DD2676" w:rsidP="00DD2676">
            <w:pPr>
              <w:spacing w:after="0" w:line="240" w:lineRule="auto"/>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Jubilee</w:t>
            </w:r>
          </w:p>
        </w:tc>
        <w:tc>
          <w:tcPr>
            <w:tcW w:w="1672" w:type="dxa"/>
            <w:tcBorders>
              <w:top w:val="nil"/>
              <w:left w:val="nil"/>
              <w:bottom w:val="single" w:sz="4" w:space="0" w:color="auto"/>
              <w:right w:val="nil"/>
            </w:tcBorders>
            <w:shd w:val="clear" w:color="auto" w:fill="auto"/>
            <w:noWrap/>
            <w:vAlign w:val="bottom"/>
            <w:hideMark/>
          </w:tcPr>
          <w:p w14:paraId="5F76E513"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76.48 - 83.07</w:t>
            </w:r>
          </w:p>
        </w:tc>
        <w:tc>
          <w:tcPr>
            <w:tcW w:w="1672" w:type="dxa"/>
            <w:tcBorders>
              <w:top w:val="nil"/>
              <w:left w:val="nil"/>
              <w:bottom w:val="single" w:sz="4" w:space="0" w:color="auto"/>
              <w:right w:val="nil"/>
            </w:tcBorders>
            <w:shd w:val="clear" w:color="auto" w:fill="auto"/>
            <w:noWrap/>
            <w:vAlign w:val="bottom"/>
            <w:hideMark/>
          </w:tcPr>
          <w:p w14:paraId="6F3F0203"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79.91</w:t>
            </w:r>
          </w:p>
        </w:tc>
        <w:tc>
          <w:tcPr>
            <w:tcW w:w="1438" w:type="dxa"/>
            <w:tcBorders>
              <w:top w:val="nil"/>
              <w:left w:val="nil"/>
              <w:bottom w:val="single" w:sz="4" w:space="0" w:color="auto"/>
              <w:right w:val="nil"/>
            </w:tcBorders>
            <w:shd w:val="clear" w:color="auto" w:fill="auto"/>
            <w:noWrap/>
            <w:vAlign w:val="bottom"/>
            <w:hideMark/>
          </w:tcPr>
          <w:p w14:paraId="5F3D0D72" w14:textId="77777777" w:rsidR="00DD2676" w:rsidRPr="00DD2676" w:rsidRDefault="00DD2676" w:rsidP="00DD2676">
            <w:pPr>
              <w:spacing w:after="0" w:line="240" w:lineRule="auto"/>
              <w:jc w:val="center"/>
              <w:rPr>
                <w:rFonts w:ascii="Times New Roman" w:eastAsia="Times New Roman" w:hAnsi="Times New Roman" w:cs="Times New Roman"/>
                <w:color w:val="000000"/>
                <w:sz w:val="24"/>
                <w:szCs w:val="24"/>
              </w:rPr>
            </w:pPr>
            <w:r w:rsidRPr="00DD2676">
              <w:rPr>
                <w:rFonts w:ascii="Times New Roman" w:eastAsia="Times New Roman" w:hAnsi="Times New Roman" w:cs="Times New Roman"/>
                <w:color w:val="000000"/>
                <w:sz w:val="24"/>
                <w:szCs w:val="24"/>
              </w:rPr>
              <w:t>-8.87%</w:t>
            </w:r>
          </w:p>
        </w:tc>
      </w:tr>
    </w:tbl>
    <w:p w14:paraId="3218FFD2" w14:textId="77777777" w:rsidR="00026C37" w:rsidRPr="00B47C95" w:rsidRDefault="00026C37" w:rsidP="00026C37">
      <w:pPr>
        <w:spacing w:after="0" w:line="480" w:lineRule="auto"/>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Source: Author’s computation based on Platts data</w:t>
      </w:r>
    </w:p>
    <w:p w14:paraId="43AAF96B" w14:textId="77777777" w:rsidR="00870AFB" w:rsidRDefault="00870AFB" w:rsidP="00870AFB">
      <w:pPr>
        <w:pStyle w:val="Heading2"/>
        <w:spacing w:line="240" w:lineRule="auto"/>
        <w:rPr>
          <w:rFonts w:ascii="Times New Roman" w:hAnsi="Times New Roman" w:cs="Times New Roman"/>
          <w:sz w:val="24"/>
          <w:szCs w:val="24"/>
        </w:rPr>
      </w:pPr>
      <w:bookmarkStart w:id="52" w:name="_Toc141440559"/>
      <w:r>
        <w:rPr>
          <w:rFonts w:ascii="Times New Roman" w:hAnsi="Times New Roman" w:cs="Times New Roman"/>
          <w:sz w:val="24"/>
          <w:szCs w:val="24"/>
        </w:rPr>
        <w:t>5.2</w:t>
      </w:r>
      <w:r w:rsidRPr="008358B2">
        <w:rPr>
          <w:rFonts w:ascii="Times New Roman" w:hAnsi="Times New Roman" w:cs="Times New Roman"/>
          <w:sz w:val="24"/>
          <w:szCs w:val="24"/>
        </w:rPr>
        <w:t xml:space="preserve"> </w:t>
      </w:r>
      <w:r>
        <w:rPr>
          <w:rFonts w:ascii="Times New Roman" w:hAnsi="Times New Roman" w:cs="Times New Roman"/>
          <w:sz w:val="24"/>
          <w:szCs w:val="24"/>
        </w:rPr>
        <w:t>FOB Prices of Petroleum Products</w:t>
      </w:r>
      <w:bookmarkEnd w:id="52"/>
      <w:r>
        <w:rPr>
          <w:rFonts w:ascii="Times New Roman" w:hAnsi="Times New Roman" w:cs="Times New Roman"/>
          <w:sz w:val="24"/>
          <w:szCs w:val="24"/>
        </w:rPr>
        <w:t xml:space="preserve"> </w:t>
      </w:r>
    </w:p>
    <w:p w14:paraId="52EB8675" w14:textId="24BBFA6B" w:rsidR="00105206" w:rsidRDefault="00105206" w:rsidP="00105206">
      <w:pPr>
        <w:jc w:val="both"/>
        <w:rPr>
          <w:rFonts w:ascii="Times New Roman" w:hAnsi="Times New Roman" w:cs="Times New Roman"/>
          <w:sz w:val="24"/>
          <w:szCs w:val="24"/>
        </w:rPr>
      </w:pPr>
      <w:r w:rsidRPr="00955B3F">
        <w:rPr>
          <w:rFonts w:ascii="Times New Roman" w:hAnsi="Times New Roman" w:cs="Times New Roman"/>
          <w:sz w:val="24"/>
          <w:szCs w:val="24"/>
        </w:rPr>
        <w:t xml:space="preserve">The </w:t>
      </w:r>
      <w:r>
        <w:rPr>
          <w:rFonts w:ascii="Times New Roman" w:hAnsi="Times New Roman" w:cs="Times New Roman"/>
          <w:sz w:val="24"/>
          <w:szCs w:val="24"/>
        </w:rPr>
        <w:t>average</w:t>
      </w:r>
      <w:r w:rsidRPr="00955B3F">
        <w:rPr>
          <w:rFonts w:ascii="Times New Roman" w:hAnsi="Times New Roman" w:cs="Times New Roman"/>
          <w:sz w:val="24"/>
          <w:szCs w:val="24"/>
        </w:rPr>
        <w:t xml:space="preserve"> FOB prices of </w:t>
      </w:r>
      <w:r>
        <w:rPr>
          <w:rFonts w:ascii="Times New Roman" w:hAnsi="Times New Roman" w:cs="Times New Roman"/>
          <w:sz w:val="24"/>
          <w:szCs w:val="24"/>
        </w:rPr>
        <w:t xml:space="preserve">petroleum products traded within a </w:t>
      </w:r>
      <w:r w:rsidRPr="00955B3F">
        <w:rPr>
          <w:rFonts w:ascii="Times New Roman" w:hAnsi="Times New Roman" w:cs="Times New Roman"/>
          <w:sz w:val="24"/>
          <w:szCs w:val="24"/>
        </w:rPr>
        <w:t xml:space="preserve">range </w:t>
      </w:r>
      <w:r>
        <w:rPr>
          <w:rFonts w:ascii="Times New Roman" w:hAnsi="Times New Roman" w:cs="Times New Roman"/>
          <w:sz w:val="24"/>
          <w:szCs w:val="24"/>
        </w:rPr>
        <w:t xml:space="preserve">of </w:t>
      </w:r>
      <w:r w:rsidRPr="00955B3F">
        <w:rPr>
          <w:rFonts w:ascii="Times New Roman" w:hAnsi="Times New Roman" w:cs="Times New Roman"/>
          <w:sz w:val="24"/>
          <w:szCs w:val="24"/>
        </w:rPr>
        <w:t>US</w:t>
      </w:r>
      <w:r>
        <w:rPr>
          <w:rFonts w:ascii="Times New Roman" w:hAnsi="Times New Roman" w:cs="Times New Roman"/>
          <w:sz w:val="24"/>
          <w:szCs w:val="24"/>
        </w:rPr>
        <w:t>$</w:t>
      </w:r>
      <w:r w:rsidR="000B25D8">
        <w:rPr>
          <w:rFonts w:ascii="Times New Roman" w:hAnsi="Times New Roman" w:cs="Times New Roman"/>
          <w:sz w:val="24"/>
          <w:szCs w:val="24"/>
        </w:rPr>
        <w:t>441</w:t>
      </w:r>
      <w:r w:rsidRPr="00955B3F">
        <w:rPr>
          <w:rFonts w:ascii="Times New Roman" w:hAnsi="Times New Roman" w:cs="Times New Roman"/>
          <w:sz w:val="24"/>
          <w:szCs w:val="24"/>
        </w:rPr>
        <w:t>.</w:t>
      </w:r>
      <w:r w:rsidR="000B25D8">
        <w:rPr>
          <w:rFonts w:ascii="Times New Roman" w:hAnsi="Times New Roman" w:cs="Times New Roman"/>
          <w:sz w:val="24"/>
          <w:szCs w:val="24"/>
        </w:rPr>
        <w:t>35</w:t>
      </w:r>
      <w:r w:rsidRPr="00955B3F">
        <w:rPr>
          <w:rFonts w:ascii="Times New Roman" w:hAnsi="Times New Roman" w:cs="Times New Roman"/>
          <w:sz w:val="24"/>
          <w:szCs w:val="24"/>
        </w:rPr>
        <w:t>/</w:t>
      </w:r>
      <w:proofErr w:type="spellStart"/>
      <w:r w:rsidR="000B25D8">
        <w:rPr>
          <w:rFonts w:ascii="Times New Roman" w:hAnsi="Times New Roman" w:cs="Times New Roman"/>
          <w:sz w:val="24"/>
          <w:szCs w:val="24"/>
        </w:rPr>
        <w:t>mt</w:t>
      </w:r>
      <w:proofErr w:type="spellEnd"/>
      <w:r w:rsidR="000B25D8">
        <w:rPr>
          <w:rFonts w:ascii="Times New Roman" w:hAnsi="Times New Roman" w:cs="Times New Roman"/>
          <w:sz w:val="24"/>
          <w:szCs w:val="24"/>
        </w:rPr>
        <w:t xml:space="preserve"> </w:t>
      </w:r>
      <w:r w:rsidRPr="00955B3F">
        <w:rPr>
          <w:rFonts w:ascii="Times New Roman" w:hAnsi="Times New Roman" w:cs="Times New Roman"/>
          <w:sz w:val="24"/>
          <w:szCs w:val="24"/>
        </w:rPr>
        <w:t>and US</w:t>
      </w:r>
      <w:r>
        <w:rPr>
          <w:rFonts w:ascii="Times New Roman" w:hAnsi="Times New Roman" w:cs="Times New Roman"/>
          <w:sz w:val="24"/>
          <w:szCs w:val="24"/>
        </w:rPr>
        <w:t>$</w:t>
      </w:r>
      <w:r w:rsidR="000B25D8">
        <w:rPr>
          <w:rFonts w:ascii="Times New Roman" w:hAnsi="Times New Roman" w:cs="Times New Roman"/>
          <w:sz w:val="24"/>
          <w:szCs w:val="24"/>
        </w:rPr>
        <w:t>1,066.50</w:t>
      </w:r>
      <w:r w:rsidRPr="00955B3F">
        <w:rPr>
          <w:rFonts w:ascii="Times New Roman" w:hAnsi="Times New Roman" w:cs="Times New Roman"/>
          <w:sz w:val="24"/>
          <w:szCs w:val="24"/>
        </w:rPr>
        <w:t>/</w:t>
      </w:r>
      <w:proofErr w:type="spellStart"/>
      <w:r w:rsidR="000B25D8">
        <w:rPr>
          <w:rFonts w:ascii="Times New Roman" w:hAnsi="Times New Roman" w:cs="Times New Roman"/>
          <w:sz w:val="24"/>
          <w:szCs w:val="24"/>
        </w:rPr>
        <w:t>mt</w:t>
      </w:r>
      <w:proofErr w:type="spellEnd"/>
      <w:r>
        <w:rPr>
          <w:rFonts w:ascii="Times New Roman" w:hAnsi="Times New Roman" w:cs="Times New Roman"/>
          <w:sz w:val="24"/>
          <w:szCs w:val="24"/>
        </w:rPr>
        <w:t xml:space="preserve"> per pricing window for Q1 2023. </w:t>
      </w:r>
      <w:r w:rsidR="000B25D8">
        <w:rPr>
          <w:rFonts w:ascii="Times New Roman" w:hAnsi="Times New Roman" w:cs="Times New Roman"/>
          <w:sz w:val="24"/>
          <w:szCs w:val="24"/>
        </w:rPr>
        <w:t xml:space="preserve">Except LPG all the other products recorded price declines. Gasoil recorded the </w:t>
      </w:r>
      <w:r>
        <w:rPr>
          <w:rFonts w:ascii="Times New Roman" w:hAnsi="Times New Roman" w:cs="Times New Roman"/>
          <w:sz w:val="24"/>
          <w:szCs w:val="24"/>
        </w:rPr>
        <w:t xml:space="preserve">highest decline while </w:t>
      </w:r>
      <w:r w:rsidR="000B25D8">
        <w:rPr>
          <w:rFonts w:ascii="Times New Roman" w:hAnsi="Times New Roman" w:cs="Times New Roman"/>
          <w:sz w:val="24"/>
          <w:szCs w:val="24"/>
        </w:rPr>
        <w:t xml:space="preserve">gasoline </w:t>
      </w:r>
      <w:r>
        <w:rPr>
          <w:rFonts w:ascii="Times New Roman" w:hAnsi="Times New Roman" w:cs="Times New Roman"/>
          <w:sz w:val="24"/>
          <w:szCs w:val="24"/>
        </w:rPr>
        <w:t xml:space="preserve">recorded the least decline (see table </w:t>
      </w:r>
      <w:r w:rsidR="000B25D8">
        <w:rPr>
          <w:rFonts w:ascii="Times New Roman" w:hAnsi="Times New Roman" w:cs="Times New Roman"/>
          <w:sz w:val="24"/>
          <w:szCs w:val="24"/>
        </w:rPr>
        <w:t>2</w:t>
      </w:r>
      <w:r>
        <w:rPr>
          <w:rFonts w:ascii="Times New Roman" w:hAnsi="Times New Roman" w:cs="Times New Roman"/>
          <w:sz w:val="24"/>
          <w:szCs w:val="24"/>
        </w:rPr>
        <w:t xml:space="preserve">). </w:t>
      </w:r>
      <w:r w:rsidR="000B25D8">
        <w:rPr>
          <w:rFonts w:ascii="Times New Roman" w:hAnsi="Times New Roman" w:cs="Times New Roman"/>
          <w:sz w:val="24"/>
          <w:szCs w:val="24"/>
        </w:rPr>
        <w:t xml:space="preserve">ATK recorded the highest average quarterly FOB price, while as expected RFO recorded the least price for the period under review. </w:t>
      </w:r>
    </w:p>
    <w:p w14:paraId="47976D63" w14:textId="2399AAA4" w:rsidR="0099066D" w:rsidRDefault="0099066D" w:rsidP="0099066D">
      <w:pPr>
        <w:pStyle w:val="Caption"/>
        <w:keepNext/>
        <w:spacing w:after="0"/>
      </w:pPr>
      <w:bookmarkStart w:id="53" w:name="_Toc136871780"/>
      <w:r>
        <w:t xml:space="preserve">Table </w:t>
      </w:r>
      <w:r w:rsidR="004858CE">
        <w:rPr>
          <w:noProof/>
        </w:rPr>
        <w:fldChar w:fldCharType="begin"/>
      </w:r>
      <w:r w:rsidR="004858CE">
        <w:rPr>
          <w:noProof/>
        </w:rPr>
        <w:instrText xml:space="preserve"> SEQ Table \* ARABIC </w:instrText>
      </w:r>
      <w:r w:rsidR="004858CE">
        <w:rPr>
          <w:noProof/>
        </w:rPr>
        <w:fldChar w:fldCharType="separate"/>
      </w:r>
      <w:r w:rsidR="008D6281">
        <w:rPr>
          <w:noProof/>
        </w:rPr>
        <w:t>2</w:t>
      </w:r>
      <w:r w:rsidR="004858CE">
        <w:rPr>
          <w:noProof/>
        </w:rPr>
        <w:fldChar w:fldCharType="end"/>
      </w:r>
      <w:r>
        <w:t>: Petroleum Products FOB Price (US$/MT)</w:t>
      </w:r>
      <w:bookmarkEnd w:id="53"/>
    </w:p>
    <w:tbl>
      <w:tblPr>
        <w:tblW w:w="7439" w:type="dxa"/>
        <w:tblLook w:val="04A0" w:firstRow="1" w:lastRow="0" w:firstColumn="1" w:lastColumn="0" w:noHBand="0" w:noVBand="1"/>
      </w:tblPr>
      <w:tblGrid>
        <w:gridCol w:w="1886"/>
        <w:gridCol w:w="1970"/>
        <w:gridCol w:w="1970"/>
        <w:gridCol w:w="1613"/>
      </w:tblGrid>
      <w:tr w:rsidR="007C0C29" w:rsidRPr="007C0C29" w14:paraId="57384692" w14:textId="77777777" w:rsidTr="00B47C95">
        <w:trPr>
          <w:trHeight w:val="457"/>
        </w:trPr>
        <w:tc>
          <w:tcPr>
            <w:tcW w:w="1886" w:type="dxa"/>
            <w:tcBorders>
              <w:top w:val="single" w:sz="4" w:space="0" w:color="auto"/>
              <w:left w:val="nil"/>
              <w:bottom w:val="single" w:sz="4" w:space="0" w:color="auto"/>
              <w:right w:val="nil"/>
            </w:tcBorders>
            <w:shd w:val="clear" w:color="000000" w:fill="B4C6E7"/>
            <w:noWrap/>
            <w:vAlign w:val="bottom"/>
            <w:hideMark/>
          </w:tcPr>
          <w:p w14:paraId="0499AC4F" w14:textId="77777777" w:rsidR="007C0C29" w:rsidRPr="007C0C29" w:rsidRDefault="007C0C29" w:rsidP="007C0C29">
            <w:pPr>
              <w:spacing w:after="0" w:line="240" w:lineRule="auto"/>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Product</w:t>
            </w:r>
          </w:p>
        </w:tc>
        <w:tc>
          <w:tcPr>
            <w:tcW w:w="1970" w:type="dxa"/>
            <w:tcBorders>
              <w:top w:val="single" w:sz="4" w:space="0" w:color="auto"/>
              <w:left w:val="nil"/>
              <w:bottom w:val="single" w:sz="4" w:space="0" w:color="auto"/>
              <w:right w:val="nil"/>
            </w:tcBorders>
            <w:shd w:val="clear" w:color="000000" w:fill="B4C6E7"/>
            <w:noWrap/>
            <w:vAlign w:val="bottom"/>
            <w:hideMark/>
          </w:tcPr>
          <w:p w14:paraId="1673FBD6" w14:textId="458D7838"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Price Range</w:t>
            </w:r>
            <w:r w:rsidR="003B74D4">
              <w:rPr>
                <w:rFonts w:ascii="Times New Roman" w:eastAsia="Times New Roman" w:hAnsi="Times New Roman" w:cs="Times New Roman"/>
                <w:color w:val="000000"/>
                <w:sz w:val="24"/>
                <w:szCs w:val="24"/>
                <w:lang w:val="en-US"/>
              </w:rPr>
              <w:t xml:space="preserve"> (US$/MT)</w:t>
            </w:r>
            <w:r w:rsidRPr="007C0C29">
              <w:rPr>
                <w:rFonts w:ascii="Times New Roman" w:eastAsia="Times New Roman" w:hAnsi="Times New Roman" w:cs="Times New Roman"/>
                <w:color w:val="000000"/>
                <w:sz w:val="24"/>
                <w:szCs w:val="24"/>
              </w:rPr>
              <w:t xml:space="preserve"> </w:t>
            </w:r>
          </w:p>
        </w:tc>
        <w:tc>
          <w:tcPr>
            <w:tcW w:w="1970" w:type="dxa"/>
            <w:tcBorders>
              <w:top w:val="single" w:sz="4" w:space="0" w:color="auto"/>
              <w:left w:val="nil"/>
              <w:bottom w:val="single" w:sz="4" w:space="0" w:color="auto"/>
              <w:right w:val="nil"/>
            </w:tcBorders>
            <w:shd w:val="clear" w:color="000000" w:fill="B4C6E7"/>
            <w:noWrap/>
            <w:vAlign w:val="bottom"/>
            <w:hideMark/>
          </w:tcPr>
          <w:p w14:paraId="7A910FDD" w14:textId="422C242D" w:rsidR="007C0C29" w:rsidRPr="007C0C29" w:rsidRDefault="007C0C29" w:rsidP="007C0C29">
            <w:pPr>
              <w:spacing w:after="0" w:line="240" w:lineRule="auto"/>
              <w:jc w:val="center"/>
              <w:rPr>
                <w:rFonts w:ascii="Times New Roman" w:eastAsia="Times New Roman" w:hAnsi="Times New Roman" w:cs="Times New Roman"/>
                <w:color w:val="000000"/>
                <w:sz w:val="24"/>
                <w:szCs w:val="24"/>
                <w:lang w:val="en-US"/>
              </w:rPr>
            </w:pPr>
            <w:r w:rsidRPr="007C0C29">
              <w:rPr>
                <w:rFonts w:ascii="Times New Roman" w:eastAsia="Times New Roman" w:hAnsi="Times New Roman" w:cs="Times New Roman"/>
                <w:color w:val="000000"/>
                <w:sz w:val="24"/>
                <w:szCs w:val="24"/>
              </w:rPr>
              <w:t>Average Price</w:t>
            </w:r>
            <w:r w:rsidR="003B74D4">
              <w:rPr>
                <w:rFonts w:ascii="Times New Roman" w:eastAsia="Times New Roman" w:hAnsi="Times New Roman" w:cs="Times New Roman"/>
                <w:color w:val="000000"/>
                <w:sz w:val="24"/>
                <w:szCs w:val="24"/>
                <w:lang w:val="en-US"/>
              </w:rPr>
              <w:t xml:space="preserve"> (US$/MT)</w:t>
            </w:r>
          </w:p>
        </w:tc>
        <w:tc>
          <w:tcPr>
            <w:tcW w:w="1613" w:type="dxa"/>
            <w:tcBorders>
              <w:top w:val="single" w:sz="4" w:space="0" w:color="auto"/>
              <w:left w:val="nil"/>
              <w:bottom w:val="single" w:sz="4" w:space="0" w:color="auto"/>
              <w:right w:val="nil"/>
            </w:tcBorders>
            <w:shd w:val="clear" w:color="000000" w:fill="B4C6E7"/>
            <w:noWrap/>
            <w:vAlign w:val="bottom"/>
            <w:hideMark/>
          </w:tcPr>
          <w:p w14:paraId="2A1A8A4C" w14:textId="67D9E1C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sidRPr="007C0C29">
              <w:rPr>
                <w:rFonts w:ascii="Times New Roman" w:eastAsia="Times New Roman" w:hAnsi="Times New Roman" w:cs="Times New Roman"/>
                <w:color w:val="000000"/>
                <w:sz w:val="24"/>
                <w:szCs w:val="24"/>
              </w:rPr>
              <w:t>Change from Q4-22</w:t>
            </w:r>
          </w:p>
        </w:tc>
      </w:tr>
      <w:tr w:rsidR="007C0C29" w:rsidRPr="007C0C29" w14:paraId="31300188" w14:textId="77777777" w:rsidTr="00B47C95">
        <w:trPr>
          <w:trHeight w:val="457"/>
        </w:trPr>
        <w:tc>
          <w:tcPr>
            <w:tcW w:w="1886" w:type="dxa"/>
            <w:tcBorders>
              <w:top w:val="nil"/>
              <w:left w:val="nil"/>
              <w:bottom w:val="nil"/>
              <w:right w:val="nil"/>
            </w:tcBorders>
            <w:shd w:val="clear" w:color="auto" w:fill="auto"/>
            <w:noWrap/>
            <w:vAlign w:val="bottom"/>
            <w:hideMark/>
          </w:tcPr>
          <w:p w14:paraId="24F83B63" w14:textId="77777777" w:rsidR="007C0C29" w:rsidRPr="007C0C29" w:rsidRDefault="007C0C29" w:rsidP="007C0C29">
            <w:pPr>
              <w:spacing w:after="0" w:line="240" w:lineRule="auto"/>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Gasoline (Petrol)</w:t>
            </w:r>
          </w:p>
        </w:tc>
        <w:tc>
          <w:tcPr>
            <w:tcW w:w="1970" w:type="dxa"/>
            <w:tcBorders>
              <w:top w:val="nil"/>
              <w:left w:val="nil"/>
              <w:bottom w:val="nil"/>
              <w:right w:val="nil"/>
            </w:tcBorders>
            <w:shd w:val="clear" w:color="auto" w:fill="auto"/>
            <w:noWrap/>
            <w:vAlign w:val="bottom"/>
            <w:hideMark/>
          </w:tcPr>
          <w:p w14:paraId="620B1177"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717.95 - 889.59</w:t>
            </w:r>
          </w:p>
        </w:tc>
        <w:tc>
          <w:tcPr>
            <w:tcW w:w="1970" w:type="dxa"/>
            <w:tcBorders>
              <w:top w:val="nil"/>
              <w:left w:val="nil"/>
              <w:bottom w:val="nil"/>
              <w:right w:val="nil"/>
            </w:tcBorders>
            <w:shd w:val="clear" w:color="auto" w:fill="auto"/>
            <w:noWrap/>
            <w:vAlign w:val="bottom"/>
            <w:hideMark/>
          </w:tcPr>
          <w:p w14:paraId="5DA9ED87"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824.06</w:t>
            </w:r>
          </w:p>
        </w:tc>
        <w:tc>
          <w:tcPr>
            <w:tcW w:w="1613" w:type="dxa"/>
            <w:tcBorders>
              <w:top w:val="nil"/>
              <w:left w:val="nil"/>
              <w:bottom w:val="nil"/>
              <w:right w:val="nil"/>
            </w:tcBorders>
            <w:shd w:val="clear" w:color="auto" w:fill="auto"/>
            <w:noWrap/>
            <w:vAlign w:val="bottom"/>
            <w:hideMark/>
          </w:tcPr>
          <w:p w14:paraId="5B0A3214" w14:textId="5A314755"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w:t>
            </w:r>
            <w:r w:rsidRPr="007C0C29">
              <w:rPr>
                <w:rFonts w:ascii="Times New Roman" w:eastAsia="Times New Roman" w:hAnsi="Times New Roman" w:cs="Times New Roman"/>
                <w:color w:val="000000"/>
                <w:sz w:val="24"/>
                <w:szCs w:val="24"/>
              </w:rPr>
              <w:t>7.29%</w:t>
            </w:r>
          </w:p>
        </w:tc>
      </w:tr>
      <w:tr w:rsidR="007C0C29" w:rsidRPr="007C0C29" w14:paraId="300D2BF7" w14:textId="77777777" w:rsidTr="00B47C95">
        <w:trPr>
          <w:trHeight w:val="457"/>
        </w:trPr>
        <w:tc>
          <w:tcPr>
            <w:tcW w:w="1886" w:type="dxa"/>
            <w:tcBorders>
              <w:top w:val="nil"/>
              <w:left w:val="nil"/>
              <w:bottom w:val="nil"/>
              <w:right w:val="nil"/>
            </w:tcBorders>
            <w:shd w:val="clear" w:color="auto" w:fill="auto"/>
            <w:noWrap/>
            <w:vAlign w:val="bottom"/>
            <w:hideMark/>
          </w:tcPr>
          <w:p w14:paraId="19B79733" w14:textId="77777777" w:rsidR="007C0C29" w:rsidRPr="007C0C29" w:rsidRDefault="007C0C29" w:rsidP="007C0C29">
            <w:pPr>
              <w:spacing w:after="0" w:line="240" w:lineRule="auto"/>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Gasoil (Diesel)</w:t>
            </w:r>
          </w:p>
        </w:tc>
        <w:tc>
          <w:tcPr>
            <w:tcW w:w="1970" w:type="dxa"/>
            <w:tcBorders>
              <w:top w:val="nil"/>
              <w:left w:val="nil"/>
              <w:bottom w:val="nil"/>
              <w:right w:val="nil"/>
            </w:tcBorders>
            <w:shd w:val="clear" w:color="auto" w:fill="auto"/>
            <w:noWrap/>
            <w:vAlign w:val="bottom"/>
            <w:hideMark/>
          </w:tcPr>
          <w:p w14:paraId="33303C5F"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809.00 - 961.91</w:t>
            </w:r>
          </w:p>
        </w:tc>
        <w:tc>
          <w:tcPr>
            <w:tcW w:w="1970" w:type="dxa"/>
            <w:tcBorders>
              <w:top w:val="nil"/>
              <w:left w:val="nil"/>
              <w:bottom w:val="nil"/>
              <w:right w:val="nil"/>
            </w:tcBorders>
            <w:shd w:val="clear" w:color="auto" w:fill="auto"/>
            <w:noWrap/>
            <w:vAlign w:val="bottom"/>
            <w:hideMark/>
          </w:tcPr>
          <w:p w14:paraId="5C88CEDE"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874.81</w:t>
            </w:r>
          </w:p>
        </w:tc>
        <w:tc>
          <w:tcPr>
            <w:tcW w:w="1613" w:type="dxa"/>
            <w:tcBorders>
              <w:top w:val="nil"/>
              <w:left w:val="nil"/>
              <w:bottom w:val="nil"/>
              <w:right w:val="nil"/>
            </w:tcBorders>
            <w:shd w:val="clear" w:color="auto" w:fill="auto"/>
            <w:noWrap/>
            <w:vAlign w:val="bottom"/>
            <w:hideMark/>
          </w:tcPr>
          <w:p w14:paraId="077509FF" w14:textId="2F8A66BD"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w:t>
            </w:r>
            <w:r w:rsidRPr="007C0C29">
              <w:rPr>
                <w:rFonts w:ascii="Times New Roman" w:eastAsia="Times New Roman" w:hAnsi="Times New Roman" w:cs="Times New Roman"/>
                <w:color w:val="000000"/>
                <w:sz w:val="24"/>
                <w:szCs w:val="24"/>
              </w:rPr>
              <w:t>16.40%</w:t>
            </w:r>
          </w:p>
        </w:tc>
      </w:tr>
      <w:tr w:rsidR="007C0C29" w:rsidRPr="007C0C29" w14:paraId="0A1EA487" w14:textId="77777777" w:rsidTr="00B47C95">
        <w:trPr>
          <w:trHeight w:val="457"/>
        </w:trPr>
        <w:tc>
          <w:tcPr>
            <w:tcW w:w="1886" w:type="dxa"/>
            <w:tcBorders>
              <w:top w:val="nil"/>
              <w:left w:val="nil"/>
              <w:bottom w:val="nil"/>
              <w:right w:val="nil"/>
            </w:tcBorders>
            <w:shd w:val="clear" w:color="auto" w:fill="auto"/>
            <w:noWrap/>
            <w:vAlign w:val="bottom"/>
            <w:hideMark/>
          </w:tcPr>
          <w:p w14:paraId="045C82A5" w14:textId="77777777" w:rsidR="007C0C29" w:rsidRPr="007C0C29" w:rsidRDefault="007C0C29" w:rsidP="007C0C29">
            <w:pPr>
              <w:spacing w:after="0" w:line="240" w:lineRule="auto"/>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LPG</w:t>
            </w:r>
          </w:p>
        </w:tc>
        <w:tc>
          <w:tcPr>
            <w:tcW w:w="1970" w:type="dxa"/>
            <w:tcBorders>
              <w:top w:val="nil"/>
              <w:left w:val="nil"/>
              <w:bottom w:val="nil"/>
              <w:right w:val="nil"/>
            </w:tcBorders>
            <w:shd w:val="clear" w:color="auto" w:fill="auto"/>
            <w:noWrap/>
            <w:vAlign w:val="bottom"/>
            <w:hideMark/>
          </w:tcPr>
          <w:p w14:paraId="6C0C943C"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543.33 - 702.73</w:t>
            </w:r>
          </w:p>
        </w:tc>
        <w:tc>
          <w:tcPr>
            <w:tcW w:w="1970" w:type="dxa"/>
            <w:tcBorders>
              <w:top w:val="nil"/>
              <w:left w:val="nil"/>
              <w:bottom w:val="nil"/>
              <w:right w:val="nil"/>
            </w:tcBorders>
            <w:shd w:val="clear" w:color="auto" w:fill="auto"/>
            <w:noWrap/>
            <w:vAlign w:val="bottom"/>
            <w:hideMark/>
          </w:tcPr>
          <w:p w14:paraId="399FA6A7"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627.34</w:t>
            </w:r>
          </w:p>
        </w:tc>
        <w:tc>
          <w:tcPr>
            <w:tcW w:w="1613" w:type="dxa"/>
            <w:tcBorders>
              <w:top w:val="nil"/>
              <w:left w:val="nil"/>
              <w:bottom w:val="nil"/>
              <w:right w:val="nil"/>
            </w:tcBorders>
            <w:shd w:val="clear" w:color="auto" w:fill="auto"/>
            <w:noWrap/>
            <w:vAlign w:val="bottom"/>
            <w:hideMark/>
          </w:tcPr>
          <w:p w14:paraId="3CC91B07"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3.58%</w:t>
            </w:r>
          </w:p>
        </w:tc>
      </w:tr>
      <w:tr w:rsidR="007C0C29" w:rsidRPr="007C0C29" w14:paraId="51B90AC8" w14:textId="77777777" w:rsidTr="00B47C95">
        <w:trPr>
          <w:trHeight w:val="457"/>
        </w:trPr>
        <w:tc>
          <w:tcPr>
            <w:tcW w:w="1886" w:type="dxa"/>
            <w:tcBorders>
              <w:top w:val="nil"/>
              <w:left w:val="nil"/>
              <w:bottom w:val="nil"/>
              <w:right w:val="nil"/>
            </w:tcBorders>
            <w:shd w:val="clear" w:color="auto" w:fill="auto"/>
            <w:noWrap/>
            <w:vAlign w:val="bottom"/>
            <w:hideMark/>
          </w:tcPr>
          <w:p w14:paraId="549A7F5F" w14:textId="77777777" w:rsidR="007C0C29" w:rsidRPr="007C0C29" w:rsidRDefault="007C0C29" w:rsidP="007C0C29">
            <w:pPr>
              <w:spacing w:after="0" w:line="240" w:lineRule="auto"/>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Jet/ATK</w:t>
            </w:r>
          </w:p>
        </w:tc>
        <w:tc>
          <w:tcPr>
            <w:tcW w:w="1970" w:type="dxa"/>
            <w:tcBorders>
              <w:top w:val="nil"/>
              <w:left w:val="nil"/>
              <w:bottom w:val="nil"/>
              <w:right w:val="nil"/>
            </w:tcBorders>
            <w:shd w:val="clear" w:color="auto" w:fill="auto"/>
            <w:noWrap/>
            <w:vAlign w:val="bottom"/>
            <w:hideMark/>
          </w:tcPr>
          <w:p w14:paraId="46153F6B"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869.90 - 1,066.50</w:t>
            </w:r>
          </w:p>
        </w:tc>
        <w:tc>
          <w:tcPr>
            <w:tcW w:w="1970" w:type="dxa"/>
            <w:tcBorders>
              <w:top w:val="nil"/>
              <w:left w:val="nil"/>
              <w:bottom w:val="nil"/>
              <w:right w:val="nil"/>
            </w:tcBorders>
            <w:shd w:val="clear" w:color="auto" w:fill="auto"/>
            <w:noWrap/>
            <w:vAlign w:val="bottom"/>
            <w:hideMark/>
          </w:tcPr>
          <w:p w14:paraId="382ED8E4"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945.45</w:t>
            </w:r>
          </w:p>
        </w:tc>
        <w:tc>
          <w:tcPr>
            <w:tcW w:w="1613" w:type="dxa"/>
            <w:tcBorders>
              <w:top w:val="nil"/>
              <w:left w:val="nil"/>
              <w:bottom w:val="nil"/>
              <w:right w:val="nil"/>
            </w:tcBorders>
            <w:shd w:val="clear" w:color="auto" w:fill="auto"/>
            <w:noWrap/>
            <w:vAlign w:val="bottom"/>
            <w:hideMark/>
          </w:tcPr>
          <w:p w14:paraId="784387AE" w14:textId="6B9438D9"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w:t>
            </w:r>
            <w:r w:rsidRPr="007C0C29">
              <w:rPr>
                <w:rFonts w:ascii="Times New Roman" w:eastAsia="Times New Roman" w:hAnsi="Times New Roman" w:cs="Times New Roman"/>
                <w:color w:val="000000"/>
                <w:sz w:val="24"/>
                <w:szCs w:val="24"/>
              </w:rPr>
              <w:t>9.52%</w:t>
            </w:r>
          </w:p>
        </w:tc>
      </w:tr>
      <w:tr w:rsidR="007C0C29" w:rsidRPr="007C0C29" w14:paraId="7C175304" w14:textId="77777777" w:rsidTr="00B47C95">
        <w:trPr>
          <w:trHeight w:val="457"/>
        </w:trPr>
        <w:tc>
          <w:tcPr>
            <w:tcW w:w="1886" w:type="dxa"/>
            <w:tcBorders>
              <w:top w:val="nil"/>
              <w:left w:val="nil"/>
              <w:bottom w:val="single" w:sz="4" w:space="0" w:color="auto"/>
              <w:right w:val="nil"/>
            </w:tcBorders>
            <w:shd w:val="clear" w:color="auto" w:fill="auto"/>
            <w:noWrap/>
            <w:vAlign w:val="bottom"/>
            <w:hideMark/>
          </w:tcPr>
          <w:p w14:paraId="42DF7C23" w14:textId="77777777" w:rsidR="007C0C29" w:rsidRPr="007C0C29" w:rsidRDefault="007C0C29" w:rsidP="007C0C29">
            <w:pPr>
              <w:spacing w:after="0" w:line="240" w:lineRule="auto"/>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RFO</w:t>
            </w:r>
          </w:p>
        </w:tc>
        <w:tc>
          <w:tcPr>
            <w:tcW w:w="1970" w:type="dxa"/>
            <w:tcBorders>
              <w:top w:val="nil"/>
              <w:left w:val="nil"/>
              <w:bottom w:val="single" w:sz="4" w:space="0" w:color="auto"/>
              <w:right w:val="nil"/>
            </w:tcBorders>
            <w:shd w:val="clear" w:color="auto" w:fill="auto"/>
            <w:noWrap/>
            <w:vAlign w:val="bottom"/>
            <w:hideMark/>
          </w:tcPr>
          <w:p w14:paraId="12AA309F"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441.35 - 482.25</w:t>
            </w:r>
          </w:p>
        </w:tc>
        <w:tc>
          <w:tcPr>
            <w:tcW w:w="1970" w:type="dxa"/>
            <w:tcBorders>
              <w:top w:val="nil"/>
              <w:left w:val="nil"/>
              <w:bottom w:val="single" w:sz="4" w:space="0" w:color="auto"/>
              <w:right w:val="nil"/>
            </w:tcBorders>
            <w:shd w:val="clear" w:color="auto" w:fill="auto"/>
            <w:noWrap/>
            <w:vAlign w:val="bottom"/>
            <w:hideMark/>
          </w:tcPr>
          <w:p w14:paraId="2617F870" w14:textId="77777777"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sidRPr="007C0C29">
              <w:rPr>
                <w:rFonts w:ascii="Times New Roman" w:eastAsia="Times New Roman" w:hAnsi="Times New Roman" w:cs="Times New Roman"/>
                <w:color w:val="000000"/>
                <w:sz w:val="24"/>
                <w:szCs w:val="24"/>
              </w:rPr>
              <w:t>465.28</w:t>
            </w:r>
          </w:p>
        </w:tc>
        <w:tc>
          <w:tcPr>
            <w:tcW w:w="1613" w:type="dxa"/>
            <w:tcBorders>
              <w:top w:val="nil"/>
              <w:left w:val="nil"/>
              <w:bottom w:val="single" w:sz="4" w:space="0" w:color="auto"/>
              <w:right w:val="nil"/>
            </w:tcBorders>
            <w:shd w:val="clear" w:color="auto" w:fill="auto"/>
            <w:noWrap/>
            <w:vAlign w:val="bottom"/>
            <w:hideMark/>
          </w:tcPr>
          <w:p w14:paraId="00A2AEC4" w14:textId="3055D505" w:rsidR="007C0C29" w:rsidRPr="007C0C29" w:rsidRDefault="007C0C29" w:rsidP="007C0C2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w:t>
            </w:r>
            <w:r w:rsidRPr="007C0C29">
              <w:rPr>
                <w:rFonts w:ascii="Times New Roman" w:eastAsia="Times New Roman" w:hAnsi="Times New Roman" w:cs="Times New Roman"/>
                <w:color w:val="000000"/>
                <w:sz w:val="24"/>
                <w:szCs w:val="24"/>
              </w:rPr>
              <w:t>10.95%</w:t>
            </w:r>
          </w:p>
        </w:tc>
      </w:tr>
    </w:tbl>
    <w:p w14:paraId="6C4297F9" w14:textId="7165A1CF" w:rsidR="00DC1744" w:rsidRDefault="00DC1744" w:rsidP="00D74AC6">
      <w:pPr>
        <w:spacing w:after="0" w:line="480" w:lineRule="auto"/>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 xml:space="preserve">Source: </w:t>
      </w:r>
      <w:r w:rsidR="00026C37" w:rsidRPr="00B47C95">
        <w:rPr>
          <w:rFonts w:ascii="Times New Roman" w:hAnsi="Times New Roman" w:cs="Times New Roman"/>
          <w:i/>
          <w:color w:val="17406D" w:themeColor="text2"/>
          <w:sz w:val="24"/>
          <w:szCs w:val="24"/>
        </w:rPr>
        <w:t>Author’s computation based on Platts data</w:t>
      </w:r>
    </w:p>
    <w:p w14:paraId="1F975724" w14:textId="77777777" w:rsidR="00D35806" w:rsidRPr="00B47C95" w:rsidRDefault="00D35806" w:rsidP="00D74AC6">
      <w:pPr>
        <w:spacing w:after="0" w:line="480" w:lineRule="auto"/>
        <w:jc w:val="both"/>
        <w:rPr>
          <w:rFonts w:ascii="Times New Roman" w:hAnsi="Times New Roman" w:cs="Times New Roman"/>
          <w:i/>
          <w:color w:val="17406D" w:themeColor="text2"/>
          <w:sz w:val="24"/>
          <w:szCs w:val="24"/>
        </w:rPr>
      </w:pPr>
    </w:p>
    <w:p w14:paraId="41A73742" w14:textId="7129B9BD" w:rsidR="00623843" w:rsidRDefault="0017110B" w:rsidP="00623843">
      <w:pPr>
        <w:pStyle w:val="Heading2"/>
        <w:rPr>
          <w:rFonts w:ascii="Times New Roman" w:hAnsi="Times New Roman" w:cs="Times New Roman"/>
          <w:sz w:val="24"/>
          <w:szCs w:val="24"/>
        </w:rPr>
      </w:pPr>
      <w:bookmarkStart w:id="54" w:name="_Toc141440560"/>
      <w:r>
        <w:rPr>
          <w:rFonts w:ascii="Times New Roman" w:hAnsi="Times New Roman" w:cs="Times New Roman"/>
          <w:sz w:val="24"/>
          <w:szCs w:val="24"/>
        </w:rPr>
        <w:lastRenderedPageBreak/>
        <w:t>5</w:t>
      </w:r>
      <w:r w:rsidR="00623843">
        <w:rPr>
          <w:rFonts w:ascii="Times New Roman" w:hAnsi="Times New Roman" w:cs="Times New Roman"/>
          <w:sz w:val="24"/>
          <w:szCs w:val="24"/>
        </w:rPr>
        <w:t>.</w:t>
      </w:r>
      <w:r w:rsidR="0093020E">
        <w:rPr>
          <w:rFonts w:ascii="Times New Roman" w:hAnsi="Times New Roman" w:cs="Times New Roman"/>
          <w:sz w:val="24"/>
          <w:szCs w:val="24"/>
        </w:rPr>
        <w:t>3</w:t>
      </w:r>
      <w:r w:rsidR="00623843" w:rsidRPr="008358B2">
        <w:rPr>
          <w:rFonts w:ascii="Times New Roman" w:hAnsi="Times New Roman" w:cs="Times New Roman"/>
          <w:sz w:val="24"/>
          <w:szCs w:val="24"/>
        </w:rPr>
        <w:t xml:space="preserve"> </w:t>
      </w:r>
      <w:r w:rsidR="00623843">
        <w:rPr>
          <w:rFonts w:ascii="Times New Roman" w:hAnsi="Times New Roman" w:cs="Times New Roman"/>
          <w:sz w:val="24"/>
          <w:szCs w:val="24"/>
        </w:rPr>
        <w:t>Ex- Refinery Price</w:t>
      </w:r>
      <w:r w:rsidR="004E6A36">
        <w:rPr>
          <w:rFonts w:ascii="Times New Roman" w:hAnsi="Times New Roman" w:cs="Times New Roman"/>
          <w:sz w:val="24"/>
          <w:szCs w:val="24"/>
        </w:rPr>
        <w:t>s</w:t>
      </w:r>
      <w:bookmarkEnd w:id="54"/>
      <w:r w:rsidR="00623843">
        <w:rPr>
          <w:rFonts w:ascii="Times New Roman" w:hAnsi="Times New Roman" w:cs="Times New Roman"/>
          <w:sz w:val="24"/>
          <w:szCs w:val="24"/>
        </w:rPr>
        <w:t xml:space="preserve"> </w:t>
      </w:r>
    </w:p>
    <w:p w14:paraId="52E9F827" w14:textId="022EDBB0" w:rsidR="00D46AEC" w:rsidRDefault="00D46AEC" w:rsidP="00AE47F7">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the first quarter of 2023, e</w:t>
      </w:r>
      <w:r w:rsidRPr="00681250">
        <w:rPr>
          <w:rFonts w:ascii="Times New Roman" w:eastAsia="Times New Roman" w:hAnsi="Times New Roman" w:cs="Times New Roman"/>
          <w:sz w:val="24"/>
          <w:szCs w:val="24"/>
          <w:lang w:val="en-US"/>
        </w:rPr>
        <w:t xml:space="preserve">x-refinery prices </w:t>
      </w:r>
      <w:r w:rsidR="007A0138">
        <w:rPr>
          <w:rFonts w:ascii="Times New Roman" w:eastAsia="Times New Roman" w:hAnsi="Times New Roman" w:cs="Times New Roman"/>
          <w:sz w:val="24"/>
          <w:szCs w:val="24"/>
          <w:lang w:val="en-US"/>
        </w:rPr>
        <w:t xml:space="preserve">of </w:t>
      </w:r>
      <w:r>
        <w:rPr>
          <w:rFonts w:ascii="Times New Roman" w:eastAsia="Times New Roman" w:hAnsi="Times New Roman" w:cs="Times New Roman"/>
          <w:sz w:val="24"/>
          <w:szCs w:val="24"/>
          <w:lang w:val="en-US"/>
        </w:rPr>
        <w:t>gasoline, diesel and LPG all recorded some decreases compared to the last quarter of 2022. The downward change in prices from the previous quarter was particularly significant for diesel (23.2%), whose price averaged 11.68</w:t>
      </w:r>
      <w:r w:rsidR="0056478A">
        <w:rPr>
          <w:rFonts w:ascii="Times New Roman" w:eastAsia="Times New Roman" w:hAnsi="Times New Roman" w:cs="Times New Roman"/>
          <w:sz w:val="24"/>
          <w:szCs w:val="24"/>
          <w:lang w:val="en-US"/>
        </w:rPr>
        <w:t>/Lt</w:t>
      </w:r>
      <w:r>
        <w:rPr>
          <w:rFonts w:ascii="Times New Roman" w:eastAsia="Times New Roman" w:hAnsi="Times New Roman" w:cs="Times New Roman"/>
          <w:sz w:val="24"/>
          <w:szCs w:val="24"/>
          <w:lang w:val="en-US"/>
        </w:rPr>
        <w:t xml:space="preserve"> in the first quarter and ranged between GHC10.70 and GHC12.57/Lt</w:t>
      </w:r>
      <w:r w:rsidR="0056478A">
        <w:rPr>
          <w:rFonts w:ascii="Times New Roman" w:eastAsia="Times New Roman" w:hAnsi="Times New Roman" w:cs="Times New Roman"/>
          <w:sz w:val="24"/>
          <w:szCs w:val="24"/>
          <w:lang w:val="en-US"/>
        </w:rPr>
        <w:t xml:space="preserve"> per pricing window</w:t>
      </w:r>
      <w:r>
        <w:rPr>
          <w:rFonts w:ascii="Times New Roman" w:eastAsia="Times New Roman" w:hAnsi="Times New Roman" w:cs="Times New Roman"/>
          <w:sz w:val="24"/>
          <w:szCs w:val="24"/>
          <w:lang w:val="en-US"/>
        </w:rPr>
        <w:t xml:space="preserve"> (see table </w:t>
      </w:r>
      <w:r w:rsidR="00F01ACD">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 xml:space="preserve">). </w:t>
      </w:r>
      <w:r w:rsidR="00667513">
        <w:rPr>
          <w:rFonts w:ascii="Times New Roman" w:eastAsia="Times New Roman" w:hAnsi="Times New Roman" w:cs="Times New Roman"/>
          <w:sz w:val="24"/>
          <w:szCs w:val="24"/>
          <w:lang w:val="en-US"/>
        </w:rPr>
        <w:t>The declines in ex-refinery prices were mainly due to reductions in prices on the international market, as well as robust appreciations in the local currency against the US$.</w:t>
      </w:r>
    </w:p>
    <w:p w14:paraId="0D2E35B1" w14:textId="391CFD6E" w:rsidR="00151D43" w:rsidRPr="00B47C95" w:rsidRDefault="00151D43" w:rsidP="00151D43">
      <w:pPr>
        <w:pStyle w:val="Caption"/>
        <w:keepNext/>
        <w:spacing w:after="0"/>
        <w:rPr>
          <w:i/>
          <w:sz w:val="24"/>
          <w:szCs w:val="24"/>
        </w:rPr>
      </w:pPr>
      <w:bookmarkStart w:id="55" w:name="_Toc136871781"/>
      <w:r w:rsidRPr="00B47C95">
        <w:rPr>
          <w:i/>
          <w:sz w:val="24"/>
          <w:szCs w:val="24"/>
        </w:rPr>
        <w:t xml:space="preserve">Table </w:t>
      </w:r>
      <w:r w:rsidR="004858CE" w:rsidRPr="00B47C95">
        <w:rPr>
          <w:i/>
          <w:noProof/>
          <w:sz w:val="24"/>
          <w:szCs w:val="24"/>
        </w:rPr>
        <w:fldChar w:fldCharType="begin"/>
      </w:r>
      <w:r w:rsidR="004858CE" w:rsidRPr="00B47C95">
        <w:rPr>
          <w:i/>
          <w:noProof/>
          <w:sz w:val="24"/>
          <w:szCs w:val="24"/>
        </w:rPr>
        <w:instrText xml:space="preserve"> SEQ Table \* ARABIC </w:instrText>
      </w:r>
      <w:r w:rsidR="004858CE" w:rsidRPr="00B47C95">
        <w:rPr>
          <w:i/>
          <w:noProof/>
          <w:sz w:val="24"/>
          <w:szCs w:val="24"/>
        </w:rPr>
        <w:fldChar w:fldCharType="separate"/>
      </w:r>
      <w:r w:rsidR="008D6281" w:rsidRPr="00B47C95">
        <w:rPr>
          <w:i/>
          <w:noProof/>
          <w:sz w:val="24"/>
          <w:szCs w:val="24"/>
        </w:rPr>
        <w:t>3</w:t>
      </w:r>
      <w:r w:rsidR="004858CE" w:rsidRPr="00B47C95">
        <w:rPr>
          <w:i/>
          <w:noProof/>
          <w:sz w:val="24"/>
          <w:szCs w:val="24"/>
        </w:rPr>
        <w:fldChar w:fldCharType="end"/>
      </w:r>
      <w:r w:rsidRPr="00B47C95">
        <w:rPr>
          <w:i/>
          <w:sz w:val="24"/>
          <w:szCs w:val="24"/>
        </w:rPr>
        <w:t>: Ex-Refinery Prices of Petroleum Products (GHC/Lt/Kg)</w:t>
      </w:r>
      <w:bookmarkEnd w:id="55"/>
    </w:p>
    <w:tbl>
      <w:tblPr>
        <w:tblW w:w="6970" w:type="dxa"/>
        <w:tblLook w:val="04A0" w:firstRow="1" w:lastRow="0" w:firstColumn="1" w:lastColumn="0" w:noHBand="0" w:noVBand="1"/>
      </w:tblPr>
      <w:tblGrid>
        <w:gridCol w:w="1368"/>
        <w:gridCol w:w="2066"/>
        <w:gridCol w:w="2066"/>
        <w:gridCol w:w="1470"/>
      </w:tblGrid>
      <w:tr w:rsidR="0056478A" w:rsidRPr="0056478A" w14:paraId="11A12A16" w14:textId="77777777" w:rsidTr="00B47C95">
        <w:trPr>
          <w:trHeight w:val="511"/>
        </w:trPr>
        <w:tc>
          <w:tcPr>
            <w:tcW w:w="1368" w:type="dxa"/>
            <w:tcBorders>
              <w:top w:val="single" w:sz="4" w:space="0" w:color="auto"/>
              <w:left w:val="nil"/>
              <w:bottom w:val="single" w:sz="4" w:space="0" w:color="auto"/>
              <w:right w:val="nil"/>
            </w:tcBorders>
            <w:shd w:val="clear" w:color="000000" w:fill="B4C6E7"/>
            <w:noWrap/>
            <w:vAlign w:val="bottom"/>
            <w:hideMark/>
          </w:tcPr>
          <w:p w14:paraId="55A73E34" w14:textId="31595C73" w:rsidR="0056478A" w:rsidRPr="0056478A" w:rsidRDefault="0056478A" w:rsidP="0056478A">
            <w:pPr>
              <w:spacing w:after="0" w:line="240" w:lineRule="auto"/>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Product</w:t>
            </w:r>
          </w:p>
        </w:tc>
        <w:tc>
          <w:tcPr>
            <w:tcW w:w="2066" w:type="dxa"/>
            <w:tcBorders>
              <w:top w:val="single" w:sz="4" w:space="0" w:color="auto"/>
              <w:left w:val="nil"/>
              <w:bottom w:val="single" w:sz="4" w:space="0" w:color="auto"/>
              <w:right w:val="nil"/>
            </w:tcBorders>
            <w:shd w:val="clear" w:color="000000" w:fill="B4C6E7"/>
            <w:vAlign w:val="bottom"/>
            <w:hideMark/>
          </w:tcPr>
          <w:p w14:paraId="0C0A30F4" w14:textId="79D6170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Price Range (GHS/Lt/</w:t>
            </w:r>
            <w:r w:rsidR="0006001B">
              <w:rPr>
                <w:rFonts w:ascii="Times New Roman" w:eastAsia="Times New Roman" w:hAnsi="Times New Roman" w:cs="Times New Roman"/>
                <w:color w:val="000000"/>
                <w:sz w:val="24"/>
                <w:szCs w:val="24"/>
                <w:lang w:val="en-US"/>
              </w:rPr>
              <w:t>*</w:t>
            </w:r>
            <w:r w:rsidRPr="0056478A">
              <w:rPr>
                <w:rFonts w:ascii="Times New Roman" w:eastAsia="Times New Roman" w:hAnsi="Times New Roman" w:cs="Times New Roman"/>
                <w:color w:val="000000"/>
                <w:sz w:val="24"/>
                <w:szCs w:val="24"/>
              </w:rPr>
              <w:t>Kg)</w:t>
            </w:r>
          </w:p>
        </w:tc>
        <w:tc>
          <w:tcPr>
            <w:tcW w:w="2066" w:type="dxa"/>
            <w:tcBorders>
              <w:top w:val="single" w:sz="4" w:space="0" w:color="auto"/>
              <w:left w:val="nil"/>
              <w:bottom w:val="single" w:sz="4" w:space="0" w:color="auto"/>
              <w:right w:val="nil"/>
            </w:tcBorders>
            <w:shd w:val="clear" w:color="000000" w:fill="B4C6E7"/>
            <w:vAlign w:val="bottom"/>
            <w:hideMark/>
          </w:tcPr>
          <w:p w14:paraId="7E04AEDE" w14:textId="253E5BA5"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Average Price (GHS/Lt/</w:t>
            </w:r>
            <w:r w:rsidR="0006001B">
              <w:rPr>
                <w:rFonts w:ascii="Times New Roman" w:eastAsia="Times New Roman" w:hAnsi="Times New Roman" w:cs="Times New Roman"/>
                <w:color w:val="000000"/>
                <w:sz w:val="24"/>
                <w:szCs w:val="24"/>
                <w:lang w:val="en-US"/>
              </w:rPr>
              <w:t>*</w:t>
            </w:r>
            <w:r w:rsidRPr="0056478A">
              <w:rPr>
                <w:rFonts w:ascii="Times New Roman" w:eastAsia="Times New Roman" w:hAnsi="Times New Roman" w:cs="Times New Roman"/>
                <w:color w:val="000000"/>
                <w:sz w:val="24"/>
                <w:szCs w:val="24"/>
              </w:rPr>
              <w:t>Kg)</w:t>
            </w:r>
          </w:p>
        </w:tc>
        <w:tc>
          <w:tcPr>
            <w:tcW w:w="1470" w:type="dxa"/>
            <w:tcBorders>
              <w:top w:val="single" w:sz="4" w:space="0" w:color="auto"/>
              <w:left w:val="nil"/>
              <w:bottom w:val="single" w:sz="4" w:space="0" w:color="auto"/>
              <w:right w:val="nil"/>
            </w:tcBorders>
            <w:shd w:val="clear" w:color="000000" w:fill="B4C6E7"/>
            <w:vAlign w:val="center"/>
            <w:hideMark/>
          </w:tcPr>
          <w:p w14:paraId="14B57DA0" w14:textId="7777777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%Change from Q4-22</w:t>
            </w:r>
          </w:p>
        </w:tc>
      </w:tr>
      <w:tr w:rsidR="0056478A" w:rsidRPr="0056478A" w14:paraId="68E83702" w14:textId="77777777" w:rsidTr="00B47C95">
        <w:trPr>
          <w:trHeight w:val="254"/>
        </w:trPr>
        <w:tc>
          <w:tcPr>
            <w:tcW w:w="1368" w:type="dxa"/>
            <w:tcBorders>
              <w:top w:val="nil"/>
              <w:left w:val="nil"/>
              <w:bottom w:val="nil"/>
              <w:right w:val="nil"/>
            </w:tcBorders>
            <w:shd w:val="clear" w:color="auto" w:fill="auto"/>
            <w:vAlign w:val="center"/>
            <w:hideMark/>
          </w:tcPr>
          <w:p w14:paraId="6ED841FD" w14:textId="77777777" w:rsidR="0056478A" w:rsidRPr="0056478A" w:rsidRDefault="0056478A" w:rsidP="0056478A">
            <w:pPr>
              <w:spacing w:after="0" w:line="240" w:lineRule="auto"/>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Gasoline (Petrol)</w:t>
            </w:r>
          </w:p>
        </w:tc>
        <w:tc>
          <w:tcPr>
            <w:tcW w:w="2066" w:type="dxa"/>
            <w:tcBorders>
              <w:top w:val="nil"/>
              <w:left w:val="nil"/>
              <w:bottom w:val="nil"/>
              <w:right w:val="nil"/>
            </w:tcBorders>
            <w:shd w:val="clear" w:color="auto" w:fill="auto"/>
            <w:vAlign w:val="center"/>
            <w:hideMark/>
          </w:tcPr>
          <w:p w14:paraId="7968895B" w14:textId="7777777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 9.22 - 11.82 </w:t>
            </w:r>
          </w:p>
        </w:tc>
        <w:tc>
          <w:tcPr>
            <w:tcW w:w="2066" w:type="dxa"/>
            <w:tcBorders>
              <w:top w:val="nil"/>
              <w:left w:val="nil"/>
              <w:bottom w:val="nil"/>
              <w:right w:val="nil"/>
            </w:tcBorders>
            <w:shd w:val="clear" w:color="auto" w:fill="auto"/>
            <w:noWrap/>
            <w:vAlign w:val="bottom"/>
            <w:hideMark/>
          </w:tcPr>
          <w:p w14:paraId="3A6A7167" w14:textId="7777777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10.48</w:t>
            </w:r>
          </w:p>
        </w:tc>
        <w:tc>
          <w:tcPr>
            <w:tcW w:w="1470" w:type="dxa"/>
            <w:tcBorders>
              <w:top w:val="nil"/>
              <w:left w:val="nil"/>
              <w:bottom w:val="nil"/>
              <w:right w:val="nil"/>
            </w:tcBorders>
            <w:shd w:val="clear" w:color="auto" w:fill="auto"/>
            <w:noWrap/>
            <w:vAlign w:val="bottom"/>
            <w:hideMark/>
          </w:tcPr>
          <w:p w14:paraId="208D5450" w14:textId="5528D5C2"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-8.9%</w:t>
            </w:r>
          </w:p>
        </w:tc>
      </w:tr>
      <w:tr w:rsidR="0056478A" w:rsidRPr="0056478A" w14:paraId="17E490AE" w14:textId="77777777" w:rsidTr="00B47C95">
        <w:trPr>
          <w:trHeight w:val="254"/>
        </w:trPr>
        <w:tc>
          <w:tcPr>
            <w:tcW w:w="1368" w:type="dxa"/>
            <w:tcBorders>
              <w:top w:val="nil"/>
              <w:left w:val="nil"/>
              <w:bottom w:val="nil"/>
              <w:right w:val="nil"/>
            </w:tcBorders>
            <w:shd w:val="clear" w:color="auto" w:fill="auto"/>
            <w:vAlign w:val="center"/>
            <w:hideMark/>
          </w:tcPr>
          <w:p w14:paraId="2F933F8A" w14:textId="77777777" w:rsidR="0056478A" w:rsidRPr="0056478A" w:rsidRDefault="0056478A" w:rsidP="0056478A">
            <w:pPr>
              <w:spacing w:after="0" w:line="240" w:lineRule="auto"/>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Gasoil (Diesel)</w:t>
            </w:r>
          </w:p>
        </w:tc>
        <w:tc>
          <w:tcPr>
            <w:tcW w:w="2066" w:type="dxa"/>
            <w:tcBorders>
              <w:top w:val="nil"/>
              <w:left w:val="nil"/>
              <w:bottom w:val="nil"/>
              <w:right w:val="nil"/>
            </w:tcBorders>
            <w:shd w:val="clear" w:color="auto" w:fill="auto"/>
            <w:vAlign w:val="center"/>
            <w:hideMark/>
          </w:tcPr>
          <w:p w14:paraId="3EF9559E" w14:textId="7777777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10.70 - 12.57 </w:t>
            </w:r>
          </w:p>
        </w:tc>
        <w:tc>
          <w:tcPr>
            <w:tcW w:w="2066" w:type="dxa"/>
            <w:tcBorders>
              <w:top w:val="nil"/>
              <w:left w:val="nil"/>
              <w:bottom w:val="nil"/>
              <w:right w:val="nil"/>
            </w:tcBorders>
            <w:shd w:val="clear" w:color="auto" w:fill="auto"/>
            <w:noWrap/>
            <w:vAlign w:val="bottom"/>
            <w:hideMark/>
          </w:tcPr>
          <w:p w14:paraId="7E5668FC" w14:textId="7777777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11.68</w:t>
            </w:r>
          </w:p>
        </w:tc>
        <w:tc>
          <w:tcPr>
            <w:tcW w:w="1470" w:type="dxa"/>
            <w:tcBorders>
              <w:top w:val="nil"/>
              <w:left w:val="nil"/>
              <w:bottom w:val="nil"/>
              <w:right w:val="nil"/>
            </w:tcBorders>
            <w:shd w:val="clear" w:color="auto" w:fill="auto"/>
            <w:noWrap/>
            <w:vAlign w:val="bottom"/>
            <w:hideMark/>
          </w:tcPr>
          <w:p w14:paraId="54067C8A" w14:textId="1A9D5A6E"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-23.2%</w:t>
            </w:r>
          </w:p>
        </w:tc>
      </w:tr>
      <w:tr w:rsidR="0056478A" w:rsidRPr="0056478A" w14:paraId="334E4EB8" w14:textId="77777777" w:rsidTr="00B47C95">
        <w:trPr>
          <w:trHeight w:val="254"/>
        </w:trPr>
        <w:tc>
          <w:tcPr>
            <w:tcW w:w="1368" w:type="dxa"/>
            <w:tcBorders>
              <w:top w:val="nil"/>
              <w:left w:val="nil"/>
              <w:bottom w:val="single" w:sz="4" w:space="0" w:color="auto"/>
              <w:right w:val="nil"/>
            </w:tcBorders>
            <w:shd w:val="clear" w:color="auto" w:fill="auto"/>
            <w:vAlign w:val="center"/>
            <w:hideMark/>
          </w:tcPr>
          <w:p w14:paraId="368F0ED2" w14:textId="331CFB01" w:rsidR="0056478A" w:rsidRPr="0056478A" w:rsidRDefault="0006001B" w:rsidP="0056478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56478A" w:rsidRPr="0056478A">
              <w:rPr>
                <w:rFonts w:ascii="Times New Roman" w:eastAsia="Times New Roman" w:hAnsi="Times New Roman" w:cs="Times New Roman"/>
                <w:color w:val="000000"/>
                <w:sz w:val="24"/>
                <w:szCs w:val="24"/>
              </w:rPr>
              <w:t>LPG </w:t>
            </w:r>
          </w:p>
        </w:tc>
        <w:tc>
          <w:tcPr>
            <w:tcW w:w="2066" w:type="dxa"/>
            <w:tcBorders>
              <w:top w:val="nil"/>
              <w:left w:val="nil"/>
              <w:bottom w:val="single" w:sz="4" w:space="0" w:color="auto"/>
              <w:right w:val="nil"/>
            </w:tcBorders>
            <w:shd w:val="clear" w:color="auto" w:fill="auto"/>
            <w:vAlign w:val="center"/>
            <w:hideMark/>
          </w:tcPr>
          <w:p w14:paraId="29385D31" w14:textId="7777777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9.52 - 12.89 </w:t>
            </w:r>
          </w:p>
        </w:tc>
        <w:tc>
          <w:tcPr>
            <w:tcW w:w="2066" w:type="dxa"/>
            <w:tcBorders>
              <w:top w:val="nil"/>
              <w:left w:val="nil"/>
              <w:bottom w:val="single" w:sz="4" w:space="0" w:color="auto"/>
              <w:right w:val="nil"/>
            </w:tcBorders>
            <w:shd w:val="clear" w:color="auto" w:fill="auto"/>
            <w:noWrap/>
            <w:vAlign w:val="bottom"/>
            <w:hideMark/>
          </w:tcPr>
          <w:p w14:paraId="725BDE8A" w14:textId="77777777"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11.04</w:t>
            </w:r>
          </w:p>
        </w:tc>
        <w:tc>
          <w:tcPr>
            <w:tcW w:w="1470" w:type="dxa"/>
            <w:tcBorders>
              <w:top w:val="nil"/>
              <w:left w:val="nil"/>
              <w:bottom w:val="single" w:sz="4" w:space="0" w:color="auto"/>
              <w:right w:val="nil"/>
            </w:tcBorders>
            <w:shd w:val="clear" w:color="auto" w:fill="auto"/>
            <w:noWrap/>
            <w:vAlign w:val="bottom"/>
            <w:hideMark/>
          </w:tcPr>
          <w:p w14:paraId="497547BF" w14:textId="21A2F778" w:rsidR="0056478A" w:rsidRPr="0056478A" w:rsidRDefault="0056478A" w:rsidP="0056478A">
            <w:pPr>
              <w:spacing w:after="0" w:line="240" w:lineRule="auto"/>
              <w:jc w:val="center"/>
              <w:rPr>
                <w:rFonts w:ascii="Times New Roman" w:eastAsia="Times New Roman" w:hAnsi="Times New Roman" w:cs="Times New Roman"/>
                <w:color w:val="000000"/>
                <w:sz w:val="24"/>
                <w:szCs w:val="24"/>
              </w:rPr>
            </w:pPr>
            <w:r w:rsidRPr="0056478A">
              <w:rPr>
                <w:rFonts w:ascii="Times New Roman" w:eastAsia="Times New Roman" w:hAnsi="Times New Roman" w:cs="Times New Roman"/>
                <w:color w:val="000000"/>
                <w:sz w:val="24"/>
                <w:szCs w:val="24"/>
              </w:rPr>
              <w:t>-3.8%</w:t>
            </w:r>
          </w:p>
        </w:tc>
      </w:tr>
    </w:tbl>
    <w:p w14:paraId="30660C0E" w14:textId="6D754DA6" w:rsidR="00DC1744" w:rsidRPr="00B47C95" w:rsidRDefault="00DC1744" w:rsidP="00512408">
      <w:pPr>
        <w:spacing w:after="0" w:line="480" w:lineRule="auto"/>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 xml:space="preserve">Source: NPA </w:t>
      </w:r>
      <w:r w:rsidR="00026C37" w:rsidRPr="00B47C95">
        <w:rPr>
          <w:rFonts w:ascii="Times New Roman" w:hAnsi="Times New Roman" w:cs="Times New Roman"/>
          <w:i/>
          <w:color w:val="17406D" w:themeColor="text2"/>
          <w:sz w:val="24"/>
          <w:szCs w:val="24"/>
        </w:rPr>
        <w:t xml:space="preserve">Pricing </w:t>
      </w:r>
      <w:r w:rsidRPr="00B47C95">
        <w:rPr>
          <w:rFonts w:ascii="Times New Roman" w:hAnsi="Times New Roman" w:cs="Times New Roman"/>
          <w:i/>
          <w:color w:val="17406D" w:themeColor="text2"/>
          <w:sz w:val="24"/>
          <w:szCs w:val="24"/>
        </w:rPr>
        <w:t>Database</w:t>
      </w:r>
    </w:p>
    <w:p w14:paraId="3CABA6E4" w14:textId="45F3E63A" w:rsidR="00FF3C90" w:rsidRDefault="0017110B" w:rsidP="00080172">
      <w:pPr>
        <w:pStyle w:val="Heading2"/>
        <w:rPr>
          <w:rFonts w:ascii="Times New Roman" w:hAnsi="Times New Roman" w:cs="Times New Roman"/>
          <w:sz w:val="24"/>
          <w:szCs w:val="24"/>
        </w:rPr>
      </w:pPr>
      <w:bookmarkStart w:id="56" w:name="_Toc141440561"/>
      <w:r>
        <w:rPr>
          <w:rFonts w:ascii="Times New Roman" w:hAnsi="Times New Roman" w:cs="Times New Roman"/>
          <w:sz w:val="24"/>
          <w:szCs w:val="24"/>
        </w:rPr>
        <w:t>5</w:t>
      </w:r>
      <w:r w:rsidR="00FF3C90">
        <w:rPr>
          <w:rFonts w:ascii="Times New Roman" w:hAnsi="Times New Roman" w:cs="Times New Roman"/>
          <w:sz w:val="24"/>
          <w:szCs w:val="24"/>
        </w:rPr>
        <w:t>.</w:t>
      </w:r>
      <w:r w:rsidR="0093020E">
        <w:rPr>
          <w:rFonts w:ascii="Times New Roman" w:hAnsi="Times New Roman" w:cs="Times New Roman"/>
          <w:sz w:val="24"/>
          <w:szCs w:val="24"/>
        </w:rPr>
        <w:t>4</w:t>
      </w:r>
      <w:r w:rsidR="00FF3C90" w:rsidRPr="008358B2">
        <w:rPr>
          <w:rFonts w:ascii="Times New Roman" w:hAnsi="Times New Roman" w:cs="Times New Roman"/>
          <w:sz w:val="24"/>
          <w:szCs w:val="24"/>
        </w:rPr>
        <w:t xml:space="preserve"> </w:t>
      </w:r>
      <w:r w:rsidR="00FF3C90">
        <w:rPr>
          <w:rFonts w:ascii="Times New Roman" w:hAnsi="Times New Roman" w:cs="Times New Roman"/>
          <w:sz w:val="24"/>
          <w:szCs w:val="24"/>
        </w:rPr>
        <w:t>Ex- Pump Price</w:t>
      </w:r>
      <w:r w:rsidR="004E6A36">
        <w:rPr>
          <w:rFonts w:ascii="Times New Roman" w:hAnsi="Times New Roman" w:cs="Times New Roman"/>
          <w:sz w:val="24"/>
          <w:szCs w:val="24"/>
        </w:rPr>
        <w:t>s</w:t>
      </w:r>
      <w:r w:rsidR="00FF3C90">
        <w:rPr>
          <w:rFonts w:ascii="Times New Roman" w:hAnsi="Times New Roman" w:cs="Times New Roman"/>
          <w:sz w:val="24"/>
          <w:szCs w:val="24"/>
        </w:rPr>
        <w:t xml:space="preserve"> of Refined Petroleum Products</w:t>
      </w:r>
      <w:bookmarkEnd w:id="56"/>
    </w:p>
    <w:p w14:paraId="645CA944" w14:textId="5F26AD91" w:rsidR="00D46AEC" w:rsidRDefault="00D46AEC" w:rsidP="00AE47F7">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Daily pump prices over the first quarter of 2023 generally followed a decreasing trend </w:t>
      </w:r>
      <w:r w:rsidR="00436FA4">
        <w:rPr>
          <w:rFonts w:ascii="Times New Roman" w:eastAsia="Times New Roman" w:hAnsi="Times New Roman" w:cs="Times New Roman"/>
          <w:sz w:val="24"/>
          <w:szCs w:val="24"/>
          <w:lang w:val="en-US"/>
        </w:rPr>
        <w:t>like</w:t>
      </w:r>
      <w:r>
        <w:rPr>
          <w:rFonts w:ascii="Times New Roman" w:eastAsia="Times New Roman" w:hAnsi="Times New Roman" w:cs="Times New Roman"/>
          <w:sz w:val="24"/>
          <w:szCs w:val="24"/>
          <w:lang w:val="en-US"/>
        </w:rPr>
        <w:t xml:space="preserve"> the developments observed for ex-refinery prices as shown in table </w:t>
      </w:r>
      <w:r w:rsidR="00F01ACD">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en-US"/>
        </w:rPr>
        <w:t xml:space="preserve">. </w:t>
      </w:r>
      <w:r w:rsidRPr="00A073CE">
        <w:rPr>
          <w:rFonts w:ascii="Times New Roman" w:hAnsi="Times New Roman" w:cs="Times New Roman"/>
          <w:sz w:val="24"/>
          <w:szCs w:val="24"/>
        </w:rPr>
        <w:t xml:space="preserve">The </w:t>
      </w:r>
      <w:r>
        <w:rPr>
          <w:rFonts w:ascii="Times New Roman" w:hAnsi="Times New Roman" w:cs="Times New Roman"/>
          <w:sz w:val="24"/>
          <w:szCs w:val="24"/>
        </w:rPr>
        <w:t xml:space="preserve">average </w:t>
      </w:r>
      <w:r w:rsidRPr="00A073CE">
        <w:rPr>
          <w:rFonts w:ascii="Times New Roman" w:hAnsi="Times New Roman" w:cs="Times New Roman"/>
          <w:sz w:val="24"/>
          <w:szCs w:val="24"/>
        </w:rPr>
        <w:t>ex-pump price f</w:t>
      </w:r>
      <w:r>
        <w:rPr>
          <w:rFonts w:ascii="Times New Roman" w:hAnsi="Times New Roman" w:cs="Times New Roman"/>
          <w:sz w:val="24"/>
          <w:szCs w:val="24"/>
        </w:rPr>
        <w:t>or</w:t>
      </w:r>
      <w:r w:rsidRPr="00A073CE">
        <w:rPr>
          <w:rFonts w:ascii="Times New Roman" w:hAnsi="Times New Roman" w:cs="Times New Roman"/>
          <w:sz w:val="24"/>
          <w:szCs w:val="24"/>
        </w:rPr>
        <w:t xml:space="preserve"> </w:t>
      </w:r>
      <w:r>
        <w:rPr>
          <w:rFonts w:ascii="Times New Roman" w:hAnsi="Times New Roman" w:cs="Times New Roman"/>
          <w:sz w:val="24"/>
          <w:szCs w:val="24"/>
        </w:rPr>
        <w:t>gasoline (</w:t>
      </w:r>
      <w:r w:rsidRPr="00A073CE">
        <w:rPr>
          <w:rFonts w:ascii="Times New Roman" w:hAnsi="Times New Roman" w:cs="Times New Roman"/>
          <w:bCs/>
          <w:sz w:val="24"/>
          <w:szCs w:val="24"/>
        </w:rPr>
        <w:t>petrol</w:t>
      </w:r>
      <w:r>
        <w:rPr>
          <w:rFonts w:ascii="Times New Roman" w:hAnsi="Times New Roman" w:cs="Times New Roman"/>
          <w:bCs/>
          <w:sz w:val="24"/>
          <w:szCs w:val="24"/>
        </w:rPr>
        <w:t>)</w:t>
      </w:r>
      <w:r w:rsidRPr="00A073CE">
        <w:rPr>
          <w:rFonts w:ascii="Times New Roman" w:hAnsi="Times New Roman" w:cs="Times New Roman"/>
          <w:sz w:val="24"/>
          <w:szCs w:val="24"/>
        </w:rPr>
        <w:t xml:space="preserve"> in Q1 2023 ranged between GHS12.1988/Lt and GHS15.2697/Lt</w:t>
      </w:r>
      <w:r>
        <w:rPr>
          <w:rFonts w:ascii="Times New Roman" w:hAnsi="Times New Roman" w:cs="Times New Roman"/>
          <w:sz w:val="24"/>
          <w:szCs w:val="24"/>
        </w:rPr>
        <w:t xml:space="preserve"> per pricing window</w:t>
      </w:r>
      <w:r w:rsidRPr="00A073CE">
        <w:rPr>
          <w:rFonts w:ascii="Times New Roman" w:hAnsi="Times New Roman" w:cs="Times New Roman"/>
          <w:sz w:val="24"/>
          <w:szCs w:val="24"/>
        </w:rPr>
        <w:t xml:space="preserve"> and averaged GHS13.8111/Lt</w:t>
      </w:r>
      <w:r>
        <w:rPr>
          <w:rFonts w:ascii="Times New Roman" w:hAnsi="Times New Roman" w:cs="Times New Roman"/>
          <w:sz w:val="24"/>
          <w:szCs w:val="24"/>
        </w:rPr>
        <w:t>. This</w:t>
      </w:r>
      <w:r w:rsidR="00340459">
        <w:rPr>
          <w:rFonts w:ascii="Times New Roman" w:hAnsi="Times New Roman" w:cs="Times New Roman"/>
          <w:sz w:val="24"/>
          <w:szCs w:val="24"/>
        </w:rPr>
        <w:t xml:space="preserve">, </w:t>
      </w:r>
      <w:r>
        <w:rPr>
          <w:rFonts w:ascii="Times New Roman" w:hAnsi="Times New Roman" w:cs="Times New Roman"/>
          <w:sz w:val="24"/>
          <w:szCs w:val="24"/>
        </w:rPr>
        <w:t>in contrast to the last quarter of 2022, represents a</w:t>
      </w:r>
      <w:r w:rsidRPr="00A073CE">
        <w:rPr>
          <w:rFonts w:ascii="Times New Roman" w:hAnsi="Times New Roman" w:cs="Times New Roman"/>
          <w:sz w:val="24"/>
          <w:szCs w:val="24"/>
        </w:rPr>
        <w:t xml:space="preserve"> 6.79% </w:t>
      </w:r>
      <w:r>
        <w:rPr>
          <w:rFonts w:ascii="Times New Roman" w:hAnsi="Times New Roman" w:cs="Times New Roman"/>
          <w:sz w:val="24"/>
          <w:szCs w:val="24"/>
        </w:rPr>
        <w:t>reduction in pump prices</w:t>
      </w:r>
      <w:r w:rsidRPr="00A073CE">
        <w:rPr>
          <w:rFonts w:ascii="Times New Roman" w:hAnsi="Times New Roman" w:cs="Times New Roman"/>
          <w:sz w:val="24"/>
          <w:szCs w:val="24"/>
        </w:rPr>
        <w:t xml:space="preserve">. The lowest price was recorded in </w:t>
      </w:r>
      <w:r w:rsidRPr="00A073CE">
        <w:rPr>
          <w:rFonts w:ascii="Times New Roman" w:hAnsi="Times New Roman" w:cs="Times New Roman"/>
          <w:sz w:val="24"/>
          <w:szCs w:val="24"/>
        </w:rPr>
        <w:t xml:space="preserve">the first window of January while the highest price was </w:t>
      </w:r>
      <w:r>
        <w:rPr>
          <w:rFonts w:ascii="Times New Roman" w:hAnsi="Times New Roman" w:cs="Times New Roman"/>
          <w:sz w:val="24"/>
          <w:szCs w:val="24"/>
        </w:rPr>
        <w:t>seen</w:t>
      </w:r>
      <w:r w:rsidRPr="00A073CE">
        <w:rPr>
          <w:rFonts w:ascii="Times New Roman" w:hAnsi="Times New Roman" w:cs="Times New Roman"/>
          <w:sz w:val="24"/>
          <w:szCs w:val="24"/>
        </w:rPr>
        <w:t xml:space="preserve"> in the first </w:t>
      </w:r>
      <w:r>
        <w:rPr>
          <w:rFonts w:ascii="Times New Roman" w:hAnsi="Times New Roman" w:cs="Times New Roman"/>
          <w:sz w:val="24"/>
          <w:szCs w:val="24"/>
        </w:rPr>
        <w:t xml:space="preserve">pricing </w:t>
      </w:r>
      <w:r w:rsidRPr="00A073CE">
        <w:rPr>
          <w:rFonts w:ascii="Times New Roman" w:hAnsi="Times New Roman" w:cs="Times New Roman"/>
          <w:sz w:val="24"/>
          <w:szCs w:val="24"/>
        </w:rPr>
        <w:t xml:space="preserve">window of February. </w:t>
      </w:r>
      <w:r>
        <w:rPr>
          <w:rFonts w:ascii="Times New Roman" w:hAnsi="Times New Roman" w:cs="Times New Roman"/>
          <w:sz w:val="24"/>
          <w:szCs w:val="24"/>
        </w:rPr>
        <w:t xml:space="preserve">Among these three commonly consumed products in Ghana (petrol, diesel, and LPG), the </w:t>
      </w:r>
      <w:r w:rsidRPr="00A073CE">
        <w:rPr>
          <w:rFonts w:ascii="Times New Roman" w:hAnsi="Times New Roman" w:cs="Times New Roman"/>
          <w:sz w:val="24"/>
          <w:szCs w:val="24"/>
        </w:rPr>
        <w:t>ex-pump price f</w:t>
      </w:r>
      <w:r>
        <w:rPr>
          <w:rFonts w:ascii="Times New Roman" w:hAnsi="Times New Roman" w:cs="Times New Roman"/>
          <w:sz w:val="24"/>
          <w:szCs w:val="24"/>
        </w:rPr>
        <w:t>or</w:t>
      </w:r>
      <w:r w:rsidRPr="00A073CE">
        <w:rPr>
          <w:rFonts w:ascii="Times New Roman" w:hAnsi="Times New Roman" w:cs="Times New Roman"/>
          <w:sz w:val="24"/>
          <w:szCs w:val="24"/>
        </w:rPr>
        <w:t xml:space="preserve"> </w:t>
      </w:r>
      <w:r w:rsidRPr="00CE530B">
        <w:rPr>
          <w:rFonts w:ascii="Times New Roman" w:hAnsi="Times New Roman" w:cs="Times New Roman"/>
          <w:bCs/>
          <w:sz w:val="24"/>
          <w:szCs w:val="24"/>
        </w:rPr>
        <w:t>gasoil</w:t>
      </w:r>
      <w:r>
        <w:rPr>
          <w:rFonts w:ascii="Times New Roman" w:hAnsi="Times New Roman" w:cs="Times New Roman"/>
          <w:bCs/>
          <w:sz w:val="24"/>
          <w:szCs w:val="24"/>
        </w:rPr>
        <w:t xml:space="preserve"> (diesel)</w:t>
      </w:r>
      <w:r w:rsidRPr="00A073CE">
        <w:rPr>
          <w:rFonts w:ascii="Times New Roman" w:hAnsi="Times New Roman" w:cs="Times New Roman"/>
          <w:sz w:val="24"/>
          <w:szCs w:val="24"/>
        </w:rPr>
        <w:t xml:space="preserve"> </w:t>
      </w:r>
      <w:r>
        <w:rPr>
          <w:rFonts w:ascii="Times New Roman" w:hAnsi="Times New Roman" w:cs="Times New Roman"/>
          <w:sz w:val="24"/>
          <w:szCs w:val="24"/>
        </w:rPr>
        <w:t xml:space="preserve">had the highest reduction by about 19.56%. </w:t>
      </w:r>
      <w:r w:rsidR="00BB398B">
        <w:rPr>
          <w:rFonts w:ascii="Times New Roman" w:eastAsia="Times New Roman" w:hAnsi="Times New Roman" w:cs="Times New Roman"/>
          <w:sz w:val="24"/>
          <w:szCs w:val="24"/>
          <w:lang w:val="en-US"/>
        </w:rPr>
        <w:t xml:space="preserve">The declines in ex-pump prices were mainly due to reductions in ex-refinery prices on the local market, as well as reductions in </w:t>
      </w:r>
      <w:r w:rsidR="007C19B2">
        <w:rPr>
          <w:rFonts w:ascii="Times New Roman" w:eastAsia="Times New Roman" w:hAnsi="Times New Roman" w:cs="Times New Roman"/>
          <w:sz w:val="24"/>
          <w:szCs w:val="24"/>
          <w:lang w:val="en-US"/>
        </w:rPr>
        <w:t>marketer’s</w:t>
      </w:r>
      <w:r w:rsidR="00BB398B">
        <w:rPr>
          <w:rFonts w:ascii="Times New Roman" w:eastAsia="Times New Roman" w:hAnsi="Times New Roman" w:cs="Times New Roman"/>
          <w:sz w:val="24"/>
          <w:szCs w:val="24"/>
          <w:lang w:val="en-US"/>
        </w:rPr>
        <w:t xml:space="preserve"> margins.</w:t>
      </w:r>
    </w:p>
    <w:p w14:paraId="251C3325" w14:textId="77777777" w:rsidR="00B13B19" w:rsidRDefault="00B13B19" w:rsidP="00AE47F7">
      <w:pPr>
        <w:jc w:val="both"/>
        <w:rPr>
          <w:rFonts w:ascii="Times New Roman" w:hAnsi="Times New Roman" w:cs="Times New Roman"/>
          <w:sz w:val="24"/>
          <w:szCs w:val="24"/>
        </w:rPr>
      </w:pPr>
    </w:p>
    <w:p w14:paraId="764F8C82" w14:textId="77777777" w:rsidR="00D97D83" w:rsidRDefault="00D97D83" w:rsidP="00AE47F7">
      <w:pPr>
        <w:jc w:val="both"/>
        <w:rPr>
          <w:rFonts w:ascii="Times New Roman" w:hAnsi="Times New Roman" w:cs="Times New Roman"/>
          <w:sz w:val="24"/>
          <w:szCs w:val="24"/>
        </w:rPr>
      </w:pPr>
    </w:p>
    <w:p w14:paraId="221C0953" w14:textId="77777777" w:rsidR="00D97D83" w:rsidRDefault="00D97D83" w:rsidP="00AE47F7">
      <w:pPr>
        <w:jc w:val="both"/>
        <w:rPr>
          <w:rFonts w:ascii="Times New Roman" w:hAnsi="Times New Roman" w:cs="Times New Roman"/>
          <w:sz w:val="24"/>
          <w:szCs w:val="24"/>
        </w:rPr>
      </w:pPr>
    </w:p>
    <w:p w14:paraId="638E47A5" w14:textId="46D53AB1" w:rsidR="00151D43" w:rsidRPr="00B47C95" w:rsidRDefault="00151D43" w:rsidP="00151D43">
      <w:pPr>
        <w:pStyle w:val="Caption"/>
        <w:keepNext/>
        <w:spacing w:after="0"/>
        <w:rPr>
          <w:i/>
          <w:sz w:val="24"/>
          <w:szCs w:val="24"/>
        </w:rPr>
      </w:pPr>
      <w:bookmarkStart w:id="57" w:name="_Toc136871782"/>
      <w:r w:rsidRPr="00B47C95">
        <w:rPr>
          <w:i/>
          <w:sz w:val="24"/>
          <w:szCs w:val="24"/>
        </w:rPr>
        <w:t xml:space="preserve">Table </w:t>
      </w:r>
      <w:r w:rsidR="004858CE" w:rsidRPr="00B47C95">
        <w:rPr>
          <w:i/>
          <w:noProof/>
          <w:sz w:val="24"/>
          <w:szCs w:val="24"/>
        </w:rPr>
        <w:fldChar w:fldCharType="begin"/>
      </w:r>
      <w:r w:rsidR="004858CE" w:rsidRPr="00B47C95">
        <w:rPr>
          <w:i/>
          <w:noProof/>
          <w:sz w:val="24"/>
          <w:szCs w:val="24"/>
        </w:rPr>
        <w:instrText xml:space="preserve"> SEQ Table \* ARABIC </w:instrText>
      </w:r>
      <w:r w:rsidR="004858CE" w:rsidRPr="00B47C95">
        <w:rPr>
          <w:i/>
          <w:noProof/>
          <w:sz w:val="24"/>
          <w:szCs w:val="24"/>
        </w:rPr>
        <w:fldChar w:fldCharType="separate"/>
      </w:r>
      <w:r w:rsidR="008D6281" w:rsidRPr="00B47C95">
        <w:rPr>
          <w:i/>
          <w:noProof/>
          <w:sz w:val="24"/>
          <w:szCs w:val="24"/>
        </w:rPr>
        <w:t>4</w:t>
      </w:r>
      <w:r w:rsidR="004858CE" w:rsidRPr="00B47C95">
        <w:rPr>
          <w:i/>
          <w:noProof/>
          <w:sz w:val="24"/>
          <w:szCs w:val="24"/>
        </w:rPr>
        <w:fldChar w:fldCharType="end"/>
      </w:r>
      <w:r w:rsidRPr="00B47C95">
        <w:rPr>
          <w:i/>
          <w:sz w:val="24"/>
          <w:szCs w:val="24"/>
        </w:rPr>
        <w:t>: Ex-Pump Prices of Petroleum Products (GHS/Lt/Kg)</w:t>
      </w:r>
      <w:bookmarkEnd w:id="57"/>
    </w:p>
    <w:tbl>
      <w:tblPr>
        <w:tblW w:w="6868" w:type="dxa"/>
        <w:tblLook w:val="04A0" w:firstRow="1" w:lastRow="0" w:firstColumn="1" w:lastColumn="0" w:noHBand="0" w:noVBand="1"/>
      </w:tblPr>
      <w:tblGrid>
        <w:gridCol w:w="1348"/>
        <w:gridCol w:w="2036"/>
        <w:gridCol w:w="2036"/>
        <w:gridCol w:w="1448"/>
      </w:tblGrid>
      <w:tr w:rsidR="00411350" w:rsidRPr="0024131A" w14:paraId="37E56D61" w14:textId="77777777" w:rsidTr="00B47C95">
        <w:trPr>
          <w:trHeight w:val="620"/>
        </w:trPr>
        <w:tc>
          <w:tcPr>
            <w:tcW w:w="1348" w:type="dxa"/>
            <w:tcBorders>
              <w:top w:val="single" w:sz="4" w:space="0" w:color="auto"/>
              <w:left w:val="nil"/>
              <w:bottom w:val="single" w:sz="4" w:space="0" w:color="auto"/>
              <w:right w:val="nil"/>
            </w:tcBorders>
            <w:shd w:val="clear" w:color="000000" w:fill="B4C6E7"/>
            <w:noWrap/>
            <w:vAlign w:val="bottom"/>
            <w:hideMark/>
          </w:tcPr>
          <w:p w14:paraId="3AB46246" w14:textId="77777777" w:rsidR="00411350" w:rsidRPr="0024131A" w:rsidRDefault="00411350" w:rsidP="00411350">
            <w:pPr>
              <w:spacing w:after="0" w:line="240" w:lineRule="auto"/>
              <w:rPr>
                <w:rFonts w:ascii="Times New Roman" w:eastAsia="Times New Roman" w:hAnsi="Times New Roman" w:cs="Times New Roman"/>
                <w:color w:val="000000"/>
                <w:sz w:val="24"/>
                <w:szCs w:val="24"/>
              </w:rPr>
            </w:pPr>
            <w:r w:rsidRPr="0024131A">
              <w:rPr>
                <w:rFonts w:ascii="Times New Roman" w:eastAsia="Times New Roman" w:hAnsi="Times New Roman" w:cs="Times New Roman"/>
                <w:color w:val="000000"/>
                <w:sz w:val="24"/>
                <w:szCs w:val="24"/>
              </w:rPr>
              <w:t>Product</w:t>
            </w:r>
          </w:p>
        </w:tc>
        <w:tc>
          <w:tcPr>
            <w:tcW w:w="2036" w:type="dxa"/>
            <w:tcBorders>
              <w:top w:val="single" w:sz="4" w:space="0" w:color="auto"/>
              <w:left w:val="nil"/>
              <w:bottom w:val="single" w:sz="4" w:space="0" w:color="auto"/>
              <w:right w:val="nil"/>
            </w:tcBorders>
            <w:shd w:val="clear" w:color="000000" w:fill="B4C6E7"/>
            <w:vAlign w:val="bottom"/>
            <w:hideMark/>
          </w:tcPr>
          <w:p w14:paraId="352AECA0" w14:textId="56456162" w:rsidR="00411350" w:rsidRPr="0024131A" w:rsidRDefault="00411350" w:rsidP="00411350">
            <w:pPr>
              <w:spacing w:after="0" w:line="240" w:lineRule="auto"/>
              <w:jc w:val="center"/>
              <w:rPr>
                <w:rFonts w:ascii="Times New Roman" w:eastAsia="Times New Roman" w:hAnsi="Times New Roman" w:cs="Times New Roman"/>
                <w:color w:val="000000"/>
                <w:sz w:val="24"/>
                <w:szCs w:val="24"/>
              </w:rPr>
            </w:pPr>
            <w:r w:rsidRPr="0024131A">
              <w:rPr>
                <w:rFonts w:ascii="Times New Roman" w:eastAsia="Times New Roman" w:hAnsi="Times New Roman" w:cs="Times New Roman"/>
                <w:color w:val="000000"/>
                <w:sz w:val="24"/>
                <w:szCs w:val="24"/>
              </w:rPr>
              <w:t>Price Range (GHS/Lt/</w:t>
            </w:r>
            <w:r w:rsidRPr="0024131A">
              <w:rPr>
                <w:rFonts w:ascii="Times New Roman" w:eastAsia="Times New Roman" w:hAnsi="Times New Roman" w:cs="Times New Roman"/>
                <w:color w:val="000000"/>
                <w:sz w:val="24"/>
                <w:szCs w:val="24"/>
                <w:lang w:val="en-US"/>
              </w:rPr>
              <w:t>*</w:t>
            </w:r>
            <w:r w:rsidRPr="0024131A">
              <w:rPr>
                <w:rFonts w:ascii="Times New Roman" w:eastAsia="Times New Roman" w:hAnsi="Times New Roman" w:cs="Times New Roman"/>
                <w:color w:val="000000"/>
                <w:sz w:val="24"/>
                <w:szCs w:val="24"/>
              </w:rPr>
              <w:t>Kg)</w:t>
            </w:r>
          </w:p>
        </w:tc>
        <w:tc>
          <w:tcPr>
            <w:tcW w:w="2036" w:type="dxa"/>
            <w:tcBorders>
              <w:top w:val="single" w:sz="4" w:space="0" w:color="auto"/>
              <w:left w:val="nil"/>
              <w:bottom w:val="single" w:sz="4" w:space="0" w:color="auto"/>
              <w:right w:val="nil"/>
            </w:tcBorders>
            <w:shd w:val="clear" w:color="000000" w:fill="B4C6E7"/>
            <w:vAlign w:val="bottom"/>
            <w:hideMark/>
          </w:tcPr>
          <w:p w14:paraId="4AC47DC2" w14:textId="3EB5C5B1" w:rsidR="00411350" w:rsidRPr="0024131A" w:rsidRDefault="00411350" w:rsidP="00411350">
            <w:pPr>
              <w:spacing w:after="0" w:line="240" w:lineRule="auto"/>
              <w:jc w:val="center"/>
              <w:rPr>
                <w:rFonts w:ascii="Times New Roman" w:eastAsia="Times New Roman" w:hAnsi="Times New Roman" w:cs="Times New Roman"/>
                <w:color w:val="000000"/>
                <w:sz w:val="24"/>
                <w:szCs w:val="24"/>
              </w:rPr>
            </w:pPr>
            <w:r w:rsidRPr="0024131A">
              <w:rPr>
                <w:rFonts w:ascii="Times New Roman" w:eastAsia="Times New Roman" w:hAnsi="Times New Roman" w:cs="Times New Roman"/>
                <w:color w:val="000000"/>
                <w:sz w:val="24"/>
                <w:szCs w:val="24"/>
              </w:rPr>
              <w:t>Average Price (GHS/Lt/</w:t>
            </w:r>
            <w:r w:rsidRPr="0024131A">
              <w:rPr>
                <w:rFonts w:ascii="Times New Roman" w:eastAsia="Times New Roman" w:hAnsi="Times New Roman" w:cs="Times New Roman"/>
                <w:color w:val="000000"/>
                <w:sz w:val="24"/>
                <w:szCs w:val="24"/>
                <w:lang w:val="en-US"/>
              </w:rPr>
              <w:t>*</w:t>
            </w:r>
            <w:r w:rsidRPr="0024131A">
              <w:rPr>
                <w:rFonts w:ascii="Times New Roman" w:eastAsia="Times New Roman" w:hAnsi="Times New Roman" w:cs="Times New Roman"/>
                <w:color w:val="000000"/>
                <w:sz w:val="24"/>
                <w:szCs w:val="24"/>
              </w:rPr>
              <w:t>Kg)</w:t>
            </w:r>
          </w:p>
        </w:tc>
        <w:tc>
          <w:tcPr>
            <w:tcW w:w="1448" w:type="dxa"/>
            <w:tcBorders>
              <w:top w:val="single" w:sz="4" w:space="0" w:color="auto"/>
              <w:left w:val="nil"/>
              <w:bottom w:val="single" w:sz="4" w:space="0" w:color="auto"/>
              <w:right w:val="nil"/>
            </w:tcBorders>
            <w:shd w:val="clear" w:color="000000" w:fill="B4C6E7"/>
            <w:vAlign w:val="center"/>
            <w:hideMark/>
          </w:tcPr>
          <w:p w14:paraId="6F1947D3" w14:textId="77777777" w:rsidR="00411350" w:rsidRPr="0024131A" w:rsidRDefault="00411350" w:rsidP="00411350">
            <w:pPr>
              <w:spacing w:after="0" w:line="240" w:lineRule="auto"/>
              <w:jc w:val="center"/>
              <w:rPr>
                <w:rFonts w:ascii="Times New Roman" w:eastAsia="Times New Roman" w:hAnsi="Times New Roman" w:cs="Times New Roman"/>
                <w:color w:val="000000"/>
                <w:sz w:val="24"/>
                <w:szCs w:val="24"/>
              </w:rPr>
            </w:pPr>
            <w:r w:rsidRPr="0024131A">
              <w:rPr>
                <w:rFonts w:ascii="Times New Roman" w:eastAsia="Times New Roman" w:hAnsi="Times New Roman" w:cs="Times New Roman"/>
                <w:color w:val="000000"/>
                <w:sz w:val="24"/>
                <w:szCs w:val="24"/>
              </w:rPr>
              <w:t>%Change from Q4-22</w:t>
            </w:r>
          </w:p>
        </w:tc>
      </w:tr>
      <w:tr w:rsidR="00411350" w:rsidRPr="00411350" w14:paraId="58EA93DF" w14:textId="77777777" w:rsidTr="00B47C95">
        <w:trPr>
          <w:trHeight w:val="620"/>
        </w:trPr>
        <w:tc>
          <w:tcPr>
            <w:tcW w:w="1348" w:type="dxa"/>
            <w:tcBorders>
              <w:top w:val="nil"/>
              <w:left w:val="nil"/>
              <w:bottom w:val="nil"/>
              <w:right w:val="nil"/>
            </w:tcBorders>
            <w:shd w:val="clear" w:color="auto" w:fill="auto"/>
            <w:vAlign w:val="center"/>
            <w:hideMark/>
          </w:tcPr>
          <w:p w14:paraId="77A1E24D" w14:textId="77777777" w:rsidR="00411350" w:rsidRPr="00411350" w:rsidRDefault="00411350" w:rsidP="00411350">
            <w:pPr>
              <w:spacing w:after="0" w:line="240" w:lineRule="auto"/>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Gasoline (Petrol)</w:t>
            </w:r>
          </w:p>
        </w:tc>
        <w:tc>
          <w:tcPr>
            <w:tcW w:w="2036" w:type="dxa"/>
            <w:tcBorders>
              <w:top w:val="nil"/>
              <w:left w:val="nil"/>
              <w:bottom w:val="nil"/>
              <w:right w:val="nil"/>
            </w:tcBorders>
            <w:shd w:val="clear" w:color="auto" w:fill="auto"/>
            <w:vAlign w:val="center"/>
            <w:hideMark/>
          </w:tcPr>
          <w:p w14:paraId="1873896E" w14:textId="77777777" w:rsidR="00411350" w:rsidRPr="00411350" w:rsidRDefault="00411350" w:rsidP="00411350">
            <w:pPr>
              <w:spacing w:after="0" w:line="240" w:lineRule="auto"/>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12.1988 - 15.2697 </w:t>
            </w:r>
          </w:p>
        </w:tc>
        <w:tc>
          <w:tcPr>
            <w:tcW w:w="2036" w:type="dxa"/>
            <w:tcBorders>
              <w:top w:val="nil"/>
              <w:left w:val="nil"/>
              <w:bottom w:val="nil"/>
              <w:right w:val="nil"/>
            </w:tcBorders>
            <w:shd w:val="clear" w:color="auto" w:fill="auto"/>
            <w:noWrap/>
            <w:vAlign w:val="center"/>
            <w:hideMark/>
          </w:tcPr>
          <w:p w14:paraId="236BF257" w14:textId="77777777" w:rsidR="00411350" w:rsidRPr="00411350" w:rsidRDefault="00411350" w:rsidP="00411350">
            <w:pPr>
              <w:spacing w:after="0" w:line="240" w:lineRule="auto"/>
              <w:jc w:val="center"/>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13.8111</w:t>
            </w:r>
          </w:p>
        </w:tc>
        <w:tc>
          <w:tcPr>
            <w:tcW w:w="1448" w:type="dxa"/>
            <w:tcBorders>
              <w:top w:val="nil"/>
              <w:left w:val="nil"/>
              <w:bottom w:val="nil"/>
              <w:right w:val="nil"/>
            </w:tcBorders>
            <w:shd w:val="clear" w:color="auto" w:fill="auto"/>
            <w:noWrap/>
            <w:vAlign w:val="center"/>
            <w:hideMark/>
          </w:tcPr>
          <w:p w14:paraId="7F3CC1FA" w14:textId="77777777" w:rsidR="00411350" w:rsidRPr="00411350" w:rsidRDefault="00411350" w:rsidP="00411350">
            <w:pPr>
              <w:spacing w:after="0" w:line="240" w:lineRule="auto"/>
              <w:jc w:val="center"/>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-6.79%</w:t>
            </w:r>
          </w:p>
        </w:tc>
      </w:tr>
      <w:tr w:rsidR="00411350" w:rsidRPr="00411350" w14:paraId="0B23B81E" w14:textId="77777777" w:rsidTr="00B47C95">
        <w:trPr>
          <w:trHeight w:val="620"/>
        </w:trPr>
        <w:tc>
          <w:tcPr>
            <w:tcW w:w="1348" w:type="dxa"/>
            <w:tcBorders>
              <w:top w:val="nil"/>
              <w:left w:val="nil"/>
              <w:bottom w:val="nil"/>
              <w:right w:val="nil"/>
            </w:tcBorders>
            <w:shd w:val="clear" w:color="auto" w:fill="auto"/>
            <w:vAlign w:val="center"/>
            <w:hideMark/>
          </w:tcPr>
          <w:p w14:paraId="3A37BC30" w14:textId="77777777" w:rsidR="00411350" w:rsidRPr="00411350" w:rsidRDefault="00411350" w:rsidP="00411350">
            <w:pPr>
              <w:spacing w:after="0" w:line="240" w:lineRule="auto"/>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Gasoil (Diesel)</w:t>
            </w:r>
          </w:p>
        </w:tc>
        <w:tc>
          <w:tcPr>
            <w:tcW w:w="2036" w:type="dxa"/>
            <w:tcBorders>
              <w:top w:val="nil"/>
              <w:left w:val="nil"/>
              <w:bottom w:val="nil"/>
              <w:right w:val="nil"/>
            </w:tcBorders>
            <w:shd w:val="clear" w:color="auto" w:fill="auto"/>
            <w:vAlign w:val="center"/>
            <w:hideMark/>
          </w:tcPr>
          <w:p w14:paraId="073B3FAE" w14:textId="77777777" w:rsidR="00411350" w:rsidRPr="00411350" w:rsidRDefault="00411350" w:rsidP="00411350">
            <w:pPr>
              <w:spacing w:after="0" w:line="240" w:lineRule="auto"/>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13.1937 - 15.5519 </w:t>
            </w:r>
          </w:p>
        </w:tc>
        <w:tc>
          <w:tcPr>
            <w:tcW w:w="2036" w:type="dxa"/>
            <w:tcBorders>
              <w:top w:val="nil"/>
              <w:left w:val="nil"/>
              <w:bottom w:val="nil"/>
              <w:right w:val="nil"/>
            </w:tcBorders>
            <w:shd w:val="clear" w:color="auto" w:fill="auto"/>
            <w:noWrap/>
            <w:vAlign w:val="center"/>
            <w:hideMark/>
          </w:tcPr>
          <w:p w14:paraId="07069935" w14:textId="77777777" w:rsidR="00411350" w:rsidRPr="00411350" w:rsidRDefault="00411350" w:rsidP="00411350">
            <w:pPr>
              <w:spacing w:after="0" w:line="240" w:lineRule="auto"/>
              <w:jc w:val="center"/>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14.6196</w:t>
            </w:r>
          </w:p>
        </w:tc>
        <w:tc>
          <w:tcPr>
            <w:tcW w:w="1448" w:type="dxa"/>
            <w:tcBorders>
              <w:top w:val="nil"/>
              <w:left w:val="nil"/>
              <w:bottom w:val="nil"/>
              <w:right w:val="nil"/>
            </w:tcBorders>
            <w:shd w:val="clear" w:color="auto" w:fill="auto"/>
            <w:noWrap/>
            <w:vAlign w:val="center"/>
            <w:hideMark/>
          </w:tcPr>
          <w:p w14:paraId="23303310" w14:textId="77777777" w:rsidR="00411350" w:rsidRPr="00411350" w:rsidRDefault="00411350" w:rsidP="00411350">
            <w:pPr>
              <w:spacing w:after="0" w:line="240" w:lineRule="auto"/>
              <w:jc w:val="center"/>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-19.56%</w:t>
            </w:r>
          </w:p>
        </w:tc>
      </w:tr>
      <w:tr w:rsidR="00411350" w:rsidRPr="00411350" w14:paraId="70A737A6" w14:textId="77777777" w:rsidTr="00B47C95">
        <w:trPr>
          <w:trHeight w:val="620"/>
        </w:trPr>
        <w:tc>
          <w:tcPr>
            <w:tcW w:w="1348" w:type="dxa"/>
            <w:tcBorders>
              <w:top w:val="nil"/>
              <w:left w:val="nil"/>
              <w:bottom w:val="single" w:sz="4" w:space="0" w:color="auto"/>
              <w:right w:val="nil"/>
            </w:tcBorders>
            <w:shd w:val="clear" w:color="auto" w:fill="auto"/>
            <w:vAlign w:val="center"/>
            <w:hideMark/>
          </w:tcPr>
          <w:p w14:paraId="745B1F6D" w14:textId="457FE372" w:rsidR="00411350" w:rsidRPr="00411350" w:rsidRDefault="00411350" w:rsidP="0041135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11350">
              <w:rPr>
                <w:rFonts w:ascii="Times New Roman" w:eastAsia="Times New Roman" w:hAnsi="Times New Roman" w:cs="Times New Roman"/>
                <w:color w:val="000000"/>
                <w:sz w:val="24"/>
                <w:szCs w:val="24"/>
              </w:rPr>
              <w:t>LPG </w:t>
            </w:r>
          </w:p>
        </w:tc>
        <w:tc>
          <w:tcPr>
            <w:tcW w:w="2036" w:type="dxa"/>
            <w:tcBorders>
              <w:top w:val="nil"/>
              <w:left w:val="nil"/>
              <w:bottom w:val="single" w:sz="4" w:space="0" w:color="auto"/>
              <w:right w:val="nil"/>
            </w:tcBorders>
            <w:shd w:val="clear" w:color="auto" w:fill="auto"/>
            <w:vAlign w:val="center"/>
            <w:hideMark/>
          </w:tcPr>
          <w:p w14:paraId="66D19234" w14:textId="77777777" w:rsidR="00411350" w:rsidRPr="00411350" w:rsidRDefault="00411350" w:rsidP="00411350">
            <w:pPr>
              <w:spacing w:after="0" w:line="240" w:lineRule="auto"/>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12.3165 - 15.3600 </w:t>
            </w:r>
          </w:p>
        </w:tc>
        <w:tc>
          <w:tcPr>
            <w:tcW w:w="2036" w:type="dxa"/>
            <w:tcBorders>
              <w:top w:val="nil"/>
              <w:left w:val="nil"/>
              <w:bottom w:val="single" w:sz="4" w:space="0" w:color="auto"/>
              <w:right w:val="nil"/>
            </w:tcBorders>
            <w:shd w:val="clear" w:color="auto" w:fill="auto"/>
            <w:noWrap/>
            <w:vAlign w:val="center"/>
            <w:hideMark/>
          </w:tcPr>
          <w:p w14:paraId="10E2CD9A" w14:textId="77777777" w:rsidR="00411350" w:rsidRPr="00411350" w:rsidRDefault="00411350" w:rsidP="00411350">
            <w:pPr>
              <w:spacing w:after="0" w:line="240" w:lineRule="auto"/>
              <w:jc w:val="center"/>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13.8563</w:t>
            </w:r>
          </w:p>
        </w:tc>
        <w:tc>
          <w:tcPr>
            <w:tcW w:w="1448" w:type="dxa"/>
            <w:tcBorders>
              <w:top w:val="nil"/>
              <w:left w:val="nil"/>
              <w:bottom w:val="single" w:sz="4" w:space="0" w:color="auto"/>
              <w:right w:val="nil"/>
            </w:tcBorders>
            <w:shd w:val="clear" w:color="auto" w:fill="auto"/>
            <w:noWrap/>
            <w:vAlign w:val="center"/>
            <w:hideMark/>
          </w:tcPr>
          <w:p w14:paraId="67F65852" w14:textId="77777777" w:rsidR="00411350" w:rsidRPr="00411350" w:rsidRDefault="00411350" w:rsidP="00411350">
            <w:pPr>
              <w:spacing w:after="0" w:line="240" w:lineRule="auto"/>
              <w:jc w:val="center"/>
              <w:rPr>
                <w:rFonts w:ascii="Times New Roman" w:eastAsia="Times New Roman" w:hAnsi="Times New Roman" w:cs="Times New Roman"/>
                <w:color w:val="000000"/>
                <w:sz w:val="24"/>
                <w:szCs w:val="24"/>
              </w:rPr>
            </w:pPr>
            <w:r w:rsidRPr="00411350">
              <w:rPr>
                <w:rFonts w:ascii="Times New Roman" w:eastAsia="Times New Roman" w:hAnsi="Times New Roman" w:cs="Times New Roman"/>
                <w:color w:val="000000"/>
                <w:sz w:val="24"/>
                <w:szCs w:val="24"/>
              </w:rPr>
              <w:t>-2.88%</w:t>
            </w:r>
          </w:p>
        </w:tc>
      </w:tr>
    </w:tbl>
    <w:p w14:paraId="403040EE" w14:textId="77777777" w:rsidR="00026C37" w:rsidRPr="00B47C95" w:rsidRDefault="00026C37" w:rsidP="00026C37">
      <w:pPr>
        <w:spacing w:after="0" w:line="480" w:lineRule="auto"/>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Source: NPA Pricing Database</w:t>
      </w:r>
    </w:p>
    <w:p w14:paraId="73335167" w14:textId="0A96D9B5" w:rsidR="0076440E" w:rsidRDefault="0017110B" w:rsidP="006F628C">
      <w:pPr>
        <w:pStyle w:val="Heading2"/>
        <w:rPr>
          <w:rFonts w:ascii="Times New Roman" w:hAnsi="Times New Roman" w:cs="Times New Roman"/>
          <w:sz w:val="24"/>
          <w:szCs w:val="24"/>
        </w:rPr>
      </w:pPr>
      <w:bookmarkStart w:id="58" w:name="_Toc141440562"/>
      <w:r>
        <w:rPr>
          <w:rFonts w:ascii="Times New Roman" w:hAnsi="Times New Roman" w:cs="Times New Roman"/>
          <w:sz w:val="24"/>
          <w:szCs w:val="24"/>
        </w:rPr>
        <w:t>5</w:t>
      </w:r>
      <w:r w:rsidR="0076440E">
        <w:rPr>
          <w:rFonts w:ascii="Times New Roman" w:hAnsi="Times New Roman" w:cs="Times New Roman"/>
          <w:sz w:val="24"/>
          <w:szCs w:val="24"/>
        </w:rPr>
        <w:t>.</w:t>
      </w:r>
      <w:r w:rsidR="0093020E">
        <w:rPr>
          <w:rFonts w:ascii="Times New Roman" w:hAnsi="Times New Roman" w:cs="Times New Roman"/>
          <w:sz w:val="24"/>
          <w:szCs w:val="24"/>
        </w:rPr>
        <w:t>5</w:t>
      </w:r>
      <w:r w:rsidR="0076440E" w:rsidRPr="008358B2">
        <w:rPr>
          <w:rFonts w:ascii="Times New Roman" w:hAnsi="Times New Roman" w:cs="Times New Roman"/>
          <w:sz w:val="24"/>
          <w:szCs w:val="24"/>
        </w:rPr>
        <w:t xml:space="preserve"> </w:t>
      </w:r>
      <w:r w:rsidR="0076440E">
        <w:rPr>
          <w:rFonts w:ascii="Times New Roman" w:hAnsi="Times New Roman" w:cs="Times New Roman"/>
          <w:sz w:val="24"/>
          <w:szCs w:val="24"/>
        </w:rPr>
        <w:t>BIDEC Supplier</w:t>
      </w:r>
      <w:r w:rsidR="00D35806">
        <w:rPr>
          <w:rFonts w:ascii="Times New Roman" w:hAnsi="Times New Roman" w:cs="Times New Roman"/>
          <w:sz w:val="24"/>
          <w:szCs w:val="24"/>
        </w:rPr>
        <w:t>’</w:t>
      </w:r>
      <w:r w:rsidR="0076440E">
        <w:rPr>
          <w:rFonts w:ascii="Times New Roman" w:hAnsi="Times New Roman" w:cs="Times New Roman"/>
          <w:sz w:val="24"/>
          <w:szCs w:val="24"/>
        </w:rPr>
        <w:t>s Premium for Refined Petroleum Products</w:t>
      </w:r>
      <w:bookmarkEnd w:id="58"/>
    </w:p>
    <w:p w14:paraId="62A86B96" w14:textId="6C698392" w:rsidR="00BF4BD2" w:rsidRDefault="00BA44FC" w:rsidP="00BA44FC">
      <w:pPr>
        <w:jc w:val="both"/>
        <w:rPr>
          <w:rFonts w:ascii="Times New Roman" w:hAnsi="Times New Roman" w:cs="Times New Roman"/>
          <w:sz w:val="24"/>
          <w:szCs w:val="24"/>
        </w:rPr>
      </w:pPr>
      <w:r w:rsidRPr="00955B3F">
        <w:rPr>
          <w:rFonts w:ascii="Times New Roman" w:hAnsi="Times New Roman" w:cs="Times New Roman"/>
          <w:sz w:val="24"/>
          <w:szCs w:val="24"/>
        </w:rPr>
        <w:t xml:space="preserve">The </w:t>
      </w:r>
      <w:r>
        <w:rPr>
          <w:rFonts w:ascii="Times New Roman" w:hAnsi="Times New Roman" w:cs="Times New Roman"/>
          <w:sz w:val="24"/>
          <w:szCs w:val="24"/>
        </w:rPr>
        <w:t>average</w:t>
      </w:r>
      <w:r w:rsidRPr="00955B3F">
        <w:rPr>
          <w:rFonts w:ascii="Times New Roman" w:hAnsi="Times New Roman" w:cs="Times New Roman"/>
          <w:sz w:val="24"/>
          <w:szCs w:val="24"/>
        </w:rPr>
        <w:t xml:space="preserve"> </w:t>
      </w:r>
      <w:r>
        <w:rPr>
          <w:rFonts w:ascii="Times New Roman" w:hAnsi="Times New Roman" w:cs="Times New Roman"/>
          <w:sz w:val="24"/>
          <w:szCs w:val="24"/>
        </w:rPr>
        <w:t>premiums</w:t>
      </w:r>
      <w:r w:rsidR="00D8635D">
        <w:rPr>
          <w:rFonts w:ascii="Times New Roman" w:hAnsi="Times New Roman" w:cs="Times New Roman"/>
          <w:sz w:val="24"/>
          <w:szCs w:val="24"/>
        </w:rPr>
        <w:t xml:space="preserve"> </w:t>
      </w:r>
      <w:r>
        <w:rPr>
          <w:rFonts w:ascii="Times New Roman" w:hAnsi="Times New Roman" w:cs="Times New Roman"/>
          <w:sz w:val="24"/>
          <w:szCs w:val="24"/>
        </w:rPr>
        <w:t>used by International Oil Trading Companies (IOTCs)</w:t>
      </w:r>
      <w:r w:rsidR="00D8635D">
        <w:rPr>
          <w:rFonts w:ascii="Times New Roman" w:hAnsi="Times New Roman" w:cs="Times New Roman"/>
          <w:sz w:val="24"/>
          <w:szCs w:val="24"/>
        </w:rPr>
        <w:t xml:space="preserve"> for the three major consumed products on the local market ranged between </w:t>
      </w:r>
      <w:r w:rsidRPr="00955B3F">
        <w:rPr>
          <w:rFonts w:ascii="Times New Roman" w:hAnsi="Times New Roman" w:cs="Times New Roman"/>
          <w:sz w:val="24"/>
          <w:szCs w:val="24"/>
        </w:rPr>
        <w:t>US</w:t>
      </w:r>
      <w:r>
        <w:rPr>
          <w:rFonts w:ascii="Times New Roman" w:hAnsi="Times New Roman" w:cs="Times New Roman"/>
          <w:sz w:val="24"/>
          <w:szCs w:val="24"/>
        </w:rPr>
        <w:t>$</w:t>
      </w:r>
      <w:r w:rsidR="00D8635D">
        <w:rPr>
          <w:rFonts w:ascii="Times New Roman" w:hAnsi="Times New Roman" w:cs="Times New Roman"/>
          <w:sz w:val="24"/>
          <w:szCs w:val="24"/>
        </w:rPr>
        <w:t>104</w:t>
      </w:r>
      <w:r w:rsidRPr="00955B3F">
        <w:rPr>
          <w:rFonts w:ascii="Times New Roman" w:hAnsi="Times New Roman" w:cs="Times New Roman"/>
          <w:sz w:val="24"/>
          <w:szCs w:val="24"/>
        </w:rPr>
        <w:t>.</w:t>
      </w:r>
      <w:r w:rsidR="00D8635D">
        <w:rPr>
          <w:rFonts w:ascii="Times New Roman" w:hAnsi="Times New Roman" w:cs="Times New Roman"/>
          <w:sz w:val="24"/>
          <w:szCs w:val="24"/>
        </w:rPr>
        <w:t>74</w:t>
      </w:r>
      <w:r w:rsidRPr="00955B3F">
        <w:rPr>
          <w:rFonts w:ascii="Times New Roman" w:hAnsi="Times New Roman" w:cs="Times New Roman"/>
          <w:sz w:val="24"/>
          <w:szCs w:val="24"/>
        </w:rPr>
        <w:t>/</w:t>
      </w:r>
      <w:proofErr w:type="spellStart"/>
      <w:r>
        <w:rPr>
          <w:rFonts w:ascii="Times New Roman" w:hAnsi="Times New Roman" w:cs="Times New Roman"/>
          <w:sz w:val="24"/>
          <w:szCs w:val="24"/>
        </w:rPr>
        <w:t>mt</w:t>
      </w:r>
      <w:proofErr w:type="spellEnd"/>
      <w:r w:rsidR="00D8635D">
        <w:rPr>
          <w:rFonts w:ascii="Times New Roman" w:hAnsi="Times New Roman" w:cs="Times New Roman"/>
          <w:sz w:val="24"/>
          <w:szCs w:val="24"/>
        </w:rPr>
        <w:t xml:space="preserve"> </w:t>
      </w:r>
      <w:r w:rsidRPr="00955B3F">
        <w:rPr>
          <w:rFonts w:ascii="Times New Roman" w:hAnsi="Times New Roman" w:cs="Times New Roman"/>
          <w:sz w:val="24"/>
          <w:szCs w:val="24"/>
        </w:rPr>
        <w:t>and US</w:t>
      </w:r>
      <w:r>
        <w:rPr>
          <w:rFonts w:ascii="Times New Roman" w:hAnsi="Times New Roman" w:cs="Times New Roman"/>
          <w:sz w:val="24"/>
          <w:szCs w:val="24"/>
        </w:rPr>
        <w:t>$</w:t>
      </w:r>
      <w:r w:rsidR="00D8635D">
        <w:rPr>
          <w:rFonts w:ascii="Times New Roman" w:hAnsi="Times New Roman" w:cs="Times New Roman"/>
          <w:sz w:val="24"/>
          <w:szCs w:val="24"/>
        </w:rPr>
        <w:t>258.75</w:t>
      </w:r>
      <w:r w:rsidRPr="00955B3F">
        <w:rPr>
          <w:rFonts w:ascii="Times New Roman" w:hAnsi="Times New Roman" w:cs="Times New Roman"/>
          <w:sz w:val="24"/>
          <w:szCs w:val="24"/>
        </w:rPr>
        <w:t>/</w:t>
      </w:r>
      <w:proofErr w:type="spellStart"/>
      <w:r>
        <w:rPr>
          <w:rFonts w:ascii="Times New Roman" w:hAnsi="Times New Roman" w:cs="Times New Roman"/>
          <w:sz w:val="24"/>
          <w:szCs w:val="24"/>
        </w:rPr>
        <w:t>mt</w:t>
      </w:r>
      <w:proofErr w:type="spellEnd"/>
      <w:r>
        <w:rPr>
          <w:rFonts w:ascii="Times New Roman" w:hAnsi="Times New Roman" w:cs="Times New Roman"/>
          <w:sz w:val="24"/>
          <w:szCs w:val="24"/>
        </w:rPr>
        <w:t xml:space="preserve"> per pricing window for Q1 2023. </w:t>
      </w:r>
      <w:r w:rsidR="00517811">
        <w:rPr>
          <w:rFonts w:ascii="Times New Roman" w:hAnsi="Times New Roman" w:cs="Times New Roman"/>
          <w:sz w:val="24"/>
          <w:szCs w:val="24"/>
        </w:rPr>
        <w:t xml:space="preserve">Gasoline </w:t>
      </w:r>
      <w:r w:rsidR="00517811">
        <w:rPr>
          <w:rFonts w:ascii="Times New Roman" w:hAnsi="Times New Roman" w:cs="Times New Roman"/>
          <w:sz w:val="24"/>
          <w:szCs w:val="24"/>
        </w:rPr>
        <w:lastRenderedPageBreak/>
        <w:t xml:space="preserve">recorded significant increase in premiums, while gasoil premium was relatively stable when compared to the previous quarter (see table </w:t>
      </w:r>
      <w:r w:rsidR="00F01ACD">
        <w:rPr>
          <w:rFonts w:ascii="Times New Roman" w:hAnsi="Times New Roman" w:cs="Times New Roman"/>
          <w:sz w:val="24"/>
          <w:szCs w:val="24"/>
        </w:rPr>
        <w:t>5</w:t>
      </w:r>
      <w:r w:rsidR="00517811">
        <w:rPr>
          <w:rFonts w:ascii="Times New Roman" w:hAnsi="Times New Roman" w:cs="Times New Roman"/>
          <w:sz w:val="24"/>
          <w:szCs w:val="24"/>
        </w:rPr>
        <w:t xml:space="preserve">). Gasoline </w:t>
      </w:r>
      <w:r>
        <w:rPr>
          <w:rFonts w:ascii="Times New Roman" w:hAnsi="Times New Roman" w:cs="Times New Roman"/>
          <w:sz w:val="24"/>
          <w:szCs w:val="24"/>
        </w:rPr>
        <w:t xml:space="preserve">recorded the highest average quarterly </w:t>
      </w:r>
      <w:r w:rsidR="00517811">
        <w:rPr>
          <w:rFonts w:ascii="Times New Roman" w:hAnsi="Times New Roman" w:cs="Times New Roman"/>
          <w:sz w:val="24"/>
          <w:szCs w:val="24"/>
        </w:rPr>
        <w:t>premium</w:t>
      </w:r>
      <w:r>
        <w:rPr>
          <w:rFonts w:ascii="Times New Roman" w:hAnsi="Times New Roman" w:cs="Times New Roman"/>
          <w:sz w:val="24"/>
          <w:szCs w:val="24"/>
        </w:rPr>
        <w:t xml:space="preserve">, while </w:t>
      </w:r>
      <w:r w:rsidR="00517811">
        <w:rPr>
          <w:rFonts w:ascii="Times New Roman" w:hAnsi="Times New Roman" w:cs="Times New Roman"/>
          <w:sz w:val="24"/>
          <w:szCs w:val="24"/>
        </w:rPr>
        <w:t xml:space="preserve">gasoil </w:t>
      </w:r>
      <w:r>
        <w:rPr>
          <w:rFonts w:ascii="Times New Roman" w:hAnsi="Times New Roman" w:cs="Times New Roman"/>
          <w:sz w:val="24"/>
          <w:szCs w:val="24"/>
        </w:rPr>
        <w:t xml:space="preserve">recorded the least </w:t>
      </w:r>
      <w:r w:rsidR="00517811">
        <w:rPr>
          <w:rFonts w:ascii="Times New Roman" w:hAnsi="Times New Roman" w:cs="Times New Roman"/>
          <w:sz w:val="24"/>
          <w:szCs w:val="24"/>
        </w:rPr>
        <w:t xml:space="preserve">premium </w:t>
      </w:r>
      <w:r>
        <w:rPr>
          <w:rFonts w:ascii="Times New Roman" w:hAnsi="Times New Roman" w:cs="Times New Roman"/>
          <w:sz w:val="24"/>
          <w:szCs w:val="24"/>
        </w:rPr>
        <w:t xml:space="preserve">for the period under review. </w:t>
      </w:r>
    </w:p>
    <w:p w14:paraId="46E9911E" w14:textId="766F0EBE" w:rsidR="00151D43" w:rsidRPr="00B47C95" w:rsidRDefault="00151D43" w:rsidP="00151D43">
      <w:pPr>
        <w:pStyle w:val="Caption"/>
        <w:keepNext/>
        <w:spacing w:after="0"/>
        <w:rPr>
          <w:i/>
          <w:sz w:val="24"/>
          <w:szCs w:val="24"/>
        </w:rPr>
      </w:pPr>
      <w:bookmarkStart w:id="59" w:name="_Toc136871783"/>
      <w:r w:rsidRPr="00B47C95">
        <w:rPr>
          <w:i/>
          <w:sz w:val="24"/>
          <w:szCs w:val="24"/>
        </w:rPr>
        <w:t xml:space="preserve">Table </w:t>
      </w:r>
      <w:r w:rsidR="004858CE" w:rsidRPr="00B47C95">
        <w:rPr>
          <w:i/>
          <w:noProof/>
          <w:sz w:val="24"/>
          <w:szCs w:val="24"/>
        </w:rPr>
        <w:fldChar w:fldCharType="begin"/>
      </w:r>
      <w:r w:rsidR="004858CE" w:rsidRPr="00B47C95">
        <w:rPr>
          <w:i/>
          <w:noProof/>
          <w:sz w:val="24"/>
          <w:szCs w:val="24"/>
        </w:rPr>
        <w:instrText xml:space="preserve"> SEQ Table \* ARABIC </w:instrText>
      </w:r>
      <w:r w:rsidR="004858CE" w:rsidRPr="00B47C95">
        <w:rPr>
          <w:i/>
          <w:noProof/>
          <w:sz w:val="24"/>
          <w:szCs w:val="24"/>
        </w:rPr>
        <w:fldChar w:fldCharType="separate"/>
      </w:r>
      <w:r w:rsidR="008D6281" w:rsidRPr="00B47C95">
        <w:rPr>
          <w:i/>
          <w:noProof/>
          <w:sz w:val="24"/>
          <w:szCs w:val="24"/>
        </w:rPr>
        <w:t>5</w:t>
      </w:r>
      <w:r w:rsidR="004858CE" w:rsidRPr="00B47C95">
        <w:rPr>
          <w:i/>
          <w:noProof/>
          <w:sz w:val="24"/>
          <w:szCs w:val="24"/>
        </w:rPr>
        <w:fldChar w:fldCharType="end"/>
      </w:r>
      <w:r w:rsidRPr="00B47C95">
        <w:rPr>
          <w:i/>
          <w:sz w:val="24"/>
          <w:szCs w:val="24"/>
        </w:rPr>
        <w:t>: IOTC Suppliers Premium (US$/MT)</w:t>
      </w:r>
      <w:bookmarkEnd w:id="59"/>
    </w:p>
    <w:tbl>
      <w:tblPr>
        <w:tblW w:w="7153" w:type="dxa"/>
        <w:tblLook w:val="04A0" w:firstRow="1" w:lastRow="0" w:firstColumn="1" w:lastColumn="0" w:noHBand="0" w:noVBand="1"/>
      </w:tblPr>
      <w:tblGrid>
        <w:gridCol w:w="1779"/>
        <w:gridCol w:w="1831"/>
        <w:gridCol w:w="1831"/>
        <w:gridCol w:w="1712"/>
      </w:tblGrid>
      <w:tr w:rsidR="009E7A1A" w:rsidRPr="009E7A1A" w14:paraId="2AFC3BE9" w14:textId="77777777" w:rsidTr="00B47C95">
        <w:trPr>
          <w:trHeight w:val="754"/>
        </w:trPr>
        <w:tc>
          <w:tcPr>
            <w:tcW w:w="1779" w:type="dxa"/>
            <w:tcBorders>
              <w:top w:val="single" w:sz="4" w:space="0" w:color="auto"/>
              <w:left w:val="nil"/>
              <w:bottom w:val="single" w:sz="4" w:space="0" w:color="auto"/>
              <w:right w:val="nil"/>
            </w:tcBorders>
            <w:shd w:val="clear" w:color="000000" w:fill="B4C6E7"/>
            <w:noWrap/>
            <w:vAlign w:val="bottom"/>
            <w:hideMark/>
          </w:tcPr>
          <w:p w14:paraId="1859EBF6" w14:textId="77777777" w:rsidR="009E7A1A" w:rsidRPr="009E7A1A" w:rsidRDefault="009E7A1A" w:rsidP="009E7A1A">
            <w:pPr>
              <w:spacing w:after="0" w:line="240" w:lineRule="auto"/>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Product</w:t>
            </w:r>
          </w:p>
        </w:tc>
        <w:tc>
          <w:tcPr>
            <w:tcW w:w="1831" w:type="dxa"/>
            <w:tcBorders>
              <w:top w:val="single" w:sz="4" w:space="0" w:color="auto"/>
              <w:left w:val="nil"/>
              <w:bottom w:val="single" w:sz="4" w:space="0" w:color="auto"/>
              <w:right w:val="nil"/>
            </w:tcBorders>
            <w:shd w:val="clear" w:color="000000" w:fill="B4C6E7"/>
            <w:vAlign w:val="bottom"/>
            <w:hideMark/>
          </w:tcPr>
          <w:p w14:paraId="4CBE07E5"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Price Range (US$/MT)</w:t>
            </w:r>
          </w:p>
        </w:tc>
        <w:tc>
          <w:tcPr>
            <w:tcW w:w="1831" w:type="dxa"/>
            <w:tcBorders>
              <w:top w:val="single" w:sz="4" w:space="0" w:color="auto"/>
              <w:left w:val="nil"/>
              <w:bottom w:val="single" w:sz="4" w:space="0" w:color="auto"/>
              <w:right w:val="nil"/>
            </w:tcBorders>
            <w:shd w:val="clear" w:color="000000" w:fill="B4C6E7"/>
            <w:vAlign w:val="bottom"/>
            <w:hideMark/>
          </w:tcPr>
          <w:p w14:paraId="3141B9A1"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Average Price (US$/MT)</w:t>
            </w:r>
          </w:p>
        </w:tc>
        <w:tc>
          <w:tcPr>
            <w:tcW w:w="1712" w:type="dxa"/>
            <w:tcBorders>
              <w:top w:val="single" w:sz="4" w:space="0" w:color="auto"/>
              <w:left w:val="nil"/>
              <w:bottom w:val="single" w:sz="4" w:space="0" w:color="auto"/>
              <w:right w:val="nil"/>
            </w:tcBorders>
            <w:shd w:val="clear" w:color="000000" w:fill="B4C6E7"/>
            <w:vAlign w:val="center"/>
            <w:hideMark/>
          </w:tcPr>
          <w:p w14:paraId="417B1C5F"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%Change from Q4-22</w:t>
            </w:r>
          </w:p>
        </w:tc>
      </w:tr>
      <w:tr w:rsidR="009E7A1A" w:rsidRPr="009E7A1A" w14:paraId="0A710060" w14:textId="77777777" w:rsidTr="00B47C95">
        <w:trPr>
          <w:trHeight w:val="377"/>
        </w:trPr>
        <w:tc>
          <w:tcPr>
            <w:tcW w:w="1779" w:type="dxa"/>
            <w:tcBorders>
              <w:top w:val="nil"/>
              <w:left w:val="nil"/>
              <w:bottom w:val="nil"/>
              <w:right w:val="nil"/>
            </w:tcBorders>
            <w:shd w:val="clear" w:color="auto" w:fill="auto"/>
            <w:vAlign w:val="center"/>
            <w:hideMark/>
          </w:tcPr>
          <w:p w14:paraId="2993137E" w14:textId="77777777" w:rsidR="009E7A1A" w:rsidRPr="009E7A1A" w:rsidRDefault="009E7A1A" w:rsidP="009E7A1A">
            <w:pPr>
              <w:spacing w:after="0" w:line="240" w:lineRule="auto"/>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Gasoline (Petrol)</w:t>
            </w:r>
          </w:p>
        </w:tc>
        <w:tc>
          <w:tcPr>
            <w:tcW w:w="1831" w:type="dxa"/>
            <w:tcBorders>
              <w:top w:val="nil"/>
              <w:left w:val="nil"/>
              <w:bottom w:val="nil"/>
              <w:right w:val="nil"/>
            </w:tcBorders>
            <w:shd w:val="clear" w:color="auto" w:fill="auto"/>
            <w:vAlign w:val="center"/>
            <w:hideMark/>
          </w:tcPr>
          <w:p w14:paraId="0A5F84F2" w14:textId="77777777" w:rsidR="009E7A1A" w:rsidRPr="009E7A1A" w:rsidRDefault="009E7A1A" w:rsidP="009E7A1A">
            <w:pPr>
              <w:spacing w:after="0" w:line="240" w:lineRule="auto"/>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125.28 - 258.75</w:t>
            </w:r>
          </w:p>
        </w:tc>
        <w:tc>
          <w:tcPr>
            <w:tcW w:w="1831" w:type="dxa"/>
            <w:tcBorders>
              <w:top w:val="nil"/>
              <w:left w:val="nil"/>
              <w:bottom w:val="nil"/>
              <w:right w:val="nil"/>
            </w:tcBorders>
            <w:shd w:val="clear" w:color="auto" w:fill="auto"/>
            <w:noWrap/>
            <w:vAlign w:val="center"/>
            <w:hideMark/>
          </w:tcPr>
          <w:p w14:paraId="0D7BE5EC"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201.12</w:t>
            </w:r>
          </w:p>
        </w:tc>
        <w:tc>
          <w:tcPr>
            <w:tcW w:w="1712" w:type="dxa"/>
            <w:tcBorders>
              <w:top w:val="nil"/>
              <w:left w:val="nil"/>
              <w:bottom w:val="nil"/>
              <w:right w:val="nil"/>
            </w:tcBorders>
            <w:shd w:val="clear" w:color="auto" w:fill="auto"/>
            <w:noWrap/>
            <w:vAlign w:val="center"/>
            <w:hideMark/>
          </w:tcPr>
          <w:p w14:paraId="65305670"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60.75%</w:t>
            </w:r>
          </w:p>
        </w:tc>
      </w:tr>
      <w:tr w:rsidR="009E7A1A" w:rsidRPr="009E7A1A" w14:paraId="0146093A" w14:textId="77777777" w:rsidTr="00B47C95">
        <w:trPr>
          <w:trHeight w:val="377"/>
        </w:trPr>
        <w:tc>
          <w:tcPr>
            <w:tcW w:w="1779" w:type="dxa"/>
            <w:tcBorders>
              <w:top w:val="nil"/>
              <w:left w:val="nil"/>
              <w:bottom w:val="nil"/>
              <w:right w:val="nil"/>
            </w:tcBorders>
            <w:shd w:val="clear" w:color="auto" w:fill="auto"/>
            <w:vAlign w:val="center"/>
            <w:hideMark/>
          </w:tcPr>
          <w:p w14:paraId="2C2815C1" w14:textId="77777777" w:rsidR="009E7A1A" w:rsidRPr="009E7A1A" w:rsidRDefault="009E7A1A" w:rsidP="009E7A1A">
            <w:pPr>
              <w:spacing w:after="0" w:line="240" w:lineRule="auto"/>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Gasoil (Diesel)</w:t>
            </w:r>
          </w:p>
        </w:tc>
        <w:tc>
          <w:tcPr>
            <w:tcW w:w="1831" w:type="dxa"/>
            <w:tcBorders>
              <w:top w:val="nil"/>
              <w:left w:val="nil"/>
              <w:bottom w:val="nil"/>
              <w:right w:val="nil"/>
            </w:tcBorders>
            <w:shd w:val="clear" w:color="auto" w:fill="auto"/>
            <w:vAlign w:val="center"/>
            <w:hideMark/>
          </w:tcPr>
          <w:p w14:paraId="18D74D68" w14:textId="77777777" w:rsidR="009E7A1A" w:rsidRPr="009E7A1A" w:rsidRDefault="009E7A1A" w:rsidP="009E7A1A">
            <w:pPr>
              <w:spacing w:after="0" w:line="240" w:lineRule="auto"/>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104.74 - 207.73</w:t>
            </w:r>
          </w:p>
        </w:tc>
        <w:tc>
          <w:tcPr>
            <w:tcW w:w="1831" w:type="dxa"/>
            <w:tcBorders>
              <w:top w:val="nil"/>
              <w:left w:val="nil"/>
              <w:bottom w:val="nil"/>
              <w:right w:val="nil"/>
            </w:tcBorders>
            <w:shd w:val="clear" w:color="auto" w:fill="auto"/>
            <w:noWrap/>
            <w:vAlign w:val="center"/>
            <w:hideMark/>
          </w:tcPr>
          <w:p w14:paraId="16C13C6A"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150.6</w:t>
            </w:r>
          </w:p>
        </w:tc>
        <w:tc>
          <w:tcPr>
            <w:tcW w:w="1712" w:type="dxa"/>
            <w:tcBorders>
              <w:top w:val="nil"/>
              <w:left w:val="nil"/>
              <w:bottom w:val="nil"/>
              <w:right w:val="nil"/>
            </w:tcBorders>
            <w:shd w:val="clear" w:color="auto" w:fill="auto"/>
            <w:noWrap/>
            <w:vAlign w:val="center"/>
            <w:hideMark/>
          </w:tcPr>
          <w:p w14:paraId="0E3779BD"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-0.26%</w:t>
            </w:r>
          </w:p>
        </w:tc>
      </w:tr>
      <w:tr w:rsidR="009E7A1A" w:rsidRPr="009E7A1A" w14:paraId="741867DE" w14:textId="77777777" w:rsidTr="00B47C95">
        <w:trPr>
          <w:trHeight w:val="377"/>
        </w:trPr>
        <w:tc>
          <w:tcPr>
            <w:tcW w:w="1779" w:type="dxa"/>
            <w:tcBorders>
              <w:top w:val="nil"/>
              <w:left w:val="nil"/>
              <w:bottom w:val="single" w:sz="4" w:space="0" w:color="auto"/>
              <w:right w:val="nil"/>
            </w:tcBorders>
            <w:shd w:val="clear" w:color="auto" w:fill="auto"/>
            <w:vAlign w:val="center"/>
            <w:hideMark/>
          </w:tcPr>
          <w:p w14:paraId="76DCA712" w14:textId="77777777" w:rsidR="009E7A1A" w:rsidRPr="009E7A1A" w:rsidRDefault="009E7A1A" w:rsidP="009E7A1A">
            <w:pPr>
              <w:spacing w:after="0" w:line="240" w:lineRule="auto"/>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LPG </w:t>
            </w:r>
          </w:p>
        </w:tc>
        <w:tc>
          <w:tcPr>
            <w:tcW w:w="1831" w:type="dxa"/>
            <w:tcBorders>
              <w:top w:val="nil"/>
              <w:left w:val="nil"/>
              <w:bottom w:val="single" w:sz="4" w:space="0" w:color="auto"/>
              <w:right w:val="nil"/>
            </w:tcBorders>
            <w:shd w:val="clear" w:color="auto" w:fill="auto"/>
            <w:vAlign w:val="center"/>
            <w:hideMark/>
          </w:tcPr>
          <w:p w14:paraId="0A0255CE" w14:textId="77777777" w:rsidR="009E7A1A" w:rsidRPr="009E7A1A" w:rsidRDefault="009E7A1A" w:rsidP="009E7A1A">
            <w:pPr>
              <w:spacing w:after="0" w:line="240" w:lineRule="auto"/>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149.99 - 216.26</w:t>
            </w:r>
          </w:p>
        </w:tc>
        <w:tc>
          <w:tcPr>
            <w:tcW w:w="1831" w:type="dxa"/>
            <w:tcBorders>
              <w:top w:val="nil"/>
              <w:left w:val="nil"/>
              <w:bottom w:val="single" w:sz="4" w:space="0" w:color="auto"/>
              <w:right w:val="nil"/>
            </w:tcBorders>
            <w:shd w:val="clear" w:color="auto" w:fill="auto"/>
            <w:noWrap/>
            <w:vAlign w:val="center"/>
            <w:hideMark/>
          </w:tcPr>
          <w:p w14:paraId="16A26D05"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186.97</w:t>
            </w:r>
          </w:p>
        </w:tc>
        <w:tc>
          <w:tcPr>
            <w:tcW w:w="1712" w:type="dxa"/>
            <w:tcBorders>
              <w:top w:val="nil"/>
              <w:left w:val="nil"/>
              <w:bottom w:val="single" w:sz="4" w:space="0" w:color="auto"/>
              <w:right w:val="nil"/>
            </w:tcBorders>
            <w:shd w:val="clear" w:color="auto" w:fill="auto"/>
            <w:noWrap/>
            <w:vAlign w:val="center"/>
            <w:hideMark/>
          </w:tcPr>
          <w:p w14:paraId="703D2098" w14:textId="77777777" w:rsidR="009E7A1A" w:rsidRPr="009E7A1A" w:rsidRDefault="009E7A1A" w:rsidP="009E7A1A">
            <w:pPr>
              <w:spacing w:after="0" w:line="240" w:lineRule="auto"/>
              <w:jc w:val="center"/>
              <w:rPr>
                <w:rFonts w:ascii="Times New Roman" w:eastAsia="Times New Roman" w:hAnsi="Times New Roman" w:cs="Times New Roman"/>
                <w:color w:val="000000"/>
                <w:sz w:val="24"/>
                <w:szCs w:val="24"/>
              </w:rPr>
            </w:pPr>
            <w:r w:rsidRPr="009E7A1A">
              <w:rPr>
                <w:rFonts w:ascii="Times New Roman" w:eastAsia="Times New Roman" w:hAnsi="Times New Roman" w:cs="Times New Roman"/>
                <w:color w:val="000000"/>
                <w:sz w:val="24"/>
                <w:szCs w:val="24"/>
              </w:rPr>
              <w:t>16.49%</w:t>
            </w:r>
          </w:p>
        </w:tc>
      </w:tr>
    </w:tbl>
    <w:p w14:paraId="59F2F1F3" w14:textId="79FC0E1E" w:rsidR="005763FA" w:rsidRPr="00B47C95" w:rsidRDefault="005763FA" w:rsidP="00577B4E">
      <w:pPr>
        <w:spacing w:after="0" w:line="480" w:lineRule="auto"/>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 xml:space="preserve">Source: NPA </w:t>
      </w:r>
      <w:r w:rsidR="00026C37" w:rsidRPr="00B47C95">
        <w:rPr>
          <w:rFonts w:ascii="Times New Roman" w:hAnsi="Times New Roman" w:cs="Times New Roman"/>
          <w:i/>
          <w:color w:val="17406D" w:themeColor="text2"/>
          <w:sz w:val="24"/>
          <w:szCs w:val="24"/>
        </w:rPr>
        <w:t xml:space="preserve">Pricing </w:t>
      </w:r>
      <w:r w:rsidRPr="00B47C95">
        <w:rPr>
          <w:rFonts w:ascii="Times New Roman" w:hAnsi="Times New Roman" w:cs="Times New Roman"/>
          <w:i/>
          <w:color w:val="17406D" w:themeColor="text2"/>
          <w:sz w:val="24"/>
          <w:szCs w:val="24"/>
        </w:rPr>
        <w:t>Database</w:t>
      </w:r>
    </w:p>
    <w:p w14:paraId="151C3495" w14:textId="6C469538" w:rsidR="0002351D" w:rsidRDefault="0017110B" w:rsidP="006F628C">
      <w:pPr>
        <w:pStyle w:val="Heading2"/>
        <w:rPr>
          <w:rFonts w:ascii="Times New Roman" w:hAnsi="Times New Roman" w:cs="Times New Roman"/>
          <w:sz w:val="24"/>
          <w:szCs w:val="24"/>
        </w:rPr>
      </w:pPr>
      <w:bookmarkStart w:id="60" w:name="_Toc141440563"/>
      <w:r>
        <w:rPr>
          <w:rFonts w:ascii="Times New Roman" w:hAnsi="Times New Roman" w:cs="Times New Roman"/>
          <w:sz w:val="24"/>
          <w:szCs w:val="24"/>
        </w:rPr>
        <w:t>5</w:t>
      </w:r>
      <w:r w:rsidR="0002351D">
        <w:rPr>
          <w:rFonts w:ascii="Times New Roman" w:hAnsi="Times New Roman" w:cs="Times New Roman"/>
          <w:sz w:val="24"/>
          <w:szCs w:val="24"/>
        </w:rPr>
        <w:t>.</w:t>
      </w:r>
      <w:r w:rsidR="0093020E">
        <w:rPr>
          <w:rFonts w:ascii="Times New Roman" w:hAnsi="Times New Roman" w:cs="Times New Roman"/>
          <w:sz w:val="24"/>
          <w:szCs w:val="24"/>
        </w:rPr>
        <w:t>6</w:t>
      </w:r>
      <w:r w:rsidR="0002351D" w:rsidRPr="008358B2">
        <w:rPr>
          <w:rFonts w:ascii="Times New Roman" w:hAnsi="Times New Roman" w:cs="Times New Roman"/>
          <w:sz w:val="24"/>
          <w:szCs w:val="24"/>
        </w:rPr>
        <w:t xml:space="preserve"> </w:t>
      </w:r>
      <w:r w:rsidR="006340A7">
        <w:rPr>
          <w:rFonts w:ascii="Times New Roman" w:hAnsi="Times New Roman" w:cs="Times New Roman"/>
          <w:sz w:val="24"/>
          <w:szCs w:val="24"/>
        </w:rPr>
        <w:t xml:space="preserve">Marketers Margin </w:t>
      </w:r>
      <w:r w:rsidR="0002351D">
        <w:rPr>
          <w:rFonts w:ascii="Times New Roman" w:hAnsi="Times New Roman" w:cs="Times New Roman"/>
          <w:sz w:val="24"/>
          <w:szCs w:val="24"/>
        </w:rPr>
        <w:t>for Refined Petroleum Products</w:t>
      </w:r>
      <w:bookmarkEnd w:id="60"/>
    </w:p>
    <w:p w14:paraId="64C0D37D" w14:textId="2D192EC5" w:rsidR="0002351D" w:rsidRDefault="00E12AA6" w:rsidP="00987073">
      <w:pPr>
        <w:jc w:val="both"/>
        <w:rPr>
          <w:rFonts w:ascii="Times New Roman" w:hAnsi="Times New Roman" w:cs="Times New Roman"/>
          <w:sz w:val="24"/>
          <w:szCs w:val="24"/>
        </w:rPr>
      </w:pPr>
      <w:r w:rsidRPr="00955B3F">
        <w:rPr>
          <w:rFonts w:ascii="Times New Roman" w:hAnsi="Times New Roman" w:cs="Times New Roman"/>
          <w:sz w:val="24"/>
          <w:szCs w:val="24"/>
        </w:rPr>
        <w:t xml:space="preserve">The </w:t>
      </w:r>
      <w:r>
        <w:rPr>
          <w:rFonts w:ascii="Times New Roman" w:hAnsi="Times New Roman" w:cs="Times New Roman"/>
          <w:sz w:val="24"/>
          <w:szCs w:val="24"/>
        </w:rPr>
        <w:t>average</w:t>
      </w:r>
      <w:r w:rsidRPr="00955B3F">
        <w:rPr>
          <w:rFonts w:ascii="Times New Roman" w:hAnsi="Times New Roman" w:cs="Times New Roman"/>
          <w:sz w:val="24"/>
          <w:szCs w:val="24"/>
        </w:rPr>
        <w:t xml:space="preserve"> </w:t>
      </w:r>
      <w:r w:rsidR="00D72786">
        <w:rPr>
          <w:rFonts w:ascii="Times New Roman" w:hAnsi="Times New Roman" w:cs="Times New Roman"/>
          <w:sz w:val="24"/>
          <w:szCs w:val="24"/>
        </w:rPr>
        <w:t xml:space="preserve">margins </w:t>
      </w:r>
      <w:r>
        <w:rPr>
          <w:rFonts w:ascii="Times New Roman" w:hAnsi="Times New Roman" w:cs="Times New Roman"/>
          <w:sz w:val="24"/>
          <w:szCs w:val="24"/>
        </w:rPr>
        <w:t xml:space="preserve">used by </w:t>
      </w:r>
      <w:r w:rsidR="00D72786">
        <w:rPr>
          <w:rFonts w:ascii="Times New Roman" w:hAnsi="Times New Roman" w:cs="Times New Roman"/>
          <w:sz w:val="24"/>
          <w:szCs w:val="24"/>
        </w:rPr>
        <w:t xml:space="preserve">OMCs/LPGMCs to cover their cost </w:t>
      </w:r>
      <w:r>
        <w:rPr>
          <w:rFonts w:ascii="Times New Roman" w:hAnsi="Times New Roman" w:cs="Times New Roman"/>
          <w:sz w:val="24"/>
          <w:szCs w:val="24"/>
        </w:rPr>
        <w:t xml:space="preserve">ranged between </w:t>
      </w:r>
      <w:r w:rsidR="00D72786">
        <w:rPr>
          <w:rFonts w:ascii="Times New Roman" w:hAnsi="Times New Roman" w:cs="Times New Roman"/>
          <w:sz w:val="24"/>
          <w:szCs w:val="24"/>
        </w:rPr>
        <w:t>GHS0</w:t>
      </w:r>
      <w:r w:rsidRPr="00955B3F">
        <w:rPr>
          <w:rFonts w:ascii="Times New Roman" w:hAnsi="Times New Roman" w:cs="Times New Roman"/>
          <w:sz w:val="24"/>
          <w:szCs w:val="24"/>
        </w:rPr>
        <w:t>.</w:t>
      </w:r>
      <w:r w:rsidR="00D72786">
        <w:rPr>
          <w:rFonts w:ascii="Times New Roman" w:hAnsi="Times New Roman" w:cs="Times New Roman"/>
          <w:sz w:val="24"/>
          <w:szCs w:val="24"/>
        </w:rPr>
        <w:t>18</w:t>
      </w:r>
      <w:r w:rsidRPr="00955B3F">
        <w:rPr>
          <w:rFonts w:ascii="Times New Roman" w:hAnsi="Times New Roman" w:cs="Times New Roman"/>
          <w:sz w:val="24"/>
          <w:szCs w:val="24"/>
        </w:rPr>
        <w:t>/</w:t>
      </w:r>
      <w:proofErr w:type="spellStart"/>
      <w:r w:rsidR="00D72786">
        <w:rPr>
          <w:rFonts w:ascii="Times New Roman" w:hAnsi="Times New Roman" w:cs="Times New Roman"/>
          <w:sz w:val="24"/>
          <w:szCs w:val="24"/>
        </w:rPr>
        <w:t>lt</w:t>
      </w:r>
      <w:proofErr w:type="spellEnd"/>
      <w:r w:rsidR="00D72786">
        <w:rPr>
          <w:rFonts w:ascii="Times New Roman" w:hAnsi="Times New Roman" w:cs="Times New Roman"/>
          <w:sz w:val="24"/>
          <w:szCs w:val="24"/>
        </w:rPr>
        <w:t xml:space="preserve"> </w:t>
      </w:r>
      <w:r w:rsidRPr="00955B3F">
        <w:rPr>
          <w:rFonts w:ascii="Times New Roman" w:hAnsi="Times New Roman" w:cs="Times New Roman"/>
          <w:sz w:val="24"/>
          <w:szCs w:val="24"/>
        </w:rPr>
        <w:t xml:space="preserve">and </w:t>
      </w:r>
      <w:r w:rsidR="00D72786">
        <w:rPr>
          <w:rFonts w:ascii="Times New Roman" w:hAnsi="Times New Roman" w:cs="Times New Roman"/>
          <w:sz w:val="24"/>
          <w:szCs w:val="24"/>
        </w:rPr>
        <w:t>GHS0.80</w:t>
      </w:r>
      <w:r w:rsidRPr="00955B3F">
        <w:rPr>
          <w:rFonts w:ascii="Times New Roman" w:hAnsi="Times New Roman" w:cs="Times New Roman"/>
          <w:sz w:val="24"/>
          <w:szCs w:val="24"/>
        </w:rPr>
        <w:t>/</w:t>
      </w:r>
      <w:proofErr w:type="spellStart"/>
      <w:r w:rsidR="00D72786">
        <w:rPr>
          <w:rFonts w:ascii="Times New Roman" w:hAnsi="Times New Roman" w:cs="Times New Roman"/>
          <w:sz w:val="24"/>
          <w:szCs w:val="24"/>
        </w:rPr>
        <w:t>lt</w:t>
      </w:r>
      <w:proofErr w:type="spellEnd"/>
      <w:r w:rsidR="00D72786">
        <w:rPr>
          <w:rFonts w:ascii="Times New Roman" w:hAnsi="Times New Roman" w:cs="Times New Roman"/>
          <w:sz w:val="24"/>
          <w:szCs w:val="24"/>
        </w:rPr>
        <w:t xml:space="preserve"> </w:t>
      </w:r>
      <w:r>
        <w:rPr>
          <w:rFonts w:ascii="Times New Roman" w:hAnsi="Times New Roman" w:cs="Times New Roman"/>
          <w:sz w:val="24"/>
          <w:szCs w:val="24"/>
        </w:rPr>
        <w:t xml:space="preserve">per pricing window </w:t>
      </w:r>
      <w:r w:rsidR="00D72786">
        <w:rPr>
          <w:rFonts w:ascii="Times New Roman" w:hAnsi="Times New Roman" w:cs="Times New Roman"/>
          <w:sz w:val="24"/>
          <w:szCs w:val="24"/>
        </w:rPr>
        <w:t>for petrol and diesel</w:t>
      </w:r>
      <w:r>
        <w:rPr>
          <w:rFonts w:ascii="Times New Roman" w:hAnsi="Times New Roman" w:cs="Times New Roman"/>
          <w:sz w:val="24"/>
          <w:szCs w:val="24"/>
        </w:rPr>
        <w:t xml:space="preserve">. </w:t>
      </w:r>
      <w:r w:rsidR="00F13490">
        <w:rPr>
          <w:rFonts w:ascii="Times New Roman" w:hAnsi="Times New Roman" w:cs="Times New Roman"/>
          <w:sz w:val="24"/>
          <w:szCs w:val="24"/>
        </w:rPr>
        <w:t xml:space="preserve">LPG margins ranged between GHS0.47/Kg and GHS1.20/Kg per pricing window for Q1 2023. </w:t>
      </w:r>
      <w:r w:rsidR="00987073">
        <w:rPr>
          <w:rFonts w:ascii="Times New Roman" w:hAnsi="Times New Roman" w:cs="Times New Roman"/>
          <w:sz w:val="24"/>
          <w:szCs w:val="24"/>
        </w:rPr>
        <w:t xml:space="preserve">All the products recorded decreases in margins, with gasoil recording the highest declines, while gasoline recorded the least decline for the period under review (see table </w:t>
      </w:r>
      <w:r w:rsidR="00F01ACD">
        <w:rPr>
          <w:rFonts w:ascii="Times New Roman" w:hAnsi="Times New Roman" w:cs="Times New Roman"/>
          <w:sz w:val="24"/>
          <w:szCs w:val="24"/>
        </w:rPr>
        <w:t>6</w:t>
      </w:r>
      <w:r w:rsidR="00987073">
        <w:rPr>
          <w:rFonts w:ascii="Times New Roman" w:hAnsi="Times New Roman" w:cs="Times New Roman"/>
          <w:sz w:val="24"/>
          <w:szCs w:val="24"/>
        </w:rPr>
        <w:t xml:space="preserve">). </w:t>
      </w:r>
      <w:r w:rsidR="00927CF9">
        <w:rPr>
          <w:rFonts w:ascii="Times New Roman" w:hAnsi="Times New Roman" w:cs="Times New Roman"/>
          <w:sz w:val="24"/>
          <w:szCs w:val="24"/>
        </w:rPr>
        <w:t xml:space="preserve">The declines in margins could be attributed to the improvement in the business environment. </w:t>
      </w:r>
      <w:r w:rsidR="00F13490">
        <w:rPr>
          <w:rFonts w:ascii="Times New Roman" w:hAnsi="Times New Roman" w:cs="Times New Roman"/>
          <w:sz w:val="24"/>
          <w:szCs w:val="24"/>
        </w:rPr>
        <w:t xml:space="preserve"> </w:t>
      </w:r>
    </w:p>
    <w:p w14:paraId="75234C85" w14:textId="77777777" w:rsidR="00D35806" w:rsidRDefault="00D35806" w:rsidP="00987073">
      <w:pPr>
        <w:jc w:val="both"/>
        <w:rPr>
          <w:rFonts w:ascii="Times New Roman" w:hAnsi="Times New Roman" w:cs="Times New Roman"/>
          <w:sz w:val="24"/>
          <w:szCs w:val="24"/>
        </w:rPr>
      </w:pPr>
    </w:p>
    <w:p w14:paraId="2C244FDD" w14:textId="2756E53D" w:rsidR="00151D43" w:rsidRPr="00B47C95" w:rsidRDefault="00151D43" w:rsidP="00151D43">
      <w:pPr>
        <w:pStyle w:val="Caption"/>
        <w:keepNext/>
        <w:spacing w:after="0"/>
        <w:rPr>
          <w:i/>
          <w:sz w:val="24"/>
          <w:szCs w:val="24"/>
        </w:rPr>
      </w:pPr>
      <w:bookmarkStart w:id="61" w:name="_Toc136871784"/>
      <w:r w:rsidRPr="00B47C95">
        <w:rPr>
          <w:i/>
          <w:sz w:val="24"/>
          <w:szCs w:val="24"/>
        </w:rPr>
        <w:t xml:space="preserve">Table </w:t>
      </w:r>
      <w:r w:rsidR="004858CE" w:rsidRPr="00B47C95">
        <w:rPr>
          <w:i/>
          <w:noProof/>
          <w:sz w:val="24"/>
          <w:szCs w:val="24"/>
        </w:rPr>
        <w:fldChar w:fldCharType="begin"/>
      </w:r>
      <w:r w:rsidR="004858CE" w:rsidRPr="00B47C95">
        <w:rPr>
          <w:i/>
          <w:noProof/>
          <w:sz w:val="24"/>
          <w:szCs w:val="24"/>
        </w:rPr>
        <w:instrText xml:space="preserve"> SEQ Table \* ARABIC </w:instrText>
      </w:r>
      <w:r w:rsidR="004858CE" w:rsidRPr="00B47C95">
        <w:rPr>
          <w:i/>
          <w:noProof/>
          <w:sz w:val="24"/>
          <w:szCs w:val="24"/>
        </w:rPr>
        <w:fldChar w:fldCharType="separate"/>
      </w:r>
      <w:r w:rsidR="008D6281" w:rsidRPr="00B47C95">
        <w:rPr>
          <w:i/>
          <w:noProof/>
          <w:sz w:val="24"/>
          <w:szCs w:val="24"/>
        </w:rPr>
        <w:t>6</w:t>
      </w:r>
      <w:r w:rsidR="004858CE" w:rsidRPr="00B47C95">
        <w:rPr>
          <w:i/>
          <w:noProof/>
          <w:sz w:val="24"/>
          <w:szCs w:val="24"/>
        </w:rPr>
        <w:fldChar w:fldCharType="end"/>
      </w:r>
      <w:r w:rsidRPr="00B47C95">
        <w:rPr>
          <w:i/>
          <w:sz w:val="24"/>
          <w:szCs w:val="24"/>
        </w:rPr>
        <w:t>: Marketer's Margin for Petroleum Products (GHS/Lt/Kg)</w:t>
      </w:r>
      <w:bookmarkEnd w:id="61"/>
    </w:p>
    <w:tbl>
      <w:tblPr>
        <w:tblW w:w="7076" w:type="dxa"/>
        <w:tblLook w:val="04A0" w:firstRow="1" w:lastRow="0" w:firstColumn="1" w:lastColumn="0" w:noHBand="0" w:noVBand="1"/>
      </w:tblPr>
      <w:tblGrid>
        <w:gridCol w:w="1274"/>
        <w:gridCol w:w="182"/>
        <w:gridCol w:w="1958"/>
        <w:gridCol w:w="189"/>
        <w:gridCol w:w="1951"/>
        <w:gridCol w:w="18"/>
        <w:gridCol w:w="1504"/>
      </w:tblGrid>
      <w:tr w:rsidR="00987073" w:rsidRPr="00F84034" w14:paraId="79CBFF0F" w14:textId="77777777" w:rsidTr="00B47C95">
        <w:trPr>
          <w:trHeight w:val="126"/>
        </w:trPr>
        <w:tc>
          <w:tcPr>
            <w:tcW w:w="1274" w:type="dxa"/>
            <w:tcBorders>
              <w:top w:val="single" w:sz="4" w:space="0" w:color="auto"/>
              <w:left w:val="nil"/>
              <w:bottom w:val="single" w:sz="4" w:space="0" w:color="auto"/>
              <w:right w:val="nil"/>
            </w:tcBorders>
            <w:shd w:val="clear" w:color="000000" w:fill="B4C6E7"/>
            <w:noWrap/>
            <w:vAlign w:val="bottom"/>
            <w:hideMark/>
          </w:tcPr>
          <w:p w14:paraId="1707EF33" w14:textId="77777777" w:rsidR="00F84034" w:rsidRPr="00F84034" w:rsidRDefault="00F84034" w:rsidP="00F84034">
            <w:pPr>
              <w:spacing w:after="0" w:line="240" w:lineRule="auto"/>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Product</w:t>
            </w:r>
          </w:p>
        </w:tc>
        <w:tc>
          <w:tcPr>
            <w:tcW w:w="2140" w:type="dxa"/>
            <w:gridSpan w:val="2"/>
            <w:tcBorders>
              <w:top w:val="single" w:sz="4" w:space="0" w:color="auto"/>
              <w:left w:val="nil"/>
              <w:bottom w:val="single" w:sz="4" w:space="0" w:color="auto"/>
              <w:right w:val="nil"/>
            </w:tcBorders>
            <w:shd w:val="clear" w:color="000000" w:fill="B4C6E7"/>
            <w:vAlign w:val="bottom"/>
            <w:hideMark/>
          </w:tcPr>
          <w:p w14:paraId="267026BC"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Price Range (GHS/Lt/*Kg)</w:t>
            </w:r>
          </w:p>
        </w:tc>
        <w:tc>
          <w:tcPr>
            <w:tcW w:w="2140" w:type="dxa"/>
            <w:gridSpan w:val="2"/>
            <w:tcBorders>
              <w:top w:val="single" w:sz="4" w:space="0" w:color="auto"/>
              <w:left w:val="nil"/>
              <w:bottom w:val="single" w:sz="4" w:space="0" w:color="auto"/>
              <w:right w:val="nil"/>
            </w:tcBorders>
            <w:shd w:val="clear" w:color="000000" w:fill="B4C6E7"/>
            <w:vAlign w:val="bottom"/>
            <w:hideMark/>
          </w:tcPr>
          <w:p w14:paraId="378ABE68"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Average Price (GHS/Lt/*Kg)</w:t>
            </w:r>
          </w:p>
        </w:tc>
        <w:tc>
          <w:tcPr>
            <w:tcW w:w="1522" w:type="dxa"/>
            <w:gridSpan w:val="2"/>
            <w:tcBorders>
              <w:top w:val="single" w:sz="4" w:space="0" w:color="auto"/>
              <w:left w:val="nil"/>
              <w:bottom w:val="single" w:sz="4" w:space="0" w:color="auto"/>
              <w:right w:val="nil"/>
            </w:tcBorders>
            <w:shd w:val="clear" w:color="000000" w:fill="B4C6E7"/>
            <w:vAlign w:val="center"/>
            <w:hideMark/>
          </w:tcPr>
          <w:p w14:paraId="60B779E4"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%Change from Q4-22</w:t>
            </w:r>
          </w:p>
        </w:tc>
      </w:tr>
      <w:tr w:rsidR="00D9257A" w:rsidRPr="00F84034" w14:paraId="75F25310" w14:textId="77777777" w:rsidTr="00D9257A">
        <w:trPr>
          <w:trHeight w:val="121"/>
        </w:trPr>
        <w:tc>
          <w:tcPr>
            <w:tcW w:w="1456" w:type="dxa"/>
            <w:gridSpan w:val="2"/>
            <w:tcBorders>
              <w:top w:val="nil"/>
              <w:left w:val="nil"/>
              <w:bottom w:val="nil"/>
              <w:right w:val="nil"/>
            </w:tcBorders>
            <w:shd w:val="clear" w:color="auto" w:fill="auto"/>
            <w:vAlign w:val="center"/>
          </w:tcPr>
          <w:p w14:paraId="62D7F430" w14:textId="77777777" w:rsidR="00D9257A" w:rsidRPr="00F84034" w:rsidRDefault="00D9257A" w:rsidP="00F84034">
            <w:pPr>
              <w:spacing w:after="0" w:line="240" w:lineRule="auto"/>
              <w:rPr>
                <w:rFonts w:ascii="Times New Roman" w:eastAsia="Times New Roman" w:hAnsi="Times New Roman" w:cs="Times New Roman"/>
                <w:color w:val="000000"/>
                <w:sz w:val="24"/>
                <w:szCs w:val="24"/>
              </w:rPr>
            </w:pPr>
          </w:p>
        </w:tc>
        <w:tc>
          <w:tcPr>
            <w:tcW w:w="2147" w:type="dxa"/>
            <w:gridSpan w:val="2"/>
            <w:tcBorders>
              <w:top w:val="nil"/>
              <w:left w:val="nil"/>
              <w:bottom w:val="nil"/>
              <w:right w:val="nil"/>
            </w:tcBorders>
            <w:shd w:val="clear" w:color="auto" w:fill="auto"/>
            <w:vAlign w:val="center"/>
          </w:tcPr>
          <w:p w14:paraId="11BFBC3E" w14:textId="77777777" w:rsidR="00D9257A" w:rsidRPr="00F84034" w:rsidRDefault="00D9257A" w:rsidP="00F84034">
            <w:pPr>
              <w:spacing w:after="0" w:line="240" w:lineRule="auto"/>
              <w:jc w:val="center"/>
              <w:rPr>
                <w:rFonts w:ascii="Times New Roman" w:eastAsia="Times New Roman" w:hAnsi="Times New Roman" w:cs="Times New Roman"/>
                <w:color w:val="000000"/>
                <w:sz w:val="24"/>
                <w:szCs w:val="24"/>
              </w:rPr>
            </w:pPr>
          </w:p>
        </w:tc>
        <w:tc>
          <w:tcPr>
            <w:tcW w:w="1969" w:type="dxa"/>
            <w:gridSpan w:val="2"/>
            <w:tcBorders>
              <w:top w:val="nil"/>
              <w:left w:val="nil"/>
              <w:bottom w:val="nil"/>
              <w:right w:val="nil"/>
            </w:tcBorders>
            <w:shd w:val="clear" w:color="auto" w:fill="auto"/>
            <w:noWrap/>
            <w:vAlign w:val="center"/>
          </w:tcPr>
          <w:p w14:paraId="03A55218" w14:textId="77777777" w:rsidR="00D9257A" w:rsidRPr="00F84034" w:rsidRDefault="00D9257A" w:rsidP="00F84034">
            <w:pPr>
              <w:spacing w:after="0" w:line="240" w:lineRule="auto"/>
              <w:jc w:val="center"/>
              <w:rPr>
                <w:rFonts w:ascii="Times New Roman" w:eastAsia="Times New Roman" w:hAnsi="Times New Roman" w:cs="Times New Roman"/>
                <w:color w:val="000000"/>
                <w:sz w:val="24"/>
                <w:szCs w:val="24"/>
              </w:rPr>
            </w:pPr>
          </w:p>
        </w:tc>
        <w:tc>
          <w:tcPr>
            <w:tcW w:w="1503" w:type="dxa"/>
            <w:tcBorders>
              <w:top w:val="nil"/>
              <w:left w:val="nil"/>
              <w:bottom w:val="nil"/>
              <w:right w:val="nil"/>
            </w:tcBorders>
            <w:shd w:val="clear" w:color="auto" w:fill="auto"/>
            <w:noWrap/>
            <w:vAlign w:val="center"/>
          </w:tcPr>
          <w:p w14:paraId="784B25B4" w14:textId="77777777" w:rsidR="00D9257A" w:rsidRPr="00F84034" w:rsidRDefault="00D9257A" w:rsidP="00F84034">
            <w:pPr>
              <w:spacing w:after="0" w:line="240" w:lineRule="auto"/>
              <w:jc w:val="center"/>
              <w:rPr>
                <w:rFonts w:ascii="Times New Roman" w:eastAsia="Times New Roman" w:hAnsi="Times New Roman" w:cs="Times New Roman"/>
                <w:color w:val="000000"/>
                <w:sz w:val="24"/>
                <w:szCs w:val="24"/>
              </w:rPr>
            </w:pPr>
          </w:p>
        </w:tc>
      </w:tr>
      <w:tr w:rsidR="00F84034" w:rsidRPr="00F84034" w14:paraId="6B211DFB" w14:textId="77777777" w:rsidTr="00B47C95">
        <w:trPr>
          <w:trHeight w:val="121"/>
        </w:trPr>
        <w:tc>
          <w:tcPr>
            <w:tcW w:w="1456" w:type="dxa"/>
            <w:gridSpan w:val="2"/>
            <w:tcBorders>
              <w:top w:val="nil"/>
              <w:left w:val="nil"/>
              <w:bottom w:val="nil"/>
              <w:right w:val="nil"/>
            </w:tcBorders>
            <w:shd w:val="clear" w:color="auto" w:fill="auto"/>
            <w:vAlign w:val="center"/>
            <w:hideMark/>
          </w:tcPr>
          <w:p w14:paraId="2204DD7C" w14:textId="77777777" w:rsidR="00F84034" w:rsidRPr="00F84034" w:rsidRDefault="00F84034" w:rsidP="00F84034">
            <w:pPr>
              <w:spacing w:after="0" w:line="240" w:lineRule="auto"/>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Gasoline (Petrol)</w:t>
            </w:r>
          </w:p>
        </w:tc>
        <w:tc>
          <w:tcPr>
            <w:tcW w:w="2147" w:type="dxa"/>
            <w:gridSpan w:val="2"/>
            <w:tcBorders>
              <w:top w:val="nil"/>
              <w:left w:val="nil"/>
              <w:bottom w:val="nil"/>
              <w:right w:val="nil"/>
            </w:tcBorders>
            <w:shd w:val="clear" w:color="auto" w:fill="auto"/>
            <w:vAlign w:val="center"/>
            <w:hideMark/>
          </w:tcPr>
          <w:p w14:paraId="2FB19B6A"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0.52 - 0.80</w:t>
            </w:r>
          </w:p>
        </w:tc>
        <w:tc>
          <w:tcPr>
            <w:tcW w:w="1969" w:type="dxa"/>
            <w:gridSpan w:val="2"/>
            <w:tcBorders>
              <w:top w:val="nil"/>
              <w:left w:val="nil"/>
              <w:bottom w:val="nil"/>
              <w:right w:val="nil"/>
            </w:tcBorders>
            <w:shd w:val="clear" w:color="auto" w:fill="auto"/>
            <w:noWrap/>
            <w:vAlign w:val="center"/>
            <w:hideMark/>
          </w:tcPr>
          <w:p w14:paraId="4BA40248"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0.645</w:t>
            </w:r>
          </w:p>
        </w:tc>
        <w:tc>
          <w:tcPr>
            <w:tcW w:w="1503" w:type="dxa"/>
            <w:tcBorders>
              <w:top w:val="nil"/>
              <w:left w:val="nil"/>
              <w:bottom w:val="nil"/>
              <w:right w:val="nil"/>
            </w:tcBorders>
            <w:shd w:val="clear" w:color="auto" w:fill="auto"/>
            <w:noWrap/>
            <w:vAlign w:val="center"/>
            <w:hideMark/>
          </w:tcPr>
          <w:p w14:paraId="6DF856A6"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-17.79%</w:t>
            </w:r>
          </w:p>
        </w:tc>
      </w:tr>
      <w:tr w:rsidR="00F84034" w:rsidRPr="00F84034" w14:paraId="128F9142" w14:textId="77777777" w:rsidTr="00B47C95">
        <w:trPr>
          <w:trHeight w:val="126"/>
        </w:trPr>
        <w:tc>
          <w:tcPr>
            <w:tcW w:w="1456" w:type="dxa"/>
            <w:gridSpan w:val="2"/>
            <w:tcBorders>
              <w:top w:val="nil"/>
              <w:left w:val="nil"/>
              <w:bottom w:val="nil"/>
              <w:right w:val="nil"/>
            </w:tcBorders>
            <w:shd w:val="clear" w:color="auto" w:fill="auto"/>
            <w:vAlign w:val="center"/>
            <w:hideMark/>
          </w:tcPr>
          <w:p w14:paraId="708813CD" w14:textId="77777777" w:rsidR="00F84034" w:rsidRPr="00F84034" w:rsidRDefault="00F84034" w:rsidP="00F84034">
            <w:pPr>
              <w:spacing w:after="0" w:line="240" w:lineRule="auto"/>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Gasoil (Diesel)</w:t>
            </w:r>
          </w:p>
        </w:tc>
        <w:tc>
          <w:tcPr>
            <w:tcW w:w="2147" w:type="dxa"/>
            <w:gridSpan w:val="2"/>
            <w:tcBorders>
              <w:top w:val="nil"/>
              <w:left w:val="nil"/>
              <w:bottom w:val="nil"/>
              <w:right w:val="nil"/>
            </w:tcBorders>
            <w:shd w:val="clear" w:color="auto" w:fill="auto"/>
            <w:vAlign w:val="center"/>
            <w:hideMark/>
          </w:tcPr>
          <w:p w14:paraId="2F6C95C9"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0.18 - 0.79</w:t>
            </w:r>
          </w:p>
        </w:tc>
        <w:tc>
          <w:tcPr>
            <w:tcW w:w="1969" w:type="dxa"/>
            <w:gridSpan w:val="2"/>
            <w:tcBorders>
              <w:top w:val="nil"/>
              <w:left w:val="nil"/>
              <w:bottom w:val="nil"/>
              <w:right w:val="nil"/>
            </w:tcBorders>
            <w:shd w:val="clear" w:color="auto" w:fill="auto"/>
            <w:noWrap/>
            <w:vAlign w:val="center"/>
            <w:hideMark/>
          </w:tcPr>
          <w:p w14:paraId="73BB12AA"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0.3917</w:t>
            </w:r>
          </w:p>
        </w:tc>
        <w:tc>
          <w:tcPr>
            <w:tcW w:w="1503" w:type="dxa"/>
            <w:tcBorders>
              <w:top w:val="nil"/>
              <w:left w:val="nil"/>
              <w:bottom w:val="nil"/>
              <w:right w:val="nil"/>
            </w:tcBorders>
            <w:shd w:val="clear" w:color="auto" w:fill="auto"/>
            <w:noWrap/>
            <w:vAlign w:val="center"/>
            <w:hideMark/>
          </w:tcPr>
          <w:p w14:paraId="6AC7EB02"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-31.91%</w:t>
            </w:r>
          </w:p>
        </w:tc>
      </w:tr>
      <w:tr w:rsidR="00F84034" w:rsidRPr="00F84034" w14:paraId="30D0B505" w14:textId="77777777" w:rsidTr="00B47C95">
        <w:trPr>
          <w:trHeight w:val="70"/>
        </w:trPr>
        <w:tc>
          <w:tcPr>
            <w:tcW w:w="1456" w:type="dxa"/>
            <w:gridSpan w:val="2"/>
            <w:tcBorders>
              <w:top w:val="nil"/>
              <w:left w:val="nil"/>
              <w:bottom w:val="single" w:sz="4" w:space="0" w:color="auto"/>
              <w:right w:val="nil"/>
            </w:tcBorders>
            <w:shd w:val="clear" w:color="auto" w:fill="auto"/>
            <w:vAlign w:val="center"/>
            <w:hideMark/>
          </w:tcPr>
          <w:p w14:paraId="28C44940" w14:textId="3F5A58F0" w:rsidR="00F84034" w:rsidRPr="00F84034" w:rsidRDefault="007B4397" w:rsidP="00F840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F84034" w:rsidRPr="00F84034">
              <w:rPr>
                <w:rFonts w:ascii="Times New Roman" w:eastAsia="Times New Roman" w:hAnsi="Times New Roman" w:cs="Times New Roman"/>
                <w:color w:val="000000"/>
                <w:sz w:val="24"/>
                <w:szCs w:val="24"/>
              </w:rPr>
              <w:t>LPG </w:t>
            </w:r>
          </w:p>
        </w:tc>
        <w:tc>
          <w:tcPr>
            <w:tcW w:w="2147" w:type="dxa"/>
            <w:gridSpan w:val="2"/>
            <w:tcBorders>
              <w:top w:val="nil"/>
              <w:left w:val="nil"/>
              <w:bottom w:val="single" w:sz="4" w:space="0" w:color="auto"/>
              <w:right w:val="nil"/>
            </w:tcBorders>
            <w:shd w:val="clear" w:color="auto" w:fill="auto"/>
            <w:vAlign w:val="center"/>
            <w:hideMark/>
          </w:tcPr>
          <w:p w14:paraId="0D3ADF8A"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0.4722 - 1.2022</w:t>
            </w:r>
          </w:p>
        </w:tc>
        <w:tc>
          <w:tcPr>
            <w:tcW w:w="1969" w:type="dxa"/>
            <w:gridSpan w:val="2"/>
            <w:tcBorders>
              <w:top w:val="nil"/>
              <w:left w:val="nil"/>
              <w:bottom w:val="single" w:sz="4" w:space="0" w:color="auto"/>
              <w:right w:val="nil"/>
            </w:tcBorders>
            <w:shd w:val="clear" w:color="auto" w:fill="auto"/>
            <w:noWrap/>
            <w:vAlign w:val="center"/>
            <w:hideMark/>
          </w:tcPr>
          <w:p w14:paraId="269E68F5"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0.8406</w:t>
            </w:r>
          </w:p>
        </w:tc>
        <w:tc>
          <w:tcPr>
            <w:tcW w:w="1503" w:type="dxa"/>
            <w:tcBorders>
              <w:top w:val="nil"/>
              <w:left w:val="nil"/>
              <w:bottom w:val="single" w:sz="4" w:space="0" w:color="auto"/>
              <w:right w:val="nil"/>
            </w:tcBorders>
            <w:shd w:val="clear" w:color="auto" w:fill="auto"/>
            <w:noWrap/>
            <w:vAlign w:val="center"/>
            <w:hideMark/>
          </w:tcPr>
          <w:p w14:paraId="262D3ED8" w14:textId="77777777" w:rsidR="00F84034" w:rsidRPr="00F84034" w:rsidRDefault="00F84034" w:rsidP="00F84034">
            <w:pPr>
              <w:spacing w:after="0" w:line="240" w:lineRule="auto"/>
              <w:jc w:val="center"/>
              <w:rPr>
                <w:rFonts w:ascii="Times New Roman" w:eastAsia="Times New Roman" w:hAnsi="Times New Roman" w:cs="Times New Roman"/>
                <w:color w:val="000000"/>
                <w:sz w:val="24"/>
                <w:szCs w:val="24"/>
              </w:rPr>
            </w:pPr>
            <w:r w:rsidRPr="00F84034">
              <w:rPr>
                <w:rFonts w:ascii="Times New Roman" w:eastAsia="Times New Roman" w:hAnsi="Times New Roman" w:cs="Times New Roman"/>
                <w:color w:val="000000"/>
                <w:sz w:val="24"/>
                <w:szCs w:val="24"/>
              </w:rPr>
              <w:t>-26.89%</w:t>
            </w:r>
          </w:p>
        </w:tc>
      </w:tr>
    </w:tbl>
    <w:p w14:paraId="308A0D2B" w14:textId="77777777" w:rsidR="00BB1F80" w:rsidRPr="00B47C95" w:rsidRDefault="00BB1F80" w:rsidP="00BB1F80">
      <w:pPr>
        <w:spacing w:after="0" w:line="480" w:lineRule="auto"/>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Source: NPA Pricing Database</w:t>
      </w:r>
    </w:p>
    <w:p w14:paraId="5025C92C" w14:textId="7FC45779" w:rsidR="00D40823" w:rsidRPr="00B47C95" w:rsidRDefault="00D40823" w:rsidP="004E4E47">
      <w:pPr>
        <w:pStyle w:val="Heading1"/>
        <w:rPr>
          <w:rFonts w:ascii="Times New Roman" w:hAnsi="Times New Roman" w:cs="Times New Roman"/>
          <w:sz w:val="56"/>
          <w:szCs w:val="56"/>
        </w:rPr>
      </w:pPr>
      <w:bookmarkStart w:id="62" w:name="_Toc141440564"/>
      <w:r w:rsidRPr="00B47C95">
        <w:rPr>
          <w:rFonts w:ascii="Times New Roman" w:hAnsi="Times New Roman" w:cs="Times New Roman"/>
          <w:sz w:val="56"/>
          <w:szCs w:val="56"/>
        </w:rPr>
        <w:t>6.0 Policy Issues</w:t>
      </w:r>
      <w:bookmarkEnd w:id="62"/>
    </w:p>
    <w:p w14:paraId="3AFC7EE2" w14:textId="479FF08A" w:rsidR="00850FAE" w:rsidRDefault="002A1EE6" w:rsidP="002A1EE6">
      <w:pPr>
        <w:jc w:val="both"/>
        <w:rPr>
          <w:rFonts w:ascii="Times New Roman" w:hAnsi="Times New Roman" w:cs="Times New Roman"/>
          <w:sz w:val="24"/>
          <w:szCs w:val="24"/>
        </w:rPr>
      </w:pPr>
      <w:r w:rsidRPr="0063758F">
        <w:rPr>
          <w:rFonts w:ascii="Times New Roman" w:hAnsi="Times New Roman" w:cs="Times New Roman"/>
          <w:sz w:val="24"/>
          <w:szCs w:val="24"/>
        </w:rPr>
        <w:t xml:space="preserve">The government of Ghana </w:t>
      </w:r>
      <w:r w:rsidRPr="002A1EE6">
        <w:rPr>
          <w:rFonts w:ascii="Times New Roman" w:hAnsi="Times New Roman" w:cs="Times New Roman"/>
          <w:sz w:val="24"/>
          <w:szCs w:val="24"/>
        </w:rPr>
        <w:t>introduced a new policy directive dubbed Gold for Oil ‘G4O’</w:t>
      </w:r>
      <w:r w:rsidR="00DE5946">
        <w:rPr>
          <w:rFonts w:ascii="Times New Roman" w:hAnsi="Times New Roman" w:cs="Times New Roman"/>
          <w:sz w:val="24"/>
          <w:szCs w:val="24"/>
        </w:rPr>
        <w:t xml:space="preserve">. Before the introduction of the policy, </w:t>
      </w:r>
      <w:r w:rsidR="00614588">
        <w:rPr>
          <w:rFonts w:ascii="Times New Roman" w:hAnsi="Times New Roman" w:cs="Times New Roman"/>
          <w:sz w:val="24"/>
          <w:szCs w:val="24"/>
        </w:rPr>
        <w:t>Ghana, as a net importer of petroleum products</w:t>
      </w:r>
      <w:r w:rsidR="008E6310">
        <w:rPr>
          <w:rFonts w:ascii="Times New Roman" w:hAnsi="Times New Roman" w:cs="Times New Roman"/>
          <w:sz w:val="24"/>
          <w:szCs w:val="24"/>
        </w:rPr>
        <w:t>, was spending</w:t>
      </w:r>
      <w:r w:rsidR="004235A2">
        <w:rPr>
          <w:rFonts w:ascii="Times New Roman" w:hAnsi="Times New Roman" w:cs="Times New Roman"/>
          <w:sz w:val="24"/>
          <w:szCs w:val="24"/>
        </w:rPr>
        <w:t xml:space="preserve"> on monthly basis an estimated</w:t>
      </w:r>
      <w:r w:rsidR="008E6310">
        <w:rPr>
          <w:rFonts w:ascii="Times New Roman" w:hAnsi="Times New Roman" w:cs="Times New Roman"/>
          <w:sz w:val="24"/>
          <w:szCs w:val="24"/>
        </w:rPr>
        <w:t xml:space="preserve"> </w:t>
      </w:r>
      <w:r w:rsidR="00070391">
        <w:rPr>
          <w:rFonts w:ascii="Times New Roman" w:hAnsi="Times New Roman" w:cs="Times New Roman"/>
          <w:sz w:val="24"/>
          <w:szCs w:val="24"/>
        </w:rPr>
        <w:t xml:space="preserve">amount of </w:t>
      </w:r>
      <w:r w:rsidR="008E6310" w:rsidRPr="002A1EE6">
        <w:rPr>
          <w:rFonts w:ascii="Times New Roman" w:hAnsi="Times New Roman" w:cs="Times New Roman"/>
          <w:sz w:val="24"/>
          <w:szCs w:val="24"/>
        </w:rPr>
        <w:t xml:space="preserve">USD350 million </w:t>
      </w:r>
      <w:r w:rsidR="004235A2">
        <w:rPr>
          <w:rFonts w:ascii="Times New Roman" w:hAnsi="Times New Roman" w:cs="Times New Roman"/>
          <w:sz w:val="24"/>
          <w:szCs w:val="24"/>
        </w:rPr>
        <w:t xml:space="preserve">to </w:t>
      </w:r>
      <w:r w:rsidR="00E075F6">
        <w:rPr>
          <w:rFonts w:ascii="Times New Roman" w:hAnsi="Times New Roman" w:cs="Times New Roman"/>
          <w:sz w:val="24"/>
          <w:szCs w:val="24"/>
        </w:rPr>
        <w:t xml:space="preserve">import </w:t>
      </w:r>
      <w:r w:rsidR="008E6310" w:rsidRPr="002A1EE6">
        <w:rPr>
          <w:rFonts w:ascii="Times New Roman" w:hAnsi="Times New Roman" w:cs="Times New Roman"/>
          <w:sz w:val="24"/>
          <w:szCs w:val="24"/>
        </w:rPr>
        <w:t xml:space="preserve">petroleum </w:t>
      </w:r>
      <w:r w:rsidR="00E075F6">
        <w:rPr>
          <w:rFonts w:ascii="Times New Roman" w:hAnsi="Times New Roman" w:cs="Times New Roman"/>
          <w:sz w:val="24"/>
          <w:szCs w:val="24"/>
        </w:rPr>
        <w:t xml:space="preserve">products. </w:t>
      </w:r>
      <w:r w:rsidR="008603C1">
        <w:rPr>
          <w:rFonts w:ascii="Times New Roman" w:hAnsi="Times New Roman" w:cs="Times New Roman"/>
          <w:sz w:val="24"/>
          <w:szCs w:val="24"/>
        </w:rPr>
        <w:t xml:space="preserve">This </w:t>
      </w:r>
      <w:r w:rsidR="00E862A3">
        <w:rPr>
          <w:rFonts w:ascii="Times New Roman" w:hAnsi="Times New Roman" w:cs="Times New Roman"/>
          <w:sz w:val="24"/>
          <w:szCs w:val="24"/>
        </w:rPr>
        <w:t xml:space="preserve">huge monthly import bill exerted </w:t>
      </w:r>
      <w:r w:rsidR="00C661D9">
        <w:rPr>
          <w:rFonts w:ascii="Times New Roman" w:hAnsi="Times New Roman" w:cs="Times New Roman"/>
          <w:sz w:val="24"/>
          <w:szCs w:val="24"/>
        </w:rPr>
        <w:t>pressure on the cedi, contributing to its instability</w:t>
      </w:r>
      <w:r w:rsidR="00A71EB5">
        <w:rPr>
          <w:rFonts w:ascii="Times New Roman" w:hAnsi="Times New Roman" w:cs="Times New Roman"/>
          <w:sz w:val="24"/>
          <w:szCs w:val="24"/>
        </w:rPr>
        <w:t xml:space="preserve"> against </w:t>
      </w:r>
      <w:r w:rsidR="00A70127">
        <w:rPr>
          <w:rFonts w:ascii="Times New Roman" w:hAnsi="Times New Roman" w:cs="Times New Roman"/>
          <w:sz w:val="24"/>
          <w:szCs w:val="24"/>
        </w:rPr>
        <w:t xml:space="preserve">the major trading currencies. </w:t>
      </w:r>
      <w:r w:rsidR="000C1C33">
        <w:rPr>
          <w:rFonts w:ascii="Times New Roman" w:hAnsi="Times New Roman" w:cs="Times New Roman"/>
          <w:sz w:val="24"/>
          <w:szCs w:val="24"/>
        </w:rPr>
        <w:t>Therefore, t</w:t>
      </w:r>
      <w:r w:rsidR="00460202">
        <w:rPr>
          <w:rFonts w:ascii="Times New Roman" w:hAnsi="Times New Roman" w:cs="Times New Roman"/>
          <w:sz w:val="24"/>
          <w:szCs w:val="24"/>
        </w:rPr>
        <w:t xml:space="preserve">he </w:t>
      </w:r>
      <w:r w:rsidR="00203561">
        <w:rPr>
          <w:rFonts w:ascii="Times New Roman" w:hAnsi="Times New Roman" w:cs="Times New Roman"/>
          <w:sz w:val="24"/>
          <w:szCs w:val="24"/>
        </w:rPr>
        <w:t>pri</w:t>
      </w:r>
      <w:r w:rsidR="00952835">
        <w:rPr>
          <w:rFonts w:ascii="Times New Roman" w:hAnsi="Times New Roman" w:cs="Times New Roman"/>
          <w:sz w:val="24"/>
          <w:szCs w:val="24"/>
        </w:rPr>
        <w:t>ncipal</w:t>
      </w:r>
      <w:r w:rsidR="00460202">
        <w:rPr>
          <w:rFonts w:ascii="Times New Roman" w:hAnsi="Times New Roman" w:cs="Times New Roman"/>
          <w:sz w:val="24"/>
          <w:szCs w:val="24"/>
        </w:rPr>
        <w:t xml:space="preserve"> objective </w:t>
      </w:r>
      <w:r w:rsidR="002875C0">
        <w:rPr>
          <w:rFonts w:ascii="Times New Roman" w:hAnsi="Times New Roman" w:cs="Times New Roman"/>
          <w:sz w:val="24"/>
          <w:szCs w:val="24"/>
        </w:rPr>
        <w:t xml:space="preserve">of the </w:t>
      </w:r>
      <w:r w:rsidR="002875C0" w:rsidRPr="002A1EE6">
        <w:rPr>
          <w:rFonts w:ascii="Times New Roman" w:hAnsi="Times New Roman" w:cs="Times New Roman"/>
          <w:sz w:val="24"/>
          <w:szCs w:val="24"/>
        </w:rPr>
        <w:t>G4O</w:t>
      </w:r>
      <w:r w:rsidR="002875C0">
        <w:rPr>
          <w:rFonts w:ascii="Times New Roman" w:hAnsi="Times New Roman" w:cs="Times New Roman"/>
          <w:sz w:val="24"/>
          <w:szCs w:val="24"/>
        </w:rPr>
        <w:t xml:space="preserve"> polic</w:t>
      </w:r>
      <w:r w:rsidR="00B40B52">
        <w:rPr>
          <w:rFonts w:ascii="Times New Roman" w:hAnsi="Times New Roman" w:cs="Times New Roman"/>
          <w:sz w:val="24"/>
          <w:szCs w:val="24"/>
        </w:rPr>
        <w:t xml:space="preserve">y </w:t>
      </w:r>
      <w:r w:rsidR="00952835">
        <w:rPr>
          <w:rFonts w:ascii="Times New Roman" w:hAnsi="Times New Roman" w:cs="Times New Roman"/>
          <w:sz w:val="24"/>
          <w:szCs w:val="24"/>
        </w:rPr>
        <w:t xml:space="preserve">is to </w:t>
      </w:r>
      <w:r w:rsidR="00BF14A1">
        <w:rPr>
          <w:rFonts w:ascii="Times New Roman" w:hAnsi="Times New Roman" w:cs="Times New Roman"/>
          <w:sz w:val="24"/>
          <w:szCs w:val="24"/>
        </w:rPr>
        <w:t>strengthen</w:t>
      </w:r>
      <w:r w:rsidR="00952835">
        <w:rPr>
          <w:rFonts w:ascii="Times New Roman" w:hAnsi="Times New Roman" w:cs="Times New Roman"/>
          <w:sz w:val="24"/>
          <w:szCs w:val="24"/>
        </w:rPr>
        <w:t xml:space="preserve"> government’s efforts at stabilizing the cedi </w:t>
      </w:r>
      <w:r w:rsidR="00DB4303">
        <w:rPr>
          <w:rFonts w:ascii="Times New Roman" w:hAnsi="Times New Roman" w:cs="Times New Roman"/>
          <w:sz w:val="24"/>
          <w:szCs w:val="24"/>
        </w:rPr>
        <w:t xml:space="preserve">by </w:t>
      </w:r>
      <w:r w:rsidR="00B40B52">
        <w:rPr>
          <w:rFonts w:ascii="Times New Roman" w:hAnsi="Times New Roman" w:cs="Times New Roman"/>
          <w:sz w:val="24"/>
          <w:szCs w:val="24"/>
        </w:rPr>
        <w:t>replac</w:t>
      </w:r>
      <w:r w:rsidR="00DB4303">
        <w:rPr>
          <w:rFonts w:ascii="Times New Roman" w:hAnsi="Times New Roman" w:cs="Times New Roman"/>
          <w:sz w:val="24"/>
          <w:szCs w:val="24"/>
        </w:rPr>
        <w:t>ing</w:t>
      </w:r>
      <w:r w:rsidR="00B40B52">
        <w:rPr>
          <w:rFonts w:ascii="Times New Roman" w:hAnsi="Times New Roman" w:cs="Times New Roman"/>
          <w:sz w:val="24"/>
          <w:szCs w:val="24"/>
        </w:rPr>
        <w:t xml:space="preserve"> the use of the USD Dollar for the i</w:t>
      </w:r>
      <w:r w:rsidR="00E07CCC">
        <w:rPr>
          <w:rFonts w:ascii="Times New Roman" w:hAnsi="Times New Roman" w:cs="Times New Roman"/>
          <w:sz w:val="24"/>
          <w:szCs w:val="24"/>
        </w:rPr>
        <w:t>mportation of petroleum products</w:t>
      </w:r>
      <w:r w:rsidR="007B56EB">
        <w:rPr>
          <w:rFonts w:ascii="Times New Roman" w:hAnsi="Times New Roman" w:cs="Times New Roman"/>
          <w:sz w:val="24"/>
          <w:szCs w:val="24"/>
        </w:rPr>
        <w:t xml:space="preserve"> with gold</w:t>
      </w:r>
      <w:r w:rsidR="00E07CCC">
        <w:rPr>
          <w:rFonts w:ascii="Times New Roman" w:hAnsi="Times New Roman" w:cs="Times New Roman"/>
          <w:sz w:val="24"/>
          <w:szCs w:val="24"/>
        </w:rPr>
        <w:t xml:space="preserve"> </w:t>
      </w:r>
      <w:r w:rsidR="00A45D1D">
        <w:rPr>
          <w:rFonts w:ascii="Times New Roman" w:hAnsi="Times New Roman" w:cs="Times New Roman"/>
          <w:sz w:val="24"/>
          <w:szCs w:val="24"/>
        </w:rPr>
        <w:t xml:space="preserve">and accordingly </w:t>
      </w:r>
      <w:r w:rsidR="00E160A0">
        <w:rPr>
          <w:rFonts w:ascii="Times New Roman" w:hAnsi="Times New Roman" w:cs="Times New Roman"/>
          <w:sz w:val="24"/>
          <w:szCs w:val="24"/>
        </w:rPr>
        <w:t xml:space="preserve">prevent </w:t>
      </w:r>
      <w:r w:rsidR="00F246A2">
        <w:rPr>
          <w:rFonts w:ascii="Times New Roman" w:hAnsi="Times New Roman" w:cs="Times New Roman"/>
          <w:sz w:val="24"/>
          <w:szCs w:val="24"/>
        </w:rPr>
        <w:t>the pressure it imposes on the</w:t>
      </w:r>
      <w:r w:rsidR="007B56EB">
        <w:rPr>
          <w:rFonts w:ascii="Times New Roman" w:hAnsi="Times New Roman" w:cs="Times New Roman"/>
          <w:sz w:val="24"/>
          <w:szCs w:val="24"/>
        </w:rPr>
        <w:t xml:space="preserve"> cedi.</w:t>
      </w:r>
      <w:r w:rsidR="00F246A2">
        <w:rPr>
          <w:rFonts w:ascii="Times New Roman" w:hAnsi="Times New Roman" w:cs="Times New Roman"/>
          <w:sz w:val="24"/>
          <w:szCs w:val="24"/>
        </w:rPr>
        <w:t xml:space="preserve"> </w:t>
      </w:r>
      <w:r w:rsidRPr="002A1EE6">
        <w:rPr>
          <w:rFonts w:ascii="Times New Roman" w:hAnsi="Times New Roman" w:cs="Times New Roman"/>
          <w:sz w:val="24"/>
          <w:szCs w:val="24"/>
        </w:rPr>
        <w:t xml:space="preserve">The </w:t>
      </w:r>
      <w:r w:rsidR="000E3838">
        <w:rPr>
          <w:rFonts w:ascii="Times New Roman" w:hAnsi="Times New Roman" w:cs="Times New Roman"/>
          <w:sz w:val="24"/>
          <w:szCs w:val="24"/>
        </w:rPr>
        <w:t>policy</w:t>
      </w:r>
      <w:r w:rsidRPr="002A1EE6">
        <w:rPr>
          <w:rFonts w:ascii="Times New Roman" w:hAnsi="Times New Roman" w:cs="Times New Roman"/>
          <w:sz w:val="24"/>
          <w:szCs w:val="24"/>
        </w:rPr>
        <w:t xml:space="preserve"> is also to ensure that petroleum products are procured at competitive prices resulting in relatively cheaper cost of import of petroleum products from international oil traders. </w:t>
      </w:r>
    </w:p>
    <w:p w14:paraId="4062C690" w14:textId="0EFA4312" w:rsidR="002A1EE6" w:rsidRPr="002A1EE6" w:rsidRDefault="002A1EE6" w:rsidP="002A1EE6">
      <w:pPr>
        <w:jc w:val="both"/>
        <w:rPr>
          <w:rFonts w:ascii="Times New Roman" w:hAnsi="Times New Roman" w:cs="Times New Roman"/>
          <w:sz w:val="24"/>
          <w:szCs w:val="24"/>
        </w:rPr>
      </w:pPr>
      <w:r w:rsidRPr="002A1EE6">
        <w:rPr>
          <w:rFonts w:ascii="Times New Roman" w:hAnsi="Times New Roman" w:cs="Times New Roman"/>
          <w:sz w:val="24"/>
          <w:szCs w:val="24"/>
        </w:rPr>
        <w:lastRenderedPageBreak/>
        <w:t xml:space="preserve">The G4O </w:t>
      </w:r>
      <w:r w:rsidR="007449BA">
        <w:rPr>
          <w:rFonts w:ascii="Times New Roman" w:hAnsi="Times New Roman" w:cs="Times New Roman"/>
          <w:sz w:val="24"/>
          <w:szCs w:val="24"/>
        </w:rPr>
        <w:t>policy is being implemented</w:t>
      </w:r>
      <w:r w:rsidRPr="002A1EE6">
        <w:rPr>
          <w:rFonts w:ascii="Times New Roman" w:hAnsi="Times New Roman" w:cs="Times New Roman"/>
          <w:sz w:val="24"/>
          <w:szCs w:val="24"/>
        </w:rPr>
        <w:t xml:space="preserve"> </w:t>
      </w:r>
      <w:r w:rsidR="00FA0C32">
        <w:rPr>
          <w:rFonts w:ascii="Times New Roman" w:hAnsi="Times New Roman" w:cs="Times New Roman"/>
          <w:sz w:val="24"/>
          <w:szCs w:val="24"/>
        </w:rPr>
        <w:t xml:space="preserve">with reliance </w:t>
      </w:r>
      <w:r w:rsidR="00CE205F">
        <w:rPr>
          <w:rFonts w:ascii="Times New Roman" w:hAnsi="Times New Roman" w:cs="Times New Roman"/>
          <w:sz w:val="24"/>
          <w:szCs w:val="24"/>
        </w:rPr>
        <w:t xml:space="preserve">on the </w:t>
      </w:r>
      <w:r w:rsidRPr="002A1EE6">
        <w:rPr>
          <w:rFonts w:ascii="Times New Roman" w:hAnsi="Times New Roman" w:cs="Times New Roman"/>
          <w:sz w:val="24"/>
          <w:szCs w:val="24"/>
        </w:rPr>
        <w:t>Bank of Ghana</w:t>
      </w:r>
      <w:r w:rsidR="005A6D19">
        <w:rPr>
          <w:rFonts w:ascii="Times New Roman" w:hAnsi="Times New Roman" w:cs="Times New Roman"/>
          <w:sz w:val="24"/>
          <w:szCs w:val="24"/>
        </w:rPr>
        <w:t>’s (</w:t>
      </w:r>
      <w:proofErr w:type="spellStart"/>
      <w:r w:rsidR="005A6D19">
        <w:rPr>
          <w:rFonts w:ascii="Times New Roman" w:hAnsi="Times New Roman" w:cs="Times New Roman"/>
          <w:sz w:val="24"/>
          <w:szCs w:val="24"/>
        </w:rPr>
        <w:t>BoG</w:t>
      </w:r>
      <w:proofErr w:type="spellEnd"/>
      <w:r w:rsidR="005A6D19">
        <w:rPr>
          <w:rFonts w:ascii="Times New Roman" w:hAnsi="Times New Roman" w:cs="Times New Roman"/>
          <w:sz w:val="24"/>
          <w:szCs w:val="24"/>
        </w:rPr>
        <w:t xml:space="preserve">) </w:t>
      </w:r>
      <w:r w:rsidRPr="002A1EE6">
        <w:rPr>
          <w:rFonts w:ascii="Times New Roman" w:hAnsi="Times New Roman" w:cs="Times New Roman"/>
          <w:sz w:val="24"/>
          <w:szCs w:val="24"/>
        </w:rPr>
        <w:t xml:space="preserve">Domestic Gold Purchase (DGP) programme, where the central bank ramps up its gold purchases on the local market to shore up the country’s gold reserves. All gold produced and exported by small-scale and community mining companies are purchased by Precious Minerals and Marketing Company (PMMC) on behalf of </w:t>
      </w:r>
      <w:proofErr w:type="spellStart"/>
      <w:r w:rsidRPr="002A1EE6">
        <w:rPr>
          <w:rFonts w:ascii="Times New Roman" w:hAnsi="Times New Roman" w:cs="Times New Roman"/>
          <w:sz w:val="24"/>
          <w:szCs w:val="24"/>
        </w:rPr>
        <w:t>BoG</w:t>
      </w:r>
      <w:proofErr w:type="spellEnd"/>
      <w:r w:rsidRPr="002A1EE6">
        <w:rPr>
          <w:rFonts w:ascii="Times New Roman" w:hAnsi="Times New Roman" w:cs="Times New Roman"/>
          <w:sz w:val="24"/>
          <w:szCs w:val="24"/>
        </w:rPr>
        <w:t xml:space="preserve">, while large-scale mining companies sell </w:t>
      </w:r>
      <w:r w:rsidR="005A6D19">
        <w:rPr>
          <w:rFonts w:ascii="Times New Roman" w:hAnsi="Times New Roman" w:cs="Times New Roman"/>
          <w:sz w:val="24"/>
          <w:szCs w:val="24"/>
        </w:rPr>
        <w:t>2</w:t>
      </w:r>
      <w:r w:rsidRPr="002A1EE6">
        <w:rPr>
          <w:rFonts w:ascii="Times New Roman" w:hAnsi="Times New Roman" w:cs="Times New Roman"/>
          <w:sz w:val="24"/>
          <w:szCs w:val="24"/>
        </w:rPr>
        <w:t xml:space="preserve">0% </w:t>
      </w:r>
      <w:r w:rsidR="005A6D19">
        <w:rPr>
          <w:rFonts w:ascii="Times New Roman" w:hAnsi="Times New Roman" w:cs="Times New Roman"/>
          <w:sz w:val="24"/>
          <w:szCs w:val="24"/>
        </w:rPr>
        <w:t>of refined gold direc</w:t>
      </w:r>
      <w:r w:rsidRPr="002A1EE6">
        <w:rPr>
          <w:rFonts w:ascii="Times New Roman" w:hAnsi="Times New Roman" w:cs="Times New Roman"/>
          <w:sz w:val="24"/>
          <w:szCs w:val="24"/>
        </w:rPr>
        <w:t xml:space="preserve">tly to </w:t>
      </w:r>
      <w:proofErr w:type="spellStart"/>
      <w:r w:rsidRPr="002A1EE6">
        <w:rPr>
          <w:rFonts w:ascii="Times New Roman" w:hAnsi="Times New Roman" w:cs="Times New Roman"/>
          <w:sz w:val="24"/>
          <w:szCs w:val="24"/>
        </w:rPr>
        <w:t>BoG</w:t>
      </w:r>
      <w:proofErr w:type="spellEnd"/>
      <w:r w:rsidRPr="002A1EE6">
        <w:rPr>
          <w:rFonts w:ascii="Times New Roman" w:hAnsi="Times New Roman" w:cs="Times New Roman"/>
          <w:sz w:val="24"/>
          <w:szCs w:val="24"/>
        </w:rPr>
        <w:t xml:space="preserve">. The gold purchased is used for payment of the oil supplied to the </w:t>
      </w:r>
      <w:r w:rsidRPr="0063758F">
        <w:rPr>
          <w:rFonts w:ascii="Times New Roman" w:hAnsi="Times New Roman" w:cs="Times New Roman"/>
          <w:sz w:val="24"/>
          <w:szCs w:val="24"/>
        </w:rPr>
        <w:t xml:space="preserve">Bulk Oil Storage and Transportation </w:t>
      </w:r>
      <w:r w:rsidRPr="002A1EE6">
        <w:rPr>
          <w:rFonts w:ascii="Times New Roman" w:hAnsi="Times New Roman" w:cs="Times New Roman"/>
          <w:sz w:val="24"/>
          <w:szCs w:val="24"/>
        </w:rPr>
        <w:t xml:space="preserve">Company </w:t>
      </w:r>
      <w:r w:rsidRPr="0063758F">
        <w:rPr>
          <w:rFonts w:ascii="Times New Roman" w:hAnsi="Times New Roman" w:cs="Times New Roman"/>
          <w:sz w:val="24"/>
          <w:szCs w:val="24"/>
        </w:rPr>
        <w:t>(BOST)</w:t>
      </w:r>
      <w:r w:rsidRPr="002A1EE6">
        <w:rPr>
          <w:rFonts w:ascii="Times New Roman" w:hAnsi="Times New Roman" w:cs="Times New Roman"/>
          <w:sz w:val="24"/>
          <w:szCs w:val="24"/>
        </w:rPr>
        <w:t xml:space="preserve"> in two channels, either through a barter trade or via the broker channel.</w:t>
      </w:r>
    </w:p>
    <w:p w14:paraId="4AC00C0C" w14:textId="289E834E" w:rsidR="00BF4BD2" w:rsidRDefault="002A1EE6" w:rsidP="002A1EE6">
      <w:pPr>
        <w:jc w:val="both"/>
        <w:rPr>
          <w:rFonts w:ascii="Times New Roman" w:hAnsi="Times New Roman" w:cs="Times New Roman"/>
          <w:sz w:val="24"/>
          <w:szCs w:val="24"/>
        </w:rPr>
      </w:pPr>
      <w:r w:rsidRPr="002A1EE6">
        <w:rPr>
          <w:rFonts w:ascii="Times New Roman" w:hAnsi="Times New Roman" w:cs="Times New Roman"/>
          <w:sz w:val="24"/>
          <w:szCs w:val="24"/>
        </w:rPr>
        <w:t xml:space="preserve">The gold is purchased in </w:t>
      </w:r>
      <w:r w:rsidRPr="0063758F">
        <w:rPr>
          <w:rFonts w:ascii="Times New Roman" w:hAnsi="Times New Roman" w:cs="Times New Roman"/>
          <w:sz w:val="24"/>
          <w:szCs w:val="24"/>
        </w:rPr>
        <w:t>Ghana Cedis at prevailing exchange rates</w:t>
      </w:r>
      <w:r w:rsidRPr="002A1EE6">
        <w:rPr>
          <w:rFonts w:ascii="Times New Roman" w:hAnsi="Times New Roman" w:cs="Times New Roman"/>
          <w:sz w:val="24"/>
          <w:szCs w:val="24"/>
        </w:rPr>
        <w:t xml:space="preserve">, and </w:t>
      </w:r>
      <w:proofErr w:type="spellStart"/>
      <w:r w:rsidRPr="0063758F">
        <w:rPr>
          <w:rFonts w:ascii="Times New Roman" w:hAnsi="Times New Roman" w:cs="Times New Roman"/>
          <w:sz w:val="24"/>
          <w:szCs w:val="24"/>
        </w:rPr>
        <w:t>BoG</w:t>
      </w:r>
      <w:proofErr w:type="spellEnd"/>
      <w:r w:rsidRPr="0063758F">
        <w:rPr>
          <w:rFonts w:ascii="Times New Roman" w:hAnsi="Times New Roman" w:cs="Times New Roman"/>
          <w:sz w:val="24"/>
          <w:szCs w:val="24"/>
        </w:rPr>
        <w:t xml:space="preserve"> </w:t>
      </w:r>
      <w:r w:rsidRPr="002A1EE6">
        <w:rPr>
          <w:rFonts w:ascii="Times New Roman" w:hAnsi="Times New Roman" w:cs="Times New Roman"/>
          <w:sz w:val="24"/>
          <w:szCs w:val="24"/>
        </w:rPr>
        <w:t xml:space="preserve">sells the gold on the international market </w:t>
      </w:r>
      <w:r w:rsidRPr="0063758F">
        <w:rPr>
          <w:rFonts w:ascii="Times New Roman" w:hAnsi="Times New Roman" w:cs="Times New Roman"/>
          <w:sz w:val="24"/>
          <w:szCs w:val="24"/>
        </w:rPr>
        <w:t xml:space="preserve">in US Dollars </w:t>
      </w:r>
      <w:r w:rsidRPr="002A1EE6">
        <w:rPr>
          <w:rFonts w:ascii="Times New Roman" w:hAnsi="Times New Roman" w:cs="Times New Roman"/>
          <w:sz w:val="24"/>
          <w:szCs w:val="24"/>
        </w:rPr>
        <w:t xml:space="preserve">and uses the proceeds to </w:t>
      </w:r>
      <w:r w:rsidRPr="0063758F">
        <w:rPr>
          <w:rFonts w:ascii="Times New Roman" w:hAnsi="Times New Roman" w:cs="Times New Roman"/>
          <w:sz w:val="24"/>
          <w:szCs w:val="24"/>
        </w:rPr>
        <w:t xml:space="preserve">fund the procurement of petroleum products </w:t>
      </w:r>
      <w:r w:rsidRPr="002A1EE6">
        <w:rPr>
          <w:rFonts w:ascii="Times New Roman" w:hAnsi="Times New Roman" w:cs="Times New Roman"/>
          <w:sz w:val="24"/>
          <w:szCs w:val="24"/>
        </w:rPr>
        <w:t>by BOST</w:t>
      </w:r>
      <w:r w:rsidRPr="0063758F">
        <w:rPr>
          <w:rFonts w:ascii="Times New Roman" w:hAnsi="Times New Roman" w:cs="Times New Roman"/>
          <w:sz w:val="24"/>
          <w:szCs w:val="24"/>
        </w:rPr>
        <w:t xml:space="preserve">. </w:t>
      </w:r>
      <w:r w:rsidR="004243DA">
        <w:rPr>
          <w:rFonts w:ascii="Times New Roman" w:hAnsi="Times New Roman" w:cs="Times New Roman"/>
          <w:sz w:val="24"/>
          <w:szCs w:val="24"/>
        </w:rPr>
        <w:t xml:space="preserve">After taking delivery of the </w:t>
      </w:r>
      <w:r w:rsidR="00B9576F">
        <w:rPr>
          <w:rFonts w:ascii="Times New Roman" w:hAnsi="Times New Roman" w:cs="Times New Roman"/>
          <w:sz w:val="24"/>
          <w:szCs w:val="24"/>
        </w:rPr>
        <w:t xml:space="preserve">petroleum products, </w:t>
      </w:r>
      <w:r w:rsidRPr="0063758F">
        <w:rPr>
          <w:rFonts w:ascii="Times New Roman" w:hAnsi="Times New Roman" w:cs="Times New Roman"/>
          <w:sz w:val="24"/>
          <w:szCs w:val="24"/>
        </w:rPr>
        <w:t>BOST sells the fuel to the Bulk Import, Distribution and Export Companies (BIDECs) in Ghana Cedis for onward sale to the Oil Marketing Companies (OMCs)</w:t>
      </w:r>
      <w:r w:rsidRPr="002A1EE6">
        <w:rPr>
          <w:rFonts w:ascii="Times New Roman" w:hAnsi="Times New Roman" w:cs="Times New Roman"/>
          <w:sz w:val="24"/>
          <w:szCs w:val="24"/>
        </w:rPr>
        <w:t xml:space="preserve">. </w:t>
      </w:r>
    </w:p>
    <w:p w14:paraId="0BAA1971" w14:textId="77777777" w:rsidR="00BF4BD2" w:rsidRPr="002A1EE6" w:rsidRDefault="00BF4BD2" w:rsidP="002A1EE6">
      <w:pPr>
        <w:jc w:val="both"/>
        <w:rPr>
          <w:rFonts w:ascii="Times New Roman" w:hAnsi="Times New Roman" w:cs="Times New Roman"/>
          <w:sz w:val="24"/>
          <w:szCs w:val="24"/>
        </w:rPr>
      </w:pPr>
    </w:p>
    <w:p w14:paraId="3D4816B7" w14:textId="58F86203" w:rsidR="00D40823" w:rsidRPr="00B47C95" w:rsidRDefault="00D40823" w:rsidP="00D40823">
      <w:pPr>
        <w:pStyle w:val="Heading1"/>
        <w:rPr>
          <w:rFonts w:ascii="Times New Roman" w:hAnsi="Times New Roman" w:cs="Times New Roman"/>
          <w:sz w:val="56"/>
          <w:szCs w:val="56"/>
        </w:rPr>
      </w:pPr>
      <w:bookmarkStart w:id="63" w:name="_Toc141440565"/>
      <w:r w:rsidRPr="00B47C95">
        <w:rPr>
          <w:rFonts w:ascii="Times New Roman" w:hAnsi="Times New Roman" w:cs="Times New Roman"/>
          <w:sz w:val="56"/>
          <w:szCs w:val="56"/>
        </w:rPr>
        <w:t>7.0 Industry News</w:t>
      </w:r>
      <w:bookmarkEnd w:id="63"/>
    </w:p>
    <w:p w14:paraId="4D0018BA" w14:textId="466BFF03" w:rsidR="001A46C9" w:rsidRDefault="001A46C9" w:rsidP="001A46C9">
      <w:pPr>
        <w:jc w:val="both"/>
        <w:rPr>
          <w:rFonts w:ascii="Times New Roman" w:hAnsi="Times New Roman" w:cs="Times New Roman"/>
          <w:sz w:val="24"/>
          <w:szCs w:val="24"/>
        </w:rPr>
      </w:pPr>
      <w:r w:rsidRPr="001A46C9">
        <w:rPr>
          <w:rFonts w:ascii="Times New Roman" w:hAnsi="Times New Roman" w:cs="Times New Roman"/>
          <w:sz w:val="24"/>
          <w:szCs w:val="24"/>
        </w:rPr>
        <w:t xml:space="preserve">The NPA’s Corporate Affairs and Gas Directorates, in collaboration with Lyme Haus Solutions, conducted an LPG awareness and sensitization campaign in the Upper East, North East, Northern, Upper West, Savannah, Bono, Bono East and Ahafo regions during the period under review.  The campaign was aimed at creating awareness on the safe use of LPG to prevent gas explosions and related injuries, loss of lives and destruction to property. The exercise also encouraged consumers to switch from firewood and charcoal to LPG. The exercise targeted traders, market women, drivers. </w:t>
      </w:r>
      <w:r w:rsidRPr="001A46C9">
        <w:rPr>
          <w:rFonts w:ascii="Times New Roman" w:hAnsi="Times New Roman" w:cs="Times New Roman"/>
          <w:sz w:val="24"/>
          <w:szCs w:val="24"/>
        </w:rPr>
        <w:t xml:space="preserve">Durbars were also organised, and radio interviews conducted with participants and listeners sensitized on the safe use of LPG. The Ghana National Fire and Rescue Service took the audience through </w:t>
      </w:r>
      <w:r w:rsidR="000603AA">
        <w:rPr>
          <w:rFonts w:ascii="Times New Roman" w:hAnsi="Times New Roman" w:cs="Times New Roman"/>
          <w:sz w:val="24"/>
          <w:szCs w:val="24"/>
        </w:rPr>
        <w:t xml:space="preserve">some demonstrations on the safe use of LPG as well as emergency fire drills to </w:t>
      </w:r>
      <w:r w:rsidR="00386CDB">
        <w:rPr>
          <w:rFonts w:ascii="Times New Roman" w:hAnsi="Times New Roman" w:cs="Times New Roman"/>
          <w:sz w:val="24"/>
          <w:szCs w:val="24"/>
        </w:rPr>
        <w:t>resolve</w:t>
      </w:r>
      <w:r w:rsidR="000603AA">
        <w:rPr>
          <w:rFonts w:ascii="Times New Roman" w:hAnsi="Times New Roman" w:cs="Times New Roman"/>
          <w:sz w:val="24"/>
          <w:szCs w:val="24"/>
        </w:rPr>
        <w:t xml:space="preserve"> any leakages and fires. </w:t>
      </w:r>
      <w:r w:rsidR="00B77E97">
        <w:rPr>
          <w:rFonts w:ascii="Times New Roman" w:hAnsi="Times New Roman" w:cs="Times New Roman"/>
          <w:sz w:val="24"/>
          <w:szCs w:val="24"/>
        </w:rPr>
        <w:t>See picture</w:t>
      </w:r>
      <w:r w:rsidR="00473353">
        <w:rPr>
          <w:rFonts w:ascii="Times New Roman" w:hAnsi="Times New Roman" w:cs="Times New Roman"/>
          <w:sz w:val="24"/>
          <w:szCs w:val="24"/>
        </w:rPr>
        <w:t>s</w:t>
      </w:r>
      <w:r w:rsidR="00B77E97">
        <w:rPr>
          <w:rFonts w:ascii="Times New Roman" w:hAnsi="Times New Roman" w:cs="Times New Roman"/>
          <w:sz w:val="24"/>
          <w:szCs w:val="24"/>
        </w:rPr>
        <w:t xml:space="preserve"> below.</w:t>
      </w:r>
    </w:p>
    <w:tbl>
      <w:tblPr>
        <w:tblStyle w:val="TableGrid"/>
        <w:tblW w:w="0" w:type="auto"/>
        <w:tblLook w:val="04A0" w:firstRow="1" w:lastRow="0" w:firstColumn="1" w:lastColumn="0" w:noHBand="0" w:noVBand="1"/>
      </w:tblPr>
      <w:tblGrid>
        <w:gridCol w:w="7339"/>
      </w:tblGrid>
      <w:tr w:rsidR="00B77E97" w14:paraId="56F0A51D" w14:textId="77777777" w:rsidTr="00B47C95">
        <w:trPr>
          <w:trHeight w:val="1414"/>
        </w:trPr>
        <w:tc>
          <w:tcPr>
            <w:tcW w:w="7339" w:type="dxa"/>
          </w:tcPr>
          <w:p w14:paraId="4D65D6DC" w14:textId="46DEAC32" w:rsidR="00B77E97" w:rsidRDefault="00B77E97" w:rsidP="001A46C9">
            <w:pPr>
              <w:spacing w:line="276" w:lineRule="auto"/>
              <w:jc w:val="both"/>
              <w:rPr>
                <w:rFonts w:ascii="Times New Roman" w:hAnsi="Times New Roman" w:cs="Times New Roman"/>
                <w:sz w:val="24"/>
                <w:szCs w:val="24"/>
              </w:rPr>
            </w:pPr>
            <w:r>
              <w:rPr>
                <w:rFonts w:asciiTheme="majorHAnsi" w:hAnsiTheme="majorHAnsi" w:cstheme="majorHAnsi"/>
                <w:noProof/>
                <w:sz w:val="24"/>
                <w:szCs w:val="24"/>
                <w:lang w:val="en-US"/>
              </w:rPr>
              <w:drawing>
                <wp:inline distT="0" distB="0" distL="0" distR="0" wp14:anchorId="6780E60F" wp14:editId="1C65AAF6">
                  <wp:extent cx="4295775" cy="3558303"/>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3575" cy="3614463"/>
                          </a:xfrm>
                          <a:prstGeom prst="rect">
                            <a:avLst/>
                          </a:prstGeom>
                          <a:noFill/>
                          <a:ln>
                            <a:noFill/>
                          </a:ln>
                        </pic:spPr>
                      </pic:pic>
                    </a:graphicData>
                  </a:graphic>
                </wp:inline>
              </w:drawing>
            </w:r>
          </w:p>
        </w:tc>
      </w:tr>
    </w:tbl>
    <w:p w14:paraId="42D286CA" w14:textId="7BDB5E6C" w:rsidR="00B77E97" w:rsidRPr="00B47C95" w:rsidRDefault="008F1046" w:rsidP="00B47C95">
      <w:pPr>
        <w:spacing w:after="0" w:line="480" w:lineRule="auto"/>
        <w:jc w:val="both"/>
        <w:rPr>
          <w:rFonts w:ascii="Times New Roman" w:hAnsi="Times New Roman" w:cs="Times New Roman"/>
          <w:i/>
          <w:color w:val="17406D" w:themeColor="text2"/>
          <w:sz w:val="24"/>
          <w:szCs w:val="24"/>
        </w:rPr>
      </w:pPr>
      <w:r w:rsidRPr="00B47C95">
        <w:rPr>
          <w:rFonts w:ascii="Times New Roman" w:hAnsi="Times New Roman" w:cs="Times New Roman"/>
          <w:i/>
          <w:color w:val="17406D" w:themeColor="text2"/>
          <w:sz w:val="24"/>
          <w:szCs w:val="24"/>
        </w:rPr>
        <w:t>A participant being taken through on the safe use of LPG in Tamale</w:t>
      </w:r>
    </w:p>
    <w:tbl>
      <w:tblPr>
        <w:tblStyle w:val="TableGrid"/>
        <w:tblW w:w="0" w:type="auto"/>
        <w:tblInd w:w="137" w:type="dxa"/>
        <w:tblLook w:val="04A0" w:firstRow="1" w:lastRow="0" w:firstColumn="1" w:lastColumn="0" w:noHBand="0" w:noVBand="1"/>
      </w:tblPr>
      <w:tblGrid>
        <w:gridCol w:w="6651"/>
      </w:tblGrid>
      <w:tr w:rsidR="00596A83" w14:paraId="1F015D6C" w14:textId="77777777" w:rsidTr="00B47C95">
        <w:trPr>
          <w:trHeight w:val="4072"/>
        </w:trPr>
        <w:tc>
          <w:tcPr>
            <w:tcW w:w="6523" w:type="dxa"/>
          </w:tcPr>
          <w:p w14:paraId="758C3605" w14:textId="713B1313" w:rsidR="00596A83" w:rsidRDefault="00596A83" w:rsidP="001A46C9">
            <w:pPr>
              <w:spacing w:line="276" w:lineRule="auto"/>
              <w:jc w:val="both"/>
              <w:rPr>
                <w:rFonts w:ascii="Times New Roman" w:hAnsi="Times New Roman" w:cs="Times New Roman"/>
                <w:sz w:val="24"/>
                <w:szCs w:val="24"/>
              </w:rPr>
            </w:pPr>
            <w:r>
              <w:rPr>
                <w:rFonts w:asciiTheme="majorHAnsi" w:hAnsiTheme="majorHAnsi" w:cstheme="majorHAnsi"/>
                <w:noProof/>
                <w:sz w:val="24"/>
                <w:szCs w:val="24"/>
                <w:lang w:val="en-US"/>
              </w:rPr>
              <w:lastRenderedPageBreak/>
              <w:drawing>
                <wp:inline distT="0" distB="0" distL="0" distR="0" wp14:anchorId="0257AD74" wp14:editId="434F8639">
                  <wp:extent cx="4086225" cy="250993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2159" cy="2525865"/>
                          </a:xfrm>
                          <a:prstGeom prst="rect">
                            <a:avLst/>
                          </a:prstGeom>
                          <a:noFill/>
                          <a:ln>
                            <a:noFill/>
                          </a:ln>
                        </pic:spPr>
                      </pic:pic>
                    </a:graphicData>
                  </a:graphic>
                </wp:inline>
              </w:drawing>
            </w:r>
          </w:p>
        </w:tc>
      </w:tr>
    </w:tbl>
    <w:p w14:paraId="03BB93AD" w14:textId="64200C1E" w:rsidR="00BF4BD2" w:rsidRDefault="00686011" w:rsidP="00B47C95">
      <w:pPr>
        <w:spacing w:after="0" w:line="480" w:lineRule="auto"/>
        <w:jc w:val="both"/>
        <w:rPr>
          <w:rFonts w:ascii="Times New Roman" w:eastAsia="Times New Roman" w:hAnsi="Times New Roman" w:cs="Times New Roman"/>
          <w:i/>
          <w:iCs/>
          <w:sz w:val="24"/>
          <w:szCs w:val="24"/>
        </w:rPr>
      </w:pPr>
      <w:r w:rsidRPr="008F1046">
        <w:rPr>
          <w:rFonts w:asciiTheme="majorHAnsi" w:eastAsia="Times New Roman" w:hAnsiTheme="majorHAnsi" w:cstheme="majorHAnsi"/>
          <w:i/>
          <w:iCs/>
          <w:sz w:val="24"/>
          <w:szCs w:val="24"/>
        </w:rPr>
        <w:t xml:space="preserve">  </w:t>
      </w:r>
      <w:r w:rsidR="008F1046" w:rsidRPr="00B47C95">
        <w:rPr>
          <w:rFonts w:ascii="Times New Roman" w:hAnsi="Times New Roman" w:cs="Times New Roman"/>
          <w:i/>
          <w:color w:val="17406D" w:themeColor="text2"/>
          <w:sz w:val="24"/>
          <w:szCs w:val="24"/>
        </w:rPr>
        <w:t>P</w:t>
      </w:r>
      <w:r w:rsidRPr="00B47C95">
        <w:rPr>
          <w:rFonts w:ascii="Times New Roman" w:hAnsi="Times New Roman" w:cs="Times New Roman"/>
          <w:i/>
          <w:color w:val="17406D" w:themeColor="text2"/>
          <w:sz w:val="24"/>
          <w:szCs w:val="24"/>
        </w:rPr>
        <w:t>articipants at LPG awareness and sensitization durbar in Tamal</w:t>
      </w:r>
      <w:r w:rsidR="00BF4BD2" w:rsidRPr="00B47C95">
        <w:rPr>
          <w:rFonts w:ascii="Times New Roman" w:hAnsi="Times New Roman" w:cs="Times New Roman"/>
          <w:i/>
          <w:color w:val="17406D" w:themeColor="text2"/>
          <w:sz w:val="24"/>
          <w:szCs w:val="24"/>
        </w:rPr>
        <w:t>e</w:t>
      </w:r>
    </w:p>
    <w:p w14:paraId="13F3E09C" w14:textId="69DD7887" w:rsidR="00BF4BD2" w:rsidRDefault="00BF4BD2" w:rsidP="001A46C9">
      <w:pPr>
        <w:jc w:val="both"/>
        <w:rPr>
          <w:rFonts w:ascii="Times New Roman" w:eastAsia="Times New Roman" w:hAnsi="Times New Roman" w:cs="Times New Roman"/>
          <w:i/>
          <w:iCs/>
          <w:sz w:val="24"/>
          <w:szCs w:val="24"/>
        </w:rPr>
      </w:pPr>
    </w:p>
    <w:p w14:paraId="0DF133F7" w14:textId="0293257E" w:rsidR="00912928" w:rsidRPr="00B47C95" w:rsidRDefault="00D40823" w:rsidP="004E4E47">
      <w:pPr>
        <w:pStyle w:val="Heading1"/>
        <w:rPr>
          <w:rFonts w:ascii="Times New Roman" w:hAnsi="Times New Roman" w:cs="Times New Roman"/>
          <w:sz w:val="56"/>
          <w:szCs w:val="56"/>
        </w:rPr>
      </w:pPr>
      <w:bookmarkStart w:id="64" w:name="_Toc141440566"/>
      <w:r w:rsidRPr="00B47C95">
        <w:rPr>
          <w:rFonts w:ascii="Times New Roman" w:hAnsi="Times New Roman" w:cs="Times New Roman"/>
          <w:sz w:val="56"/>
          <w:szCs w:val="56"/>
        </w:rPr>
        <w:t>8</w:t>
      </w:r>
      <w:r w:rsidR="00912928" w:rsidRPr="00B47C95">
        <w:rPr>
          <w:rFonts w:ascii="Times New Roman" w:hAnsi="Times New Roman" w:cs="Times New Roman"/>
          <w:sz w:val="56"/>
          <w:szCs w:val="56"/>
        </w:rPr>
        <w:t>.0 Conclusion</w:t>
      </w:r>
      <w:bookmarkEnd w:id="64"/>
    </w:p>
    <w:p w14:paraId="011FABE3" w14:textId="08A7B29D" w:rsidR="00E6347B" w:rsidRDefault="00E75855" w:rsidP="00E75855">
      <w:pPr>
        <w:jc w:val="both"/>
        <w:rPr>
          <w:rFonts w:ascii="Times New Roman" w:hAnsi="Times New Roman" w:cs="Times New Roman"/>
          <w:sz w:val="24"/>
          <w:szCs w:val="24"/>
        </w:rPr>
      </w:pPr>
      <w:r w:rsidRPr="00945838">
        <w:rPr>
          <w:rFonts w:ascii="Times New Roman" w:hAnsi="Times New Roman" w:cs="Times New Roman"/>
          <w:sz w:val="24"/>
          <w:szCs w:val="24"/>
        </w:rPr>
        <w:t>Th</w:t>
      </w:r>
      <w:r w:rsidR="00D35806">
        <w:rPr>
          <w:rFonts w:ascii="Times New Roman" w:hAnsi="Times New Roman" w:cs="Times New Roman"/>
          <w:sz w:val="24"/>
          <w:szCs w:val="24"/>
        </w:rPr>
        <w:t>is</w:t>
      </w:r>
      <w:r>
        <w:rPr>
          <w:rFonts w:ascii="Times New Roman" w:hAnsi="Times New Roman" w:cs="Times New Roman"/>
          <w:sz w:val="24"/>
          <w:szCs w:val="24"/>
        </w:rPr>
        <w:t xml:space="preserve"> </w:t>
      </w:r>
      <w:r w:rsidRPr="00945838">
        <w:rPr>
          <w:rFonts w:ascii="Times New Roman" w:hAnsi="Times New Roman" w:cs="Times New Roman"/>
          <w:sz w:val="24"/>
          <w:szCs w:val="24"/>
        </w:rPr>
        <w:t xml:space="preserve">report </w:t>
      </w:r>
      <w:r w:rsidR="0047480C">
        <w:rPr>
          <w:rFonts w:ascii="Times New Roman" w:hAnsi="Times New Roman" w:cs="Times New Roman"/>
          <w:sz w:val="24"/>
          <w:szCs w:val="24"/>
        </w:rPr>
        <w:t>discusses</w:t>
      </w:r>
      <w:r>
        <w:rPr>
          <w:rFonts w:ascii="Times New Roman" w:hAnsi="Times New Roman" w:cs="Times New Roman"/>
          <w:sz w:val="24"/>
          <w:szCs w:val="24"/>
        </w:rPr>
        <w:t xml:space="preserve"> supply, demand, and pricing of refined petroleum products, as well as the performance of petroleum service providers for the first quarter of 2023. The analysis revealed that</w:t>
      </w:r>
      <w:r w:rsidR="000E6922">
        <w:rPr>
          <w:rFonts w:ascii="Times New Roman" w:hAnsi="Times New Roman" w:cs="Times New Roman"/>
          <w:sz w:val="24"/>
          <w:szCs w:val="24"/>
        </w:rPr>
        <w:t xml:space="preserve"> supply of refined petroleum products increased by 1</w:t>
      </w:r>
      <w:r w:rsidR="00855C7B">
        <w:rPr>
          <w:rFonts w:ascii="Times New Roman" w:hAnsi="Times New Roman" w:cs="Times New Roman"/>
          <w:sz w:val="24"/>
          <w:szCs w:val="24"/>
        </w:rPr>
        <w:t>7</w:t>
      </w:r>
      <w:r w:rsidR="000E6922">
        <w:rPr>
          <w:rFonts w:ascii="Times New Roman" w:hAnsi="Times New Roman" w:cs="Times New Roman"/>
          <w:sz w:val="24"/>
          <w:szCs w:val="24"/>
        </w:rPr>
        <w:t xml:space="preserve">% from the </w:t>
      </w:r>
      <w:r w:rsidR="000E6922" w:rsidRPr="00160C00">
        <w:rPr>
          <w:rFonts w:ascii="Times New Roman" w:hAnsi="Times New Roman" w:cs="Times New Roman"/>
          <w:sz w:val="24"/>
          <w:szCs w:val="24"/>
        </w:rPr>
        <w:t xml:space="preserve">previous </w:t>
      </w:r>
      <w:r w:rsidR="000E6922">
        <w:rPr>
          <w:rFonts w:ascii="Times New Roman" w:hAnsi="Times New Roman" w:cs="Times New Roman"/>
          <w:sz w:val="24"/>
          <w:szCs w:val="24"/>
        </w:rPr>
        <w:t>quarter</w:t>
      </w:r>
      <w:r w:rsidR="000E6922" w:rsidRPr="00160C00">
        <w:rPr>
          <w:rFonts w:ascii="Times New Roman" w:hAnsi="Times New Roman" w:cs="Times New Roman"/>
          <w:sz w:val="24"/>
          <w:szCs w:val="24"/>
        </w:rPr>
        <w:t>.</w:t>
      </w:r>
      <w:r w:rsidR="00B77E97">
        <w:rPr>
          <w:rFonts w:ascii="Times New Roman" w:hAnsi="Times New Roman" w:cs="Times New Roman"/>
          <w:sz w:val="24"/>
          <w:szCs w:val="24"/>
        </w:rPr>
        <w:t xml:space="preserve"> </w:t>
      </w:r>
      <w:r w:rsidR="000E6922">
        <w:rPr>
          <w:rFonts w:ascii="Times New Roman" w:hAnsi="Times New Roman" w:cs="Times New Roman"/>
          <w:sz w:val="24"/>
          <w:szCs w:val="24"/>
        </w:rPr>
        <w:t>Demand</w:t>
      </w:r>
      <w:r w:rsidR="003D6121">
        <w:rPr>
          <w:rFonts w:ascii="Times New Roman" w:hAnsi="Times New Roman" w:cs="Times New Roman"/>
          <w:sz w:val="24"/>
          <w:szCs w:val="24"/>
        </w:rPr>
        <w:t xml:space="preserve"> (sales)</w:t>
      </w:r>
      <w:r w:rsidR="000E6922">
        <w:rPr>
          <w:rFonts w:ascii="Times New Roman" w:hAnsi="Times New Roman" w:cs="Times New Roman"/>
          <w:sz w:val="24"/>
          <w:szCs w:val="24"/>
        </w:rPr>
        <w:t xml:space="preserve"> </w:t>
      </w:r>
      <w:r w:rsidR="003D6121">
        <w:rPr>
          <w:rFonts w:ascii="Times New Roman" w:hAnsi="Times New Roman" w:cs="Times New Roman"/>
          <w:sz w:val="24"/>
          <w:szCs w:val="24"/>
        </w:rPr>
        <w:t>of r</w:t>
      </w:r>
      <w:r w:rsidR="000E6922">
        <w:rPr>
          <w:rFonts w:ascii="Times New Roman" w:hAnsi="Times New Roman" w:cs="Times New Roman"/>
          <w:sz w:val="24"/>
          <w:szCs w:val="24"/>
        </w:rPr>
        <w:t xml:space="preserve">efined petroleum products increased by 7% for the period. </w:t>
      </w:r>
    </w:p>
    <w:p w14:paraId="1348AF41" w14:textId="155B7EF0" w:rsidR="00872AAB" w:rsidRDefault="00E6347B" w:rsidP="00E75855">
      <w:pPr>
        <w:jc w:val="both"/>
        <w:rPr>
          <w:rFonts w:ascii="Times New Roman" w:hAnsi="Times New Roman" w:cs="Times New Roman"/>
          <w:sz w:val="24"/>
          <w:szCs w:val="24"/>
        </w:rPr>
      </w:pPr>
      <w:r>
        <w:rPr>
          <w:rFonts w:ascii="Times New Roman" w:hAnsi="Times New Roman" w:cs="Times New Roman"/>
          <w:sz w:val="24"/>
          <w:szCs w:val="24"/>
        </w:rPr>
        <w:t>Competition in the petroleum downstream industry</w:t>
      </w:r>
      <w:r w:rsidR="00872AAB">
        <w:rPr>
          <w:rFonts w:ascii="Times New Roman" w:hAnsi="Times New Roman" w:cs="Times New Roman"/>
          <w:sz w:val="24"/>
          <w:szCs w:val="24"/>
        </w:rPr>
        <w:t xml:space="preserve"> was mixed with the BIDEC and OMC/LPGMC markets </w:t>
      </w:r>
      <w:r w:rsidR="00872AAB" w:rsidRPr="00D926B4">
        <w:rPr>
          <w:rFonts w:ascii="Times New Roman" w:hAnsi="Times New Roman" w:cs="Times New Roman"/>
          <w:sz w:val="24"/>
          <w:szCs w:val="24"/>
        </w:rPr>
        <w:t xml:space="preserve">experiencing a </w:t>
      </w:r>
      <w:r w:rsidR="00D35806">
        <w:rPr>
          <w:rFonts w:ascii="Times New Roman" w:hAnsi="Times New Roman" w:cs="Times New Roman"/>
          <w:sz w:val="24"/>
          <w:szCs w:val="24"/>
        </w:rPr>
        <w:t>less</w:t>
      </w:r>
      <w:r w:rsidR="00872AAB" w:rsidRPr="0096616C">
        <w:rPr>
          <w:rFonts w:ascii="Times New Roman" w:hAnsi="Times New Roman" w:cs="Times New Roman"/>
          <w:sz w:val="24"/>
          <w:szCs w:val="24"/>
        </w:rPr>
        <w:t xml:space="preserve"> co</w:t>
      </w:r>
      <w:r w:rsidR="00CB1AB0" w:rsidRPr="0096616C">
        <w:rPr>
          <w:rFonts w:ascii="Times New Roman" w:hAnsi="Times New Roman" w:cs="Times New Roman"/>
          <w:sz w:val="24"/>
          <w:szCs w:val="24"/>
        </w:rPr>
        <w:t>ncentra</w:t>
      </w:r>
      <w:r w:rsidR="00CB1AB0" w:rsidRPr="00D926B4">
        <w:rPr>
          <w:rFonts w:ascii="Times New Roman" w:hAnsi="Times New Roman" w:cs="Times New Roman"/>
          <w:sz w:val="24"/>
          <w:szCs w:val="24"/>
        </w:rPr>
        <w:t>ted</w:t>
      </w:r>
      <w:r w:rsidR="00CB1AB0">
        <w:rPr>
          <w:rFonts w:ascii="Times New Roman" w:hAnsi="Times New Roman" w:cs="Times New Roman"/>
          <w:sz w:val="24"/>
          <w:szCs w:val="24"/>
        </w:rPr>
        <w:t xml:space="preserve"> </w:t>
      </w:r>
      <w:r w:rsidR="00872AAB">
        <w:rPr>
          <w:rFonts w:ascii="Times New Roman" w:hAnsi="Times New Roman" w:cs="Times New Roman"/>
          <w:sz w:val="24"/>
          <w:szCs w:val="24"/>
        </w:rPr>
        <w:t xml:space="preserve">market than the previous quarter. </w:t>
      </w:r>
    </w:p>
    <w:p w14:paraId="484CAA64" w14:textId="05578606" w:rsidR="00E75855" w:rsidRPr="00E75855" w:rsidRDefault="00AB5C4F" w:rsidP="00573225">
      <w:pPr>
        <w:jc w:val="both"/>
        <w:rPr>
          <w:highlight w:val="yellow"/>
        </w:rPr>
      </w:pPr>
      <w:r>
        <w:rPr>
          <w:rFonts w:ascii="Times New Roman" w:hAnsi="Times New Roman" w:cs="Times New Roman"/>
          <w:sz w:val="24"/>
          <w:szCs w:val="24"/>
        </w:rPr>
        <w:t>International p</w:t>
      </w:r>
      <w:r w:rsidR="00872AAB">
        <w:rPr>
          <w:rFonts w:ascii="Times New Roman" w:hAnsi="Times New Roman" w:cs="Times New Roman"/>
          <w:sz w:val="24"/>
          <w:szCs w:val="24"/>
        </w:rPr>
        <w:t xml:space="preserve">rices of refined petroleum products generally decreased for the period. Except for LPG which increased by </w:t>
      </w:r>
      <w:r>
        <w:rPr>
          <w:rFonts w:ascii="Times New Roman" w:hAnsi="Times New Roman" w:cs="Times New Roman"/>
          <w:sz w:val="24"/>
          <w:szCs w:val="24"/>
        </w:rPr>
        <w:t xml:space="preserve">3.58%, </w:t>
      </w:r>
      <w:r w:rsidR="00872AAB">
        <w:rPr>
          <w:rFonts w:ascii="Times New Roman" w:hAnsi="Times New Roman" w:cs="Times New Roman"/>
          <w:sz w:val="24"/>
          <w:szCs w:val="24"/>
        </w:rPr>
        <w:t xml:space="preserve">all products decreased between </w:t>
      </w:r>
      <w:r>
        <w:rPr>
          <w:rFonts w:ascii="Times New Roman" w:hAnsi="Times New Roman" w:cs="Times New Roman"/>
          <w:sz w:val="24"/>
          <w:szCs w:val="24"/>
        </w:rPr>
        <w:t xml:space="preserve">7.29%-16.40% from the previous period. </w:t>
      </w:r>
      <w:r w:rsidR="002837C8">
        <w:rPr>
          <w:rFonts w:ascii="Times New Roman" w:hAnsi="Times New Roman" w:cs="Times New Roman"/>
          <w:sz w:val="24"/>
          <w:szCs w:val="24"/>
        </w:rPr>
        <w:t>Ex refinery prices declined between 7.29%-23.3%, while ex pump prices declined between 2.88%-19.56% for diesel, petrol, and LPG for the period under review.</w:t>
      </w:r>
    </w:p>
    <w:p w14:paraId="70EE768F" w14:textId="33A8F398" w:rsidR="001E6FC2" w:rsidRPr="003764E9" w:rsidRDefault="001E6FC2" w:rsidP="00773BB8">
      <w:pPr>
        <w:pStyle w:val="ListParagraph"/>
        <w:spacing w:after="0" w:line="360" w:lineRule="auto"/>
        <w:ind w:left="0"/>
        <w:contextualSpacing w:val="0"/>
        <w:jc w:val="both"/>
        <w:rPr>
          <w:rFonts w:ascii="Times New Roman" w:hAnsi="Times New Roman" w:cs="Times New Roman"/>
          <w:sz w:val="24"/>
          <w:szCs w:val="24"/>
        </w:rPr>
      </w:pPr>
      <w:r w:rsidRPr="003764E9">
        <w:rPr>
          <w:rFonts w:ascii="Times New Roman" w:hAnsi="Times New Roman" w:cs="Times New Roman"/>
          <w:sz w:val="24"/>
          <w:szCs w:val="24"/>
        </w:rPr>
        <w:tab/>
      </w:r>
      <w:bookmarkEnd w:id="46"/>
      <w:bookmarkEnd w:id="47"/>
      <w:bookmarkEnd w:id="48"/>
    </w:p>
    <w:sectPr w:rsidR="001E6FC2" w:rsidRPr="003764E9" w:rsidSect="00B47C95">
      <w:headerReference w:type="default" r:id="rId33"/>
      <w:footerReference w:type="default" r:id="rId34"/>
      <w:pgSz w:w="16838" w:h="11906" w:orient="landscape"/>
      <w:pgMar w:top="720" w:right="567" w:bottom="990" w:left="567" w:header="1008" w:footer="706" w:gutter="0"/>
      <w:pgNumType w:start="1" w:chapStyle="1" w:chapSep="colon"/>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676E3" w14:textId="77777777" w:rsidR="00044B21" w:rsidRDefault="00044B21" w:rsidP="00F67CDD">
      <w:pPr>
        <w:spacing w:after="0" w:line="240" w:lineRule="auto"/>
      </w:pPr>
      <w:r>
        <w:separator/>
      </w:r>
    </w:p>
  </w:endnote>
  <w:endnote w:type="continuationSeparator" w:id="0">
    <w:p w14:paraId="6D9EF237" w14:textId="77777777" w:rsidR="00044B21" w:rsidRDefault="00044B21" w:rsidP="00F67CDD">
      <w:pPr>
        <w:spacing w:after="0" w:line="240" w:lineRule="auto"/>
      </w:pPr>
      <w:r>
        <w:continuationSeparator/>
      </w:r>
    </w:p>
  </w:endnote>
  <w:endnote w:type="continuationNotice" w:id="1">
    <w:p w14:paraId="11D7206D" w14:textId="77777777" w:rsidR="00044B21" w:rsidRDefault="00044B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E5A0" w14:textId="083CC4AE" w:rsidR="00763C1E" w:rsidRDefault="00763C1E">
    <w:pPr>
      <w:pStyle w:val="Footer"/>
      <w:pBdr>
        <w:top w:val="single" w:sz="4" w:space="1" w:color="D9D9D9" w:themeColor="background1" w:themeShade="D9"/>
      </w:pBdr>
      <w:jc w:val="right"/>
    </w:pPr>
  </w:p>
  <w:p w14:paraId="357BDA7C" w14:textId="77777777" w:rsidR="00763C1E" w:rsidRDefault="00763C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157990"/>
      <w:docPartObj>
        <w:docPartGallery w:val="Page Numbers (Bottom of Page)"/>
        <w:docPartUnique/>
      </w:docPartObj>
    </w:sdtPr>
    <w:sdtEndPr>
      <w:rPr>
        <w:color w:val="7F7F7F" w:themeColor="background1" w:themeShade="7F"/>
        <w:spacing w:val="60"/>
      </w:rPr>
    </w:sdtEndPr>
    <w:sdtContent>
      <w:p w14:paraId="1AF09F95" w14:textId="77777777" w:rsidR="00763C1E" w:rsidRDefault="00763C1E">
        <w:pPr>
          <w:pStyle w:val="Footer"/>
          <w:pBdr>
            <w:top w:val="single" w:sz="4" w:space="1" w:color="D9D9D9" w:themeColor="background1" w:themeShade="D9"/>
          </w:pBdr>
          <w:jc w:val="right"/>
        </w:pPr>
        <w:r>
          <w:fldChar w:fldCharType="begin"/>
        </w:r>
        <w:r>
          <w:instrText xml:space="preserve"> PAGE   \* MERGEFORMAT </w:instrText>
        </w:r>
        <w:r>
          <w:fldChar w:fldCharType="separate"/>
        </w:r>
        <w:r w:rsidR="00D9659C">
          <w:rPr>
            <w:noProof/>
          </w:rPr>
          <w:t>iii</w:t>
        </w:r>
        <w:r>
          <w:rPr>
            <w:noProof/>
          </w:rPr>
          <w:fldChar w:fldCharType="end"/>
        </w:r>
        <w:r>
          <w:t xml:space="preserve"> | </w:t>
        </w:r>
        <w:r>
          <w:rPr>
            <w:color w:val="7F7F7F" w:themeColor="background1" w:themeShade="7F"/>
            <w:spacing w:val="60"/>
          </w:rPr>
          <w:t>Page</w:t>
        </w:r>
      </w:p>
    </w:sdtContent>
  </w:sdt>
  <w:p w14:paraId="1C26E2A9" w14:textId="77777777" w:rsidR="00763C1E" w:rsidRDefault="00763C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DC6B8" w14:textId="6E377B05" w:rsidR="00763C1E" w:rsidRDefault="00763C1E">
    <w:pPr>
      <w:pStyle w:val="Footer"/>
    </w:pPr>
    <w:r>
      <w:rPr>
        <w:noProof/>
        <w:color w:val="0F6FC6" w:themeColor="accent1"/>
        <w:lang w:val="en-US"/>
      </w:rPr>
      <mc:AlternateContent>
        <mc:Choice Requires="wps">
          <w:drawing>
            <wp:anchor distT="0" distB="0" distL="114300" distR="114300" simplePos="0" relativeHeight="251658240" behindDoc="0" locked="0" layoutInCell="1" allowOverlap="1" wp14:anchorId="617755EB" wp14:editId="3A27EFD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xmlns:arto="http://schemas.microsoft.com/office/word/2006/arto" xmlns:w16du="http://schemas.microsoft.com/office/word/2023/wordml/word16du">
          <w:pict>
            <v:rect id="Rectangle 452"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2190c7 [1614]" strokeweight="1.25pt" w14:anchorId="2FAD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w10:wrap anchorx="page" anchory="page"/>
            </v:rect>
          </w:pict>
        </mc:Fallback>
      </mc:AlternateContent>
    </w:r>
    <w:r>
      <w:rPr>
        <w:color w:val="0F6FC6" w:themeColor="accent1"/>
      </w:rPr>
      <w:t xml:space="preserve"> </w:t>
    </w:r>
    <w:r>
      <w:rPr>
        <w:rFonts w:asciiTheme="majorHAnsi" w:eastAsiaTheme="majorEastAsia" w:hAnsiTheme="majorHAnsi" w:cstheme="majorBidi"/>
        <w:color w:val="0F6FC6" w:themeColor="accent1"/>
      </w:rPr>
      <w:t xml:space="preserve">pg. </w:t>
    </w:r>
    <w:r>
      <w:rPr>
        <w:color w:val="0F6FC6" w:themeColor="accent1"/>
      </w:rPr>
      <w:fldChar w:fldCharType="begin"/>
    </w:r>
    <w:r>
      <w:rPr>
        <w:color w:val="0F6FC6" w:themeColor="accent1"/>
      </w:rPr>
      <w:instrText xml:space="preserve"> PAGE    \* MERGEFORMAT </w:instrText>
    </w:r>
    <w:r>
      <w:rPr>
        <w:color w:val="0F6FC6" w:themeColor="accent1"/>
      </w:rPr>
      <w:fldChar w:fldCharType="separate"/>
    </w:r>
    <w:r w:rsidR="00D9659C" w:rsidRPr="00D9659C">
      <w:rPr>
        <w:rFonts w:asciiTheme="majorHAnsi" w:eastAsiaTheme="majorEastAsia" w:hAnsiTheme="majorHAnsi" w:cstheme="majorBidi"/>
        <w:noProof/>
        <w:color w:val="0F6FC6" w:themeColor="accent1"/>
      </w:rPr>
      <w:t>14</w:t>
    </w:r>
    <w:r>
      <w:rPr>
        <w:rFonts w:asciiTheme="majorHAnsi" w:eastAsiaTheme="majorEastAsia" w:hAnsiTheme="majorHAnsi" w:cstheme="majorBidi"/>
        <w:noProof/>
        <w:color w:val="0F6FC6"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DDD0D" w14:textId="77777777" w:rsidR="00044B21" w:rsidRDefault="00044B21" w:rsidP="00F67CDD">
      <w:pPr>
        <w:spacing w:after="0" w:line="240" w:lineRule="auto"/>
      </w:pPr>
      <w:r>
        <w:separator/>
      </w:r>
    </w:p>
  </w:footnote>
  <w:footnote w:type="continuationSeparator" w:id="0">
    <w:p w14:paraId="3530C39F" w14:textId="77777777" w:rsidR="00044B21" w:rsidRDefault="00044B21" w:rsidP="00F67CDD">
      <w:pPr>
        <w:spacing w:after="0" w:line="240" w:lineRule="auto"/>
      </w:pPr>
      <w:r>
        <w:continuationSeparator/>
      </w:r>
    </w:p>
  </w:footnote>
  <w:footnote w:type="continuationNotice" w:id="1">
    <w:p w14:paraId="2A844CB0" w14:textId="77777777" w:rsidR="00044B21" w:rsidRDefault="00044B21">
      <w:pPr>
        <w:spacing w:after="0" w:line="240" w:lineRule="auto"/>
      </w:pPr>
    </w:p>
  </w:footnote>
  <w:footnote w:id="2">
    <w:p w14:paraId="0898056E" w14:textId="4DAA51C3" w:rsidR="00763C1E" w:rsidRPr="0096616C" w:rsidRDefault="00763C1E">
      <w:pPr>
        <w:pStyle w:val="FootnoteText"/>
        <w:rPr>
          <w:lang w:val="en-US"/>
        </w:rPr>
      </w:pPr>
      <w:r>
        <w:rPr>
          <w:rStyle w:val="FootnoteReference"/>
        </w:rPr>
        <w:footnoteRef/>
      </w:r>
      <w:r>
        <w:t xml:space="preserve"> </w:t>
      </w:r>
      <w:r>
        <w:rPr>
          <w:lang w:val="en-US"/>
        </w:rPr>
        <w:t>Depot Utilization Rate refers to sales from the depot divided by capacity of the depot.</w:t>
      </w:r>
    </w:p>
  </w:footnote>
  <w:footnote w:id="3">
    <w:p w14:paraId="12F69806" w14:textId="00A80BB5" w:rsidR="00763C1E" w:rsidRPr="0096616C" w:rsidRDefault="00763C1E">
      <w:pPr>
        <w:pStyle w:val="FootnoteText"/>
        <w:rPr>
          <w:lang w:val="en-US"/>
        </w:rPr>
      </w:pPr>
      <w:r>
        <w:rPr>
          <w:rStyle w:val="FootnoteReference"/>
        </w:rPr>
        <w:footnoteRef/>
      </w:r>
      <w:r>
        <w:t xml:space="preserve"> </w:t>
      </w:r>
      <w:r>
        <w:rPr>
          <w:lang w:val="en-US"/>
        </w:rPr>
        <w:t>This is consistent with the previous trends of LPG depot utilization over the years.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230"/>
      <w:gridCol w:w="5230"/>
      <w:gridCol w:w="5230"/>
    </w:tblGrid>
    <w:tr w:rsidR="3B5B5489" w14:paraId="548A4A80" w14:textId="77777777" w:rsidTr="00F5459F">
      <w:trPr>
        <w:trHeight w:val="300"/>
      </w:trPr>
      <w:tc>
        <w:tcPr>
          <w:tcW w:w="5230" w:type="dxa"/>
        </w:tcPr>
        <w:p w14:paraId="34EF6029" w14:textId="1FFDB3FF" w:rsidR="3B5B5489" w:rsidRDefault="3B5B5489" w:rsidP="00F5459F">
          <w:pPr>
            <w:pStyle w:val="Header"/>
            <w:ind w:left="-115"/>
          </w:pPr>
        </w:p>
      </w:tc>
      <w:tc>
        <w:tcPr>
          <w:tcW w:w="5230" w:type="dxa"/>
        </w:tcPr>
        <w:p w14:paraId="0E5E557A" w14:textId="6551188F" w:rsidR="3B5B5489" w:rsidRDefault="3B5B5489" w:rsidP="00F5459F">
          <w:pPr>
            <w:pStyle w:val="Header"/>
            <w:jc w:val="center"/>
          </w:pPr>
        </w:p>
      </w:tc>
      <w:tc>
        <w:tcPr>
          <w:tcW w:w="5230" w:type="dxa"/>
        </w:tcPr>
        <w:p w14:paraId="397DB8A9" w14:textId="358DC890" w:rsidR="3B5B5489" w:rsidRDefault="3B5B5489" w:rsidP="00F5459F">
          <w:pPr>
            <w:pStyle w:val="Header"/>
            <w:ind w:right="-115"/>
            <w:jc w:val="right"/>
          </w:pPr>
        </w:p>
      </w:tc>
    </w:tr>
  </w:tbl>
  <w:p w14:paraId="11097595" w14:textId="113DA6DE" w:rsidR="3B5B5489" w:rsidRDefault="3B5B5489" w:rsidP="00F545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495"/>
      <w:gridCol w:w="2495"/>
      <w:gridCol w:w="2495"/>
    </w:tblGrid>
    <w:tr w:rsidR="3B5B5489" w14:paraId="5E0093CC" w14:textId="77777777" w:rsidTr="00F5459F">
      <w:trPr>
        <w:trHeight w:val="300"/>
      </w:trPr>
      <w:tc>
        <w:tcPr>
          <w:tcW w:w="2495" w:type="dxa"/>
        </w:tcPr>
        <w:p w14:paraId="44088367" w14:textId="03358033" w:rsidR="3B5B5489" w:rsidRDefault="3B5B5489" w:rsidP="00F5459F">
          <w:pPr>
            <w:pStyle w:val="Header"/>
            <w:ind w:left="-115"/>
          </w:pPr>
        </w:p>
      </w:tc>
      <w:tc>
        <w:tcPr>
          <w:tcW w:w="2495" w:type="dxa"/>
        </w:tcPr>
        <w:p w14:paraId="3EAED256" w14:textId="6A5E6084" w:rsidR="3B5B5489" w:rsidRDefault="3B5B5489" w:rsidP="00F5459F">
          <w:pPr>
            <w:pStyle w:val="Header"/>
            <w:jc w:val="center"/>
          </w:pPr>
        </w:p>
      </w:tc>
      <w:tc>
        <w:tcPr>
          <w:tcW w:w="2495" w:type="dxa"/>
        </w:tcPr>
        <w:p w14:paraId="78A54B5E" w14:textId="70B5BF6B" w:rsidR="3B5B5489" w:rsidRDefault="3B5B5489" w:rsidP="00F5459F">
          <w:pPr>
            <w:pStyle w:val="Header"/>
            <w:ind w:right="-115"/>
            <w:jc w:val="right"/>
          </w:pPr>
        </w:p>
      </w:tc>
    </w:tr>
  </w:tbl>
  <w:p w14:paraId="105F93FF" w14:textId="6B1778C9" w:rsidR="3B5B5489" w:rsidRDefault="3B5B5489" w:rsidP="00F545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495"/>
      <w:gridCol w:w="2495"/>
      <w:gridCol w:w="2495"/>
    </w:tblGrid>
    <w:tr w:rsidR="3B5B5489" w14:paraId="48992A90" w14:textId="77777777" w:rsidTr="00F5459F">
      <w:trPr>
        <w:trHeight w:val="300"/>
      </w:trPr>
      <w:tc>
        <w:tcPr>
          <w:tcW w:w="2495" w:type="dxa"/>
        </w:tcPr>
        <w:p w14:paraId="1B6B236F" w14:textId="398569D5" w:rsidR="3B5B5489" w:rsidRDefault="3B5B5489" w:rsidP="00F5459F">
          <w:pPr>
            <w:pStyle w:val="Header"/>
            <w:ind w:left="-115"/>
          </w:pPr>
        </w:p>
      </w:tc>
      <w:tc>
        <w:tcPr>
          <w:tcW w:w="2495" w:type="dxa"/>
        </w:tcPr>
        <w:p w14:paraId="54F8DFBD" w14:textId="635DE608" w:rsidR="3B5B5489" w:rsidRDefault="3B5B5489" w:rsidP="00F5459F">
          <w:pPr>
            <w:pStyle w:val="Header"/>
            <w:jc w:val="center"/>
          </w:pPr>
        </w:p>
      </w:tc>
      <w:tc>
        <w:tcPr>
          <w:tcW w:w="2495" w:type="dxa"/>
        </w:tcPr>
        <w:p w14:paraId="392F6CE4" w14:textId="4A9078B0" w:rsidR="3B5B5489" w:rsidRDefault="3B5B5489" w:rsidP="00F5459F">
          <w:pPr>
            <w:pStyle w:val="Header"/>
            <w:ind w:right="-115"/>
            <w:jc w:val="right"/>
          </w:pPr>
        </w:p>
      </w:tc>
    </w:tr>
  </w:tbl>
  <w:p w14:paraId="1B843DE3" w14:textId="04A3877F" w:rsidR="3B5B5489" w:rsidRDefault="3B5B5489" w:rsidP="00F54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EDC"/>
    <w:multiLevelType w:val="hybridMultilevel"/>
    <w:tmpl w:val="F7F63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01B38"/>
    <w:multiLevelType w:val="hybridMultilevel"/>
    <w:tmpl w:val="B590D0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51B3"/>
    <w:multiLevelType w:val="hybridMultilevel"/>
    <w:tmpl w:val="0122F7FE"/>
    <w:lvl w:ilvl="0" w:tplc="09D45A6E">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E77232D"/>
    <w:multiLevelType w:val="hybridMultilevel"/>
    <w:tmpl w:val="4606B7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B584D"/>
    <w:multiLevelType w:val="hybridMultilevel"/>
    <w:tmpl w:val="409632A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835131"/>
    <w:multiLevelType w:val="hybridMultilevel"/>
    <w:tmpl w:val="2E2CD9C0"/>
    <w:lvl w:ilvl="0" w:tplc="2B24809C">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97C29"/>
    <w:multiLevelType w:val="hybridMultilevel"/>
    <w:tmpl w:val="119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E28C1"/>
    <w:multiLevelType w:val="hybridMultilevel"/>
    <w:tmpl w:val="5C56A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D9565C"/>
    <w:multiLevelType w:val="hybridMultilevel"/>
    <w:tmpl w:val="AF90A5B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8466748"/>
    <w:multiLevelType w:val="multilevel"/>
    <w:tmpl w:val="2278AC7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AA5E96"/>
    <w:multiLevelType w:val="hybridMultilevel"/>
    <w:tmpl w:val="E8B0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B1C65"/>
    <w:multiLevelType w:val="hybridMultilevel"/>
    <w:tmpl w:val="0A0A7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A51E3"/>
    <w:multiLevelType w:val="hybridMultilevel"/>
    <w:tmpl w:val="8D68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20140D"/>
    <w:multiLevelType w:val="hybridMultilevel"/>
    <w:tmpl w:val="BCAC8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EE32E2"/>
    <w:multiLevelType w:val="hybridMultilevel"/>
    <w:tmpl w:val="9550AB68"/>
    <w:lvl w:ilvl="0" w:tplc="0409000F">
      <w:start w:val="1"/>
      <w:numFmt w:val="decimal"/>
      <w:lvlText w:val="%1."/>
      <w:lvlJc w:val="left"/>
      <w:pPr>
        <w:tabs>
          <w:tab w:val="num" w:pos="720"/>
        </w:tabs>
        <w:ind w:left="720" w:hanging="360"/>
      </w:pPr>
    </w:lvl>
    <w:lvl w:ilvl="1" w:tplc="04B02EA0">
      <w:start w:val="1"/>
      <w:numFmt w:val="bullet"/>
      <w:lvlText w:val="•"/>
      <w:lvlJc w:val="left"/>
      <w:pPr>
        <w:tabs>
          <w:tab w:val="num" w:pos="1440"/>
        </w:tabs>
        <w:ind w:left="1440" w:hanging="360"/>
      </w:pPr>
      <w:rPr>
        <w:rFonts w:ascii="Times New Roman" w:hAnsi="Times New Roman" w:cs="Times New Roman" w:hint="default"/>
      </w:rPr>
    </w:lvl>
    <w:lvl w:ilvl="2" w:tplc="2D7C44A8">
      <w:start w:val="1"/>
      <w:numFmt w:val="bullet"/>
      <w:lvlText w:val="•"/>
      <w:lvlJc w:val="left"/>
      <w:pPr>
        <w:tabs>
          <w:tab w:val="num" w:pos="2160"/>
        </w:tabs>
        <w:ind w:left="2160" w:hanging="360"/>
      </w:pPr>
      <w:rPr>
        <w:rFonts w:ascii="Times New Roman" w:hAnsi="Times New Roman" w:cs="Times New Roman" w:hint="default"/>
      </w:rPr>
    </w:lvl>
    <w:lvl w:ilvl="3" w:tplc="6728CB72">
      <w:start w:val="1"/>
      <w:numFmt w:val="bullet"/>
      <w:lvlText w:val="•"/>
      <w:lvlJc w:val="left"/>
      <w:pPr>
        <w:tabs>
          <w:tab w:val="num" w:pos="2880"/>
        </w:tabs>
        <w:ind w:left="2880" w:hanging="360"/>
      </w:pPr>
      <w:rPr>
        <w:rFonts w:ascii="Times New Roman" w:hAnsi="Times New Roman" w:cs="Times New Roman" w:hint="default"/>
      </w:rPr>
    </w:lvl>
    <w:lvl w:ilvl="4" w:tplc="57C80C58">
      <w:start w:val="1"/>
      <w:numFmt w:val="bullet"/>
      <w:lvlText w:val="•"/>
      <w:lvlJc w:val="left"/>
      <w:pPr>
        <w:tabs>
          <w:tab w:val="num" w:pos="3600"/>
        </w:tabs>
        <w:ind w:left="3600" w:hanging="360"/>
      </w:pPr>
      <w:rPr>
        <w:rFonts w:ascii="Times New Roman" w:hAnsi="Times New Roman" w:cs="Times New Roman" w:hint="default"/>
      </w:rPr>
    </w:lvl>
    <w:lvl w:ilvl="5" w:tplc="EA0EABBA">
      <w:start w:val="1"/>
      <w:numFmt w:val="bullet"/>
      <w:lvlText w:val="•"/>
      <w:lvlJc w:val="left"/>
      <w:pPr>
        <w:tabs>
          <w:tab w:val="num" w:pos="4320"/>
        </w:tabs>
        <w:ind w:left="4320" w:hanging="360"/>
      </w:pPr>
      <w:rPr>
        <w:rFonts w:ascii="Times New Roman" w:hAnsi="Times New Roman" w:cs="Times New Roman" w:hint="default"/>
      </w:rPr>
    </w:lvl>
    <w:lvl w:ilvl="6" w:tplc="8F5AE9EE">
      <w:start w:val="1"/>
      <w:numFmt w:val="bullet"/>
      <w:lvlText w:val="•"/>
      <w:lvlJc w:val="left"/>
      <w:pPr>
        <w:tabs>
          <w:tab w:val="num" w:pos="5040"/>
        </w:tabs>
        <w:ind w:left="5040" w:hanging="360"/>
      </w:pPr>
      <w:rPr>
        <w:rFonts w:ascii="Times New Roman" w:hAnsi="Times New Roman" w:cs="Times New Roman" w:hint="default"/>
      </w:rPr>
    </w:lvl>
    <w:lvl w:ilvl="7" w:tplc="F4FC0362">
      <w:start w:val="1"/>
      <w:numFmt w:val="bullet"/>
      <w:lvlText w:val="•"/>
      <w:lvlJc w:val="left"/>
      <w:pPr>
        <w:tabs>
          <w:tab w:val="num" w:pos="5760"/>
        </w:tabs>
        <w:ind w:left="5760" w:hanging="360"/>
      </w:pPr>
      <w:rPr>
        <w:rFonts w:ascii="Times New Roman" w:hAnsi="Times New Roman" w:cs="Times New Roman" w:hint="default"/>
      </w:rPr>
    </w:lvl>
    <w:lvl w:ilvl="8" w:tplc="440004D2">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34072875"/>
    <w:multiLevelType w:val="hybridMultilevel"/>
    <w:tmpl w:val="9E0E2938"/>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558222A"/>
    <w:multiLevelType w:val="hybridMultilevel"/>
    <w:tmpl w:val="A04E3E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A463F8"/>
    <w:multiLevelType w:val="hybridMultilevel"/>
    <w:tmpl w:val="C066BF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F141D5D"/>
    <w:multiLevelType w:val="hybridMultilevel"/>
    <w:tmpl w:val="83AE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EB40EF"/>
    <w:multiLevelType w:val="hybridMultilevel"/>
    <w:tmpl w:val="BA4EF5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6B8549B"/>
    <w:multiLevelType w:val="hybridMultilevel"/>
    <w:tmpl w:val="2100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5792D"/>
    <w:multiLevelType w:val="hybridMultilevel"/>
    <w:tmpl w:val="233048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0272F91"/>
    <w:multiLevelType w:val="hybridMultilevel"/>
    <w:tmpl w:val="2786A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D06E1"/>
    <w:multiLevelType w:val="hybridMultilevel"/>
    <w:tmpl w:val="4DE4A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64A1BD1"/>
    <w:multiLevelType w:val="hybridMultilevel"/>
    <w:tmpl w:val="A744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954E88"/>
    <w:multiLevelType w:val="hybridMultilevel"/>
    <w:tmpl w:val="47F27932"/>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F95F8F"/>
    <w:multiLevelType w:val="hybridMultilevel"/>
    <w:tmpl w:val="054C8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9570C7"/>
    <w:multiLevelType w:val="hybridMultilevel"/>
    <w:tmpl w:val="A53E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70B76"/>
    <w:multiLevelType w:val="hybridMultilevel"/>
    <w:tmpl w:val="BB78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20899"/>
    <w:multiLevelType w:val="hybridMultilevel"/>
    <w:tmpl w:val="274C1A7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4F52ECB"/>
    <w:multiLevelType w:val="hybridMultilevel"/>
    <w:tmpl w:val="D90A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D20AB"/>
    <w:multiLevelType w:val="hybridMultilevel"/>
    <w:tmpl w:val="FC7A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5A72B4"/>
    <w:multiLevelType w:val="hybridMultilevel"/>
    <w:tmpl w:val="5FE69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8004A9"/>
    <w:multiLevelType w:val="hybridMultilevel"/>
    <w:tmpl w:val="88CC7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62F72"/>
    <w:multiLevelType w:val="hybridMultilevel"/>
    <w:tmpl w:val="DB7A9670"/>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183344">
    <w:abstractNumId w:val="17"/>
  </w:num>
  <w:num w:numId="2" w16cid:durableId="1456291335">
    <w:abstractNumId w:val="0"/>
  </w:num>
  <w:num w:numId="3" w16cid:durableId="131951857">
    <w:abstractNumId w:val="22"/>
  </w:num>
  <w:num w:numId="4" w16cid:durableId="1199658870">
    <w:abstractNumId w:val="1"/>
  </w:num>
  <w:num w:numId="5" w16cid:durableId="915090007">
    <w:abstractNumId w:val="20"/>
  </w:num>
  <w:num w:numId="6" w16cid:durableId="95567327">
    <w:abstractNumId w:val="13"/>
  </w:num>
  <w:num w:numId="7" w16cid:durableId="1768038288">
    <w:abstractNumId w:val="7"/>
  </w:num>
  <w:num w:numId="8" w16cid:durableId="454909128">
    <w:abstractNumId w:val="33"/>
  </w:num>
  <w:num w:numId="9" w16cid:durableId="629936908">
    <w:abstractNumId w:val="9"/>
  </w:num>
  <w:num w:numId="10" w16cid:durableId="1875196789">
    <w:abstractNumId w:val="26"/>
  </w:num>
  <w:num w:numId="11" w16cid:durableId="1722092529">
    <w:abstractNumId w:val="25"/>
  </w:num>
  <w:num w:numId="12" w16cid:durableId="837381073">
    <w:abstractNumId w:val="10"/>
  </w:num>
  <w:num w:numId="13" w16cid:durableId="1314216701">
    <w:abstractNumId w:val="32"/>
  </w:num>
  <w:num w:numId="14" w16cid:durableId="986474545">
    <w:abstractNumId w:val="23"/>
  </w:num>
  <w:num w:numId="15" w16cid:durableId="1478641785">
    <w:abstractNumId w:val="14"/>
    <w:lvlOverride w:ilvl="0">
      <w:startOverride w:val="1"/>
    </w:lvlOverride>
    <w:lvlOverride w:ilvl="1"/>
    <w:lvlOverride w:ilvl="2"/>
    <w:lvlOverride w:ilvl="3"/>
    <w:lvlOverride w:ilvl="4"/>
    <w:lvlOverride w:ilvl="5"/>
    <w:lvlOverride w:ilvl="6"/>
    <w:lvlOverride w:ilvl="7"/>
    <w:lvlOverride w:ilvl="8"/>
  </w:num>
  <w:num w:numId="16" w16cid:durableId="2072535623">
    <w:abstractNumId w:val="8"/>
  </w:num>
  <w:num w:numId="17" w16cid:durableId="1404403556">
    <w:abstractNumId w:val="29"/>
  </w:num>
  <w:num w:numId="18" w16cid:durableId="1720280203">
    <w:abstractNumId w:val="19"/>
  </w:num>
  <w:num w:numId="19" w16cid:durableId="1596817183">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00754594">
    <w:abstractNumId w:val="4"/>
  </w:num>
  <w:num w:numId="21" w16cid:durableId="2036691397">
    <w:abstractNumId w:val="21"/>
  </w:num>
  <w:num w:numId="22" w16cid:durableId="224142430">
    <w:abstractNumId w:val="24"/>
  </w:num>
  <w:num w:numId="23" w16cid:durableId="1479688330">
    <w:abstractNumId w:val="27"/>
  </w:num>
  <w:num w:numId="24" w16cid:durableId="1293948724">
    <w:abstractNumId w:val="28"/>
  </w:num>
  <w:num w:numId="25" w16cid:durableId="649141858">
    <w:abstractNumId w:val="16"/>
  </w:num>
  <w:num w:numId="26" w16cid:durableId="893200692">
    <w:abstractNumId w:val="18"/>
  </w:num>
  <w:num w:numId="27" w16cid:durableId="1923104078">
    <w:abstractNumId w:val="6"/>
  </w:num>
  <w:num w:numId="28" w16cid:durableId="1546671638">
    <w:abstractNumId w:val="31"/>
  </w:num>
  <w:num w:numId="29" w16cid:durableId="3945824">
    <w:abstractNumId w:val="3"/>
  </w:num>
  <w:num w:numId="30" w16cid:durableId="6180439">
    <w:abstractNumId w:val="5"/>
  </w:num>
  <w:num w:numId="31" w16cid:durableId="1020426407">
    <w:abstractNumId w:val="34"/>
  </w:num>
  <w:num w:numId="32" w16cid:durableId="14625569">
    <w:abstractNumId w:val="11"/>
  </w:num>
  <w:num w:numId="33" w16cid:durableId="850532711">
    <w:abstractNumId w:val="2"/>
  </w:num>
  <w:num w:numId="34" w16cid:durableId="576792371">
    <w:abstractNumId w:val="30"/>
  </w:num>
  <w:num w:numId="35" w16cid:durableId="283388318">
    <w:abstractNumId w:val="12"/>
  </w:num>
  <w:num w:numId="36" w16cid:durableId="18101290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12289">
      <o:colormru v:ext="edit" colors="#cc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578"/>
    <w:rsid w:val="000003DE"/>
    <w:rsid w:val="0000047C"/>
    <w:rsid w:val="00000D71"/>
    <w:rsid w:val="00000E61"/>
    <w:rsid w:val="000032E7"/>
    <w:rsid w:val="00003F78"/>
    <w:rsid w:val="00003F7B"/>
    <w:rsid w:val="00004833"/>
    <w:rsid w:val="000055E3"/>
    <w:rsid w:val="00007021"/>
    <w:rsid w:val="00010FE6"/>
    <w:rsid w:val="000134EB"/>
    <w:rsid w:val="000136F5"/>
    <w:rsid w:val="000149CA"/>
    <w:rsid w:val="0001577D"/>
    <w:rsid w:val="000172D4"/>
    <w:rsid w:val="00017A91"/>
    <w:rsid w:val="00017F58"/>
    <w:rsid w:val="000201D9"/>
    <w:rsid w:val="000201F1"/>
    <w:rsid w:val="00023016"/>
    <w:rsid w:val="0002351D"/>
    <w:rsid w:val="0002446E"/>
    <w:rsid w:val="0002447B"/>
    <w:rsid w:val="00025083"/>
    <w:rsid w:val="00026C37"/>
    <w:rsid w:val="00027D7C"/>
    <w:rsid w:val="00030A35"/>
    <w:rsid w:val="00031863"/>
    <w:rsid w:val="00031A9A"/>
    <w:rsid w:val="00032332"/>
    <w:rsid w:val="0003337A"/>
    <w:rsid w:val="00034376"/>
    <w:rsid w:val="000356F0"/>
    <w:rsid w:val="000362CD"/>
    <w:rsid w:val="000403CB"/>
    <w:rsid w:val="0004041A"/>
    <w:rsid w:val="000407AB"/>
    <w:rsid w:val="0004089B"/>
    <w:rsid w:val="00040BA7"/>
    <w:rsid w:val="0004196B"/>
    <w:rsid w:val="00041EEE"/>
    <w:rsid w:val="00044B21"/>
    <w:rsid w:val="0004586C"/>
    <w:rsid w:val="0004655B"/>
    <w:rsid w:val="00050FF8"/>
    <w:rsid w:val="00051123"/>
    <w:rsid w:val="000521FE"/>
    <w:rsid w:val="00053B75"/>
    <w:rsid w:val="0005569A"/>
    <w:rsid w:val="0005671E"/>
    <w:rsid w:val="0005681F"/>
    <w:rsid w:val="00056D72"/>
    <w:rsid w:val="00056E96"/>
    <w:rsid w:val="000570C0"/>
    <w:rsid w:val="0006001B"/>
    <w:rsid w:val="000603AA"/>
    <w:rsid w:val="00060D21"/>
    <w:rsid w:val="0006112D"/>
    <w:rsid w:val="000631B7"/>
    <w:rsid w:val="000632DA"/>
    <w:rsid w:val="00064D26"/>
    <w:rsid w:val="00065B32"/>
    <w:rsid w:val="00065D59"/>
    <w:rsid w:val="00066EA2"/>
    <w:rsid w:val="00067A9D"/>
    <w:rsid w:val="00070391"/>
    <w:rsid w:val="00071288"/>
    <w:rsid w:val="00073ECA"/>
    <w:rsid w:val="000766E9"/>
    <w:rsid w:val="000778A7"/>
    <w:rsid w:val="00077A92"/>
    <w:rsid w:val="00077C33"/>
    <w:rsid w:val="00080172"/>
    <w:rsid w:val="00080CBD"/>
    <w:rsid w:val="000826A9"/>
    <w:rsid w:val="00082C93"/>
    <w:rsid w:val="00083264"/>
    <w:rsid w:val="0008425C"/>
    <w:rsid w:val="0008658C"/>
    <w:rsid w:val="00087746"/>
    <w:rsid w:val="00091124"/>
    <w:rsid w:val="0009439B"/>
    <w:rsid w:val="00094941"/>
    <w:rsid w:val="00094B0D"/>
    <w:rsid w:val="00094F68"/>
    <w:rsid w:val="00095061"/>
    <w:rsid w:val="00095452"/>
    <w:rsid w:val="00096B03"/>
    <w:rsid w:val="00096F14"/>
    <w:rsid w:val="00097343"/>
    <w:rsid w:val="000A0840"/>
    <w:rsid w:val="000A29A3"/>
    <w:rsid w:val="000A35B1"/>
    <w:rsid w:val="000A3AA7"/>
    <w:rsid w:val="000A3AF0"/>
    <w:rsid w:val="000A49D1"/>
    <w:rsid w:val="000A5170"/>
    <w:rsid w:val="000A6FB1"/>
    <w:rsid w:val="000B111F"/>
    <w:rsid w:val="000B1B58"/>
    <w:rsid w:val="000B25D8"/>
    <w:rsid w:val="000B2D09"/>
    <w:rsid w:val="000B3735"/>
    <w:rsid w:val="000B3865"/>
    <w:rsid w:val="000B45F1"/>
    <w:rsid w:val="000B479A"/>
    <w:rsid w:val="000B52F9"/>
    <w:rsid w:val="000B5555"/>
    <w:rsid w:val="000B5B5A"/>
    <w:rsid w:val="000B5CCE"/>
    <w:rsid w:val="000B65A7"/>
    <w:rsid w:val="000B728A"/>
    <w:rsid w:val="000B768F"/>
    <w:rsid w:val="000C0EC7"/>
    <w:rsid w:val="000C1C33"/>
    <w:rsid w:val="000C298A"/>
    <w:rsid w:val="000C4FC9"/>
    <w:rsid w:val="000D4BA1"/>
    <w:rsid w:val="000D5C0D"/>
    <w:rsid w:val="000D60D0"/>
    <w:rsid w:val="000D7874"/>
    <w:rsid w:val="000E045F"/>
    <w:rsid w:val="000E0B57"/>
    <w:rsid w:val="000E1273"/>
    <w:rsid w:val="000E180C"/>
    <w:rsid w:val="000E380D"/>
    <w:rsid w:val="000E3838"/>
    <w:rsid w:val="000E5B37"/>
    <w:rsid w:val="000E6922"/>
    <w:rsid w:val="000E78D4"/>
    <w:rsid w:val="000F0479"/>
    <w:rsid w:val="000F105E"/>
    <w:rsid w:val="000F17D3"/>
    <w:rsid w:val="000F1980"/>
    <w:rsid w:val="000F1C35"/>
    <w:rsid w:val="000F205F"/>
    <w:rsid w:val="000F397A"/>
    <w:rsid w:val="000F4257"/>
    <w:rsid w:val="000F45FF"/>
    <w:rsid w:val="000F62BD"/>
    <w:rsid w:val="000F7113"/>
    <w:rsid w:val="000F7651"/>
    <w:rsid w:val="0010022A"/>
    <w:rsid w:val="00102FC5"/>
    <w:rsid w:val="00103386"/>
    <w:rsid w:val="00103649"/>
    <w:rsid w:val="00104DEF"/>
    <w:rsid w:val="00105206"/>
    <w:rsid w:val="001057D2"/>
    <w:rsid w:val="00106028"/>
    <w:rsid w:val="00106BCA"/>
    <w:rsid w:val="00110CA6"/>
    <w:rsid w:val="00112AA0"/>
    <w:rsid w:val="0011367F"/>
    <w:rsid w:val="00113E1A"/>
    <w:rsid w:val="00114A30"/>
    <w:rsid w:val="00114BBC"/>
    <w:rsid w:val="00114C6E"/>
    <w:rsid w:val="00114D44"/>
    <w:rsid w:val="00115F92"/>
    <w:rsid w:val="0011659F"/>
    <w:rsid w:val="001169B2"/>
    <w:rsid w:val="00117493"/>
    <w:rsid w:val="00117AF7"/>
    <w:rsid w:val="00117CFF"/>
    <w:rsid w:val="00120178"/>
    <w:rsid w:val="00120DB3"/>
    <w:rsid w:val="0012151E"/>
    <w:rsid w:val="001219E7"/>
    <w:rsid w:val="00122B3A"/>
    <w:rsid w:val="00124E89"/>
    <w:rsid w:val="001250BB"/>
    <w:rsid w:val="0012769B"/>
    <w:rsid w:val="00127D3C"/>
    <w:rsid w:val="001306BA"/>
    <w:rsid w:val="00130D1F"/>
    <w:rsid w:val="001313A7"/>
    <w:rsid w:val="0013289A"/>
    <w:rsid w:val="001329D7"/>
    <w:rsid w:val="00134D02"/>
    <w:rsid w:val="0013527C"/>
    <w:rsid w:val="00135C9D"/>
    <w:rsid w:val="00136121"/>
    <w:rsid w:val="001367BD"/>
    <w:rsid w:val="001368E4"/>
    <w:rsid w:val="00136EDB"/>
    <w:rsid w:val="00137808"/>
    <w:rsid w:val="00141B44"/>
    <w:rsid w:val="00143802"/>
    <w:rsid w:val="00143EA1"/>
    <w:rsid w:val="00145AEF"/>
    <w:rsid w:val="00147A22"/>
    <w:rsid w:val="00150147"/>
    <w:rsid w:val="00151368"/>
    <w:rsid w:val="001513B9"/>
    <w:rsid w:val="00151D43"/>
    <w:rsid w:val="00153D2E"/>
    <w:rsid w:val="0015452E"/>
    <w:rsid w:val="00155787"/>
    <w:rsid w:val="00155D37"/>
    <w:rsid w:val="00156349"/>
    <w:rsid w:val="00156A69"/>
    <w:rsid w:val="001579D7"/>
    <w:rsid w:val="00157A8C"/>
    <w:rsid w:val="00157C11"/>
    <w:rsid w:val="00160C00"/>
    <w:rsid w:val="00161469"/>
    <w:rsid w:val="00161737"/>
    <w:rsid w:val="00163D23"/>
    <w:rsid w:val="00164E14"/>
    <w:rsid w:val="00165994"/>
    <w:rsid w:val="00166ADA"/>
    <w:rsid w:val="00166B2B"/>
    <w:rsid w:val="00166E60"/>
    <w:rsid w:val="0017110B"/>
    <w:rsid w:val="001714F6"/>
    <w:rsid w:val="001722F2"/>
    <w:rsid w:val="00172C88"/>
    <w:rsid w:val="0017335E"/>
    <w:rsid w:val="001734A9"/>
    <w:rsid w:val="00174413"/>
    <w:rsid w:val="00174838"/>
    <w:rsid w:val="001748D5"/>
    <w:rsid w:val="00175345"/>
    <w:rsid w:val="001768C3"/>
    <w:rsid w:val="00176C9C"/>
    <w:rsid w:val="00180851"/>
    <w:rsid w:val="001810E5"/>
    <w:rsid w:val="00181787"/>
    <w:rsid w:val="00181E59"/>
    <w:rsid w:val="00182525"/>
    <w:rsid w:val="00182924"/>
    <w:rsid w:val="00182AA2"/>
    <w:rsid w:val="00182B56"/>
    <w:rsid w:val="00182FDF"/>
    <w:rsid w:val="001832CC"/>
    <w:rsid w:val="00183B66"/>
    <w:rsid w:val="00186049"/>
    <w:rsid w:val="001863AA"/>
    <w:rsid w:val="0018714D"/>
    <w:rsid w:val="00190AC0"/>
    <w:rsid w:val="00191AD5"/>
    <w:rsid w:val="00191C29"/>
    <w:rsid w:val="00194683"/>
    <w:rsid w:val="0019524A"/>
    <w:rsid w:val="0019582A"/>
    <w:rsid w:val="00195EAE"/>
    <w:rsid w:val="001A46C9"/>
    <w:rsid w:val="001A49A4"/>
    <w:rsid w:val="001A61AE"/>
    <w:rsid w:val="001B0353"/>
    <w:rsid w:val="001B08B0"/>
    <w:rsid w:val="001B132C"/>
    <w:rsid w:val="001B2F20"/>
    <w:rsid w:val="001B3282"/>
    <w:rsid w:val="001B355D"/>
    <w:rsid w:val="001B3DFB"/>
    <w:rsid w:val="001B47AA"/>
    <w:rsid w:val="001B4FAE"/>
    <w:rsid w:val="001B5DD3"/>
    <w:rsid w:val="001B79A6"/>
    <w:rsid w:val="001B7C43"/>
    <w:rsid w:val="001C0E6A"/>
    <w:rsid w:val="001C144E"/>
    <w:rsid w:val="001C18C8"/>
    <w:rsid w:val="001C1E3A"/>
    <w:rsid w:val="001C2312"/>
    <w:rsid w:val="001C269C"/>
    <w:rsid w:val="001C4B05"/>
    <w:rsid w:val="001C4DC6"/>
    <w:rsid w:val="001C6413"/>
    <w:rsid w:val="001C69D1"/>
    <w:rsid w:val="001D1A80"/>
    <w:rsid w:val="001D1F33"/>
    <w:rsid w:val="001D439B"/>
    <w:rsid w:val="001D5886"/>
    <w:rsid w:val="001D61AE"/>
    <w:rsid w:val="001D6EA9"/>
    <w:rsid w:val="001D7A0E"/>
    <w:rsid w:val="001D7CF8"/>
    <w:rsid w:val="001E03AE"/>
    <w:rsid w:val="001E0B46"/>
    <w:rsid w:val="001E0D8B"/>
    <w:rsid w:val="001E1CB0"/>
    <w:rsid w:val="001E2222"/>
    <w:rsid w:val="001E23E3"/>
    <w:rsid w:val="001E32C2"/>
    <w:rsid w:val="001E478A"/>
    <w:rsid w:val="001E4BC0"/>
    <w:rsid w:val="001E4CD9"/>
    <w:rsid w:val="001E4F18"/>
    <w:rsid w:val="001E5C0D"/>
    <w:rsid w:val="001E5D5F"/>
    <w:rsid w:val="001E6720"/>
    <w:rsid w:val="001E6FC2"/>
    <w:rsid w:val="001E6FC3"/>
    <w:rsid w:val="001E7171"/>
    <w:rsid w:val="001F211D"/>
    <w:rsid w:val="001F3375"/>
    <w:rsid w:val="001F3D29"/>
    <w:rsid w:val="001F5ABE"/>
    <w:rsid w:val="001F6303"/>
    <w:rsid w:val="001F6A6D"/>
    <w:rsid w:val="001F7B38"/>
    <w:rsid w:val="00200078"/>
    <w:rsid w:val="00200766"/>
    <w:rsid w:val="00200A3E"/>
    <w:rsid w:val="00200FFA"/>
    <w:rsid w:val="00202260"/>
    <w:rsid w:val="00202894"/>
    <w:rsid w:val="00202B75"/>
    <w:rsid w:val="00202C48"/>
    <w:rsid w:val="00203561"/>
    <w:rsid w:val="00205AE2"/>
    <w:rsid w:val="00207250"/>
    <w:rsid w:val="0020726B"/>
    <w:rsid w:val="00207B12"/>
    <w:rsid w:val="002118FF"/>
    <w:rsid w:val="00212014"/>
    <w:rsid w:val="0021274B"/>
    <w:rsid w:val="00213124"/>
    <w:rsid w:val="00213DC4"/>
    <w:rsid w:val="0021403F"/>
    <w:rsid w:val="00214379"/>
    <w:rsid w:val="00215F3F"/>
    <w:rsid w:val="00216719"/>
    <w:rsid w:val="002178CA"/>
    <w:rsid w:val="002178E3"/>
    <w:rsid w:val="00220375"/>
    <w:rsid w:val="00221820"/>
    <w:rsid w:val="00221B86"/>
    <w:rsid w:val="00222313"/>
    <w:rsid w:val="00223F92"/>
    <w:rsid w:val="002241F0"/>
    <w:rsid w:val="0022449E"/>
    <w:rsid w:val="002266D8"/>
    <w:rsid w:val="00232EF5"/>
    <w:rsid w:val="00233A01"/>
    <w:rsid w:val="00235774"/>
    <w:rsid w:val="00236A8B"/>
    <w:rsid w:val="00240817"/>
    <w:rsid w:val="00241133"/>
    <w:rsid w:val="0024131A"/>
    <w:rsid w:val="002421F4"/>
    <w:rsid w:val="00242FA1"/>
    <w:rsid w:val="00243FE2"/>
    <w:rsid w:val="00245335"/>
    <w:rsid w:val="00246287"/>
    <w:rsid w:val="00247E1A"/>
    <w:rsid w:val="00250267"/>
    <w:rsid w:val="00250390"/>
    <w:rsid w:val="00251DFB"/>
    <w:rsid w:val="002521DF"/>
    <w:rsid w:val="00252264"/>
    <w:rsid w:val="00252872"/>
    <w:rsid w:val="00253A0D"/>
    <w:rsid w:val="00256A91"/>
    <w:rsid w:val="002605CD"/>
    <w:rsid w:val="0026329D"/>
    <w:rsid w:val="002633D8"/>
    <w:rsid w:val="00264DFA"/>
    <w:rsid w:val="00265118"/>
    <w:rsid w:val="00265468"/>
    <w:rsid w:val="00265A4B"/>
    <w:rsid w:val="00265BE7"/>
    <w:rsid w:val="0026639A"/>
    <w:rsid w:val="0027150B"/>
    <w:rsid w:val="00271FB4"/>
    <w:rsid w:val="002724CB"/>
    <w:rsid w:val="00273A4B"/>
    <w:rsid w:val="00273FE4"/>
    <w:rsid w:val="00274012"/>
    <w:rsid w:val="00274DA6"/>
    <w:rsid w:val="00274F92"/>
    <w:rsid w:val="00275271"/>
    <w:rsid w:val="002767D3"/>
    <w:rsid w:val="00277227"/>
    <w:rsid w:val="00277264"/>
    <w:rsid w:val="00280207"/>
    <w:rsid w:val="00280C7E"/>
    <w:rsid w:val="00281175"/>
    <w:rsid w:val="002812A9"/>
    <w:rsid w:val="00281612"/>
    <w:rsid w:val="00282425"/>
    <w:rsid w:val="00282D6C"/>
    <w:rsid w:val="00283798"/>
    <w:rsid w:val="002837C8"/>
    <w:rsid w:val="00283F4E"/>
    <w:rsid w:val="00284440"/>
    <w:rsid w:val="00284C95"/>
    <w:rsid w:val="002859F2"/>
    <w:rsid w:val="00285B56"/>
    <w:rsid w:val="00285C95"/>
    <w:rsid w:val="002875C0"/>
    <w:rsid w:val="002901D8"/>
    <w:rsid w:val="00291662"/>
    <w:rsid w:val="00291B51"/>
    <w:rsid w:val="0029297E"/>
    <w:rsid w:val="00293F6A"/>
    <w:rsid w:val="00293FA6"/>
    <w:rsid w:val="00294B54"/>
    <w:rsid w:val="00295EE9"/>
    <w:rsid w:val="00296434"/>
    <w:rsid w:val="00296631"/>
    <w:rsid w:val="00296DF5"/>
    <w:rsid w:val="002A1EE6"/>
    <w:rsid w:val="002A1F52"/>
    <w:rsid w:val="002A28DA"/>
    <w:rsid w:val="002A305E"/>
    <w:rsid w:val="002A3D3F"/>
    <w:rsid w:val="002A4442"/>
    <w:rsid w:val="002A4E20"/>
    <w:rsid w:val="002A5403"/>
    <w:rsid w:val="002A583F"/>
    <w:rsid w:val="002A6F6C"/>
    <w:rsid w:val="002A703A"/>
    <w:rsid w:val="002A74E1"/>
    <w:rsid w:val="002A7D24"/>
    <w:rsid w:val="002A7F57"/>
    <w:rsid w:val="002B1D21"/>
    <w:rsid w:val="002B2372"/>
    <w:rsid w:val="002B4549"/>
    <w:rsid w:val="002B56C7"/>
    <w:rsid w:val="002B79B9"/>
    <w:rsid w:val="002B7C25"/>
    <w:rsid w:val="002B7C95"/>
    <w:rsid w:val="002C02D0"/>
    <w:rsid w:val="002C0E55"/>
    <w:rsid w:val="002C0E9E"/>
    <w:rsid w:val="002C12BE"/>
    <w:rsid w:val="002C149F"/>
    <w:rsid w:val="002C1802"/>
    <w:rsid w:val="002C18D2"/>
    <w:rsid w:val="002C25C9"/>
    <w:rsid w:val="002C2D0B"/>
    <w:rsid w:val="002C30E3"/>
    <w:rsid w:val="002C334B"/>
    <w:rsid w:val="002C36A4"/>
    <w:rsid w:val="002C3B6B"/>
    <w:rsid w:val="002C4AFF"/>
    <w:rsid w:val="002C4DC8"/>
    <w:rsid w:val="002C5E90"/>
    <w:rsid w:val="002C5FE9"/>
    <w:rsid w:val="002C66A6"/>
    <w:rsid w:val="002C7723"/>
    <w:rsid w:val="002C7726"/>
    <w:rsid w:val="002D1E5D"/>
    <w:rsid w:val="002D2608"/>
    <w:rsid w:val="002D48A4"/>
    <w:rsid w:val="002D4A67"/>
    <w:rsid w:val="002D4FBA"/>
    <w:rsid w:val="002D758A"/>
    <w:rsid w:val="002D792A"/>
    <w:rsid w:val="002D7BC7"/>
    <w:rsid w:val="002E04BD"/>
    <w:rsid w:val="002E1AE1"/>
    <w:rsid w:val="002E1BD5"/>
    <w:rsid w:val="002E21CC"/>
    <w:rsid w:val="002E235A"/>
    <w:rsid w:val="002E35A8"/>
    <w:rsid w:val="002E46F3"/>
    <w:rsid w:val="002E7D7D"/>
    <w:rsid w:val="002F0716"/>
    <w:rsid w:val="002F1E4F"/>
    <w:rsid w:val="002F30D2"/>
    <w:rsid w:val="002F32A3"/>
    <w:rsid w:val="002F35F2"/>
    <w:rsid w:val="002F499E"/>
    <w:rsid w:val="002F64EB"/>
    <w:rsid w:val="002F6AF4"/>
    <w:rsid w:val="002F6B61"/>
    <w:rsid w:val="002F7139"/>
    <w:rsid w:val="00301E70"/>
    <w:rsid w:val="003047BB"/>
    <w:rsid w:val="00304C1A"/>
    <w:rsid w:val="003053C2"/>
    <w:rsid w:val="00305428"/>
    <w:rsid w:val="00310109"/>
    <w:rsid w:val="00312429"/>
    <w:rsid w:val="003124FC"/>
    <w:rsid w:val="0031409C"/>
    <w:rsid w:val="0031411E"/>
    <w:rsid w:val="0031464B"/>
    <w:rsid w:val="00315F2A"/>
    <w:rsid w:val="003160DE"/>
    <w:rsid w:val="0031658D"/>
    <w:rsid w:val="00317520"/>
    <w:rsid w:val="0032295B"/>
    <w:rsid w:val="00323031"/>
    <w:rsid w:val="00323E13"/>
    <w:rsid w:val="00324ABA"/>
    <w:rsid w:val="00324D1C"/>
    <w:rsid w:val="00325248"/>
    <w:rsid w:val="00325520"/>
    <w:rsid w:val="00325FB9"/>
    <w:rsid w:val="00326CD7"/>
    <w:rsid w:val="00327E4D"/>
    <w:rsid w:val="00332C31"/>
    <w:rsid w:val="00333E35"/>
    <w:rsid w:val="00334359"/>
    <w:rsid w:val="003358B3"/>
    <w:rsid w:val="00337BBD"/>
    <w:rsid w:val="00340459"/>
    <w:rsid w:val="003414FD"/>
    <w:rsid w:val="00341A86"/>
    <w:rsid w:val="0034304A"/>
    <w:rsid w:val="00343687"/>
    <w:rsid w:val="00343F59"/>
    <w:rsid w:val="003454BF"/>
    <w:rsid w:val="003459AD"/>
    <w:rsid w:val="00346CF9"/>
    <w:rsid w:val="00351486"/>
    <w:rsid w:val="00351A17"/>
    <w:rsid w:val="00351BC7"/>
    <w:rsid w:val="00352574"/>
    <w:rsid w:val="003544FA"/>
    <w:rsid w:val="00356FE2"/>
    <w:rsid w:val="003570E1"/>
    <w:rsid w:val="00363366"/>
    <w:rsid w:val="00364588"/>
    <w:rsid w:val="003673E4"/>
    <w:rsid w:val="0036758F"/>
    <w:rsid w:val="00367FCE"/>
    <w:rsid w:val="00370447"/>
    <w:rsid w:val="00371A5F"/>
    <w:rsid w:val="003735EF"/>
    <w:rsid w:val="003756A1"/>
    <w:rsid w:val="003764E9"/>
    <w:rsid w:val="003778CA"/>
    <w:rsid w:val="0038089A"/>
    <w:rsid w:val="00381A63"/>
    <w:rsid w:val="003821CA"/>
    <w:rsid w:val="00383A79"/>
    <w:rsid w:val="00383DB1"/>
    <w:rsid w:val="00383EFC"/>
    <w:rsid w:val="00384867"/>
    <w:rsid w:val="0038486B"/>
    <w:rsid w:val="00386371"/>
    <w:rsid w:val="00386AAA"/>
    <w:rsid w:val="00386CDB"/>
    <w:rsid w:val="00386DA3"/>
    <w:rsid w:val="003876A6"/>
    <w:rsid w:val="0039071A"/>
    <w:rsid w:val="0039081F"/>
    <w:rsid w:val="00391EBE"/>
    <w:rsid w:val="0039221B"/>
    <w:rsid w:val="00393F82"/>
    <w:rsid w:val="00394424"/>
    <w:rsid w:val="00394EB2"/>
    <w:rsid w:val="00395DF8"/>
    <w:rsid w:val="003965DC"/>
    <w:rsid w:val="00396740"/>
    <w:rsid w:val="003967F8"/>
    <w:rsid w:val="00396A0A"/>
    <w:rsid w:val="00397A1A"/>
    <w:rsid w:val="00397A97"/>
    <w:rsid w:val="00397B4A"/>
    <w:rsid w:val="003A12F0"/>
    <w:rsid w:val="003A1920"/>
    <w:rsid w:val="003A1DAA"/>
    <w:rsid w:val="003A4335"/>
    <w:rsid w:val="003A5260"/>
    <w:rsid w:val="003A5FDD"/>
    <w:rsid w:val="003A621B"/>
    <w:rsid w:val="003A73FE"/>
    <w:rsid w:val="003A7513"/>
    <w:rsid w:val="003A7D27"/>
    <w:rsid w:val="003B169C"/>
    <w:rsid w:val="003B173A"/>
    <w:rsid w:val="003B19C0"/>
    <w:rsid w:val="003B1AA0"/>
    <w:rsid w:val="003B3A57"/>
    <w:rsid w:val="003B74D4"/>
    <w:rsid w:val="003B7565"/>
    <w:rsid w:val="003C1657"/>
    <w:rsid w:val="003C1EC9"/>
    <w:rsid w:val="003C1F4A"/>
    <w:rsid w:val="003C3300"/>
    <w:rsid w:val="003C348A"/>
    <w:rsid w:val="003D0658"/>
    <w:rsid w:val="003D0691"/>
    <w:rsid w:val="003D07C5"/>
    <w:rsid w:val="003D1596"/>
    <w:rsid w:val="003D1A6C"/>
    <w:rsid w:val="003D2322"/>
    <w:rsid w:val="003D3216"/>
    <w:rsid w:val="003D34F5"/>
    <w:rsid w:val="003D3FFF"/>
    <w:rsid w:val="003D5D82"/>
    <w:rsid w:val="003D6121"/>
    <w:rsid w:val="003D645B"/>
    <w:rsid w:val="003D6FF3"/>
    <w:rsid w:val="003D7D74"/>
    <w:rsid w:val="003E093B"/>
    <w:rsid w:val="003E17B5"/>
    <w:rsid w:val="003E1B4D"/>
    <w:rsid w:val="003E1F41"/>
    <w:rsid w:val="003E39E4"/>
    <w:rsid w:val="003E3A55"/>
    <w:rsid w:val="003E3B7D"/>
    <w:rsid w:val="003E4775"/>
    <w:rsid w:val="003E692C"/>
    <w:rsid w:val="003E6B87"/>
    <w:rsid w:val="003E6DC5"/>
    <w:rsid w:val="003F105D"/>
    <w:rsid w:val="003F228B"/>
    <w:rsid w:val="003F32AD"/>
    <w:rsid w:val="003F39F0"/>
    <w:rsid w:val="003F6062"/>
    <w:rsid w:val="003F7AC6"/>
    <w:rsid w:val="004013C7"/>
    <w:rsid w:val="00402D2C"/>
    <w:rsid w:val="00404D45"/>
    <w:rsid w:val="00404D9F"/>
    <w:rsid w:val="0040598E"/>
    <w:rsid w:val="00406830"/>
    <w:rsid w:val="004071A2"/>
    <w:rsid w:val="0040722F"/>
    <w:rsid w:val="00407AF4"/>
    <w:rsid w:val="004108A1"/>
    <w:rsid w:val="004109FE"/>
    <w:rsid w:val="00410BE1"/>
    <w:rsid w:val="00411350"/>
    <w:rsid w:val="00411536"/>
    <w:rsid w:val="00411A57"/>
    <w:rsid w:val="004121F7"/>
    <w:rsid w:val="004123A4"/>
    <w:rsid w:val="0041283C"/>
    <w:rsid w:val="00415B73"/>
    <w:rsid w:val="00416878"/>
    <w:rsid w:val="004169FD"/>
    <w:rsid w:val="00417FA2"/>
    <w:rsid w:val="0042113F"/>
    <w:rsid w:val="0042139B"/>
    <w:rsid w:val="00421A3A"/>
    <w:rsid w:val="004235A2"/>
    <w:rsid w:val="00423AD9"/>
    <w:rsid w:val="00423EDE"/>
    <w:rsid w:val="004243DA"/>
    <w:rsid w:val="0042568C"/>
    <w:rsid w:val="00425FA6"/>
    <w:rsid w:val="004266B4"/>
    <w:rsid w:val="004269D4"/>
    <w:rsid w:val="00426E25"/>
    <w:rsid w:val="004271FC"/>
    <w:rsid w:val="00430714"/>
    <w:rsid w:val="00431C90"/>
    <w:rsid w:val="00432442"/>
    <w:rsid w:val="0043247C"/>
    <w:rsid w:val="00432591"/>
    <w:rsid w:val="00432CD1"/>
    <w:rsid w:val="004340F8"/>
    <w:rsid w:val="00435287"/>
    <w:rsid w:val="00436FA4"/>
    <w:rsid w:val="0043709C"/>
    <w:rsid w:val="004404C3"/>
    <w:rsid w:val="00440EBD"/>
    <w:rsid w:val="00441C76"/>
    <w:rsid w:val="004456B9"/>
    <w:rsid w:val="004470F6"/>
    <w:rsid w:val="004472FE"/>
    <w:rsid w:val="00452E5D"/>
    <w:rsid w:val="004543EE"/>
    <w:rsid w:val="00454837"/>
    <w:rsid w:val="0045545C"/>
    <w:rsid w:val="004562D3"/>
    <w:rsid w:val="00456708"/>
    <w:rsid w:val="00456AAE"/>
    <w:rsid w:val="00460202"/>
    <w:rsid w:val="00460D21"/>
    <w:rsid w:val="0046262A"/>
    <w:rsid w:val="00462CF6"/>
    <w:rsid w:val="00462F49"/>
    <w:rsid w:val="0046342B"/>
    <w:rsid w:val="00464462"/>
    <w:rsid w:val="004668BE"/>
    <w:rsid w:val="00466969"/>
    <w:rsid w:val="00466DF1"/>
    <w:rsid w:val="00466F60"/>
    <w:rsid w:val="00467437"/>
    <w:rsid w:val="00467DE6"/>
    <w:rsid w:val="00470183"/>
    <w:rsid w:val="004702FA"/>
    <w:rsid w:val="0047067D"/>
    <w:rsid w:val="0047196C"/>
    <w:rsid w:val="00471F99"/>
    <w:rsid w:val="00473353"/>
    <w:rsid w:val="00473925"/>
    <w:rsid w:val="004743F2"/>
    <w:rsid w:val="0047480C"/>
    <w:rsid w:val="00476499"/>
    <w:rsid w:val="004770F5"/>
    <w:rsid w:val="004771C2"/>
    <w:rsid w:val="004779B4"/>
    <w:rsid w:val="00482273"/>
    <w:rsid w:val="004827F9"/>
    <w:rsid w:val="00484AE6"/>
    <w:rsid w:val="004858CE"/>
    <w:rsid w:val="0048720F"/>
    <w:rsid w:val="00487311"/>
    <w:rsid w:val="0049009C"/>
    <w:rsid w:val="0049062C"/>
    <w:rsid w:val="004909EE"/>
    <w:rsid w:val="00492968"/>
    <w:rsid w:val="00492D1D"/>
    <w:rsid w:val="00493259"/>
    <w:rsid w:val="00493982"/>
    <w:rsid w:val="0049540B"/>
    <w:rsid w:val="00495BA9"/>
    <w:rsid w:val="004A24E8"/>
    <w:rsid w:val="004A2820"/>
    <w:rsid w:val="004A3E3D"/>
    <w:rsid w:val="004A4689"/>
    <w:rsid w:val="004A4B5D"/>
    <w:rsid w:val="004A68C2"/>
    <w:rsid w:val="004B0D54"/>
    <w:rsid w:val="004B5A45"/>
    <w:rsid w:val="004B600E"/>
    <w:rsid w:val="004B768C"/>
    <w:rsid w:val="004B795B"/>
    <w:rsid w:val="004C15CB"/>
    <w:rsid w:val="004C2216"/>
    <w:rsid w:val="004C24B0"/>
    <w:rsid w:val="004C3CCE"/>
    <w:rsid w:val="004C3EC1"/>
    <w:rsid w:val="004C433E"/>
    <w:rsid w:val="004C517F"/>
    <w:rsid w:val="004C5A8B"/>
    <w:rsid w:val="004C69F0"/>
    <w:rsid w:val="004D15E3"/>
    <w:rsid w:val="004D17A3"/>
    <w:rsid w:val="004D17DF"/>
    <w:rsid w:val="004D1A1A"/>
    <w:rsid w:val="004D2011"/>
    <w:rsid w:val="004D29E2"/>
    <w:rsid w:val="004D2EAF"/>
    <w:rsid w:val="004D2F3A"/>
    <w:rsid w:val="004D3BE8"/>
    <w:rsid w:val="004D4E02"/>
    <w:rsid w:val="004D4E4B"/>
    <w:rsid w:val="004D4FB1"/>
    <w:rsid w:val="004D536B"/>
    <w:rsid w:val="004D639C"/>
    <w:rsid w:val="004E122A"/>
    <w:rsid w:val="004E2A84"/>
    <w:rsid w:val="004E32BC"/>
    <w:rsid w:val="004E3AE6"/>
    <w:rsid w:val="004E4E47"/>
    <w:rsid w:val="004E4F36"/>
    <w:rsid w:val="004E51EA"/>
    <w:rsid w:val="004E57E6"/>
    <w:rsid w:val="004E65A5"/>
    <w:rsid w:val="004E6A36"/>
    <w:rsid w:val="004E6BB9"/>
    <w:rsid w:val="004F19F2"/>
    <w:rsid w:val="004F1BEF"/>
    <w:rsid w:val="004F2E8B"/>
    <w:rsid w:val="004F3E6B"/>
    <w:rsid w:val="004F5B01"/>
    <w:rsid w:val="004F5C05"/>
    <w:rsid w:val="0050060A"/>
    <w:rsid w:val="00501D87"/>
    <w:rsid w:val="00504C41"/>
    <w:rsid w:val="00505044"/>
    <w:rsid w:val="00505554"/>
    <w:rsid w:val="005067DC"/>
    <w:rsid w:val="00507896"/>
    <w:rsid w:val="005119E4"/>
    <w:rsid w:val="00511C7D"/>
    <w:rsid w:val="00511CEA"/>
    <w:rsid w:val="00511D87"/>
    <w:rsid w:val="00511DC8"/>
    <w:rsid w:val="00512408"/>
    <w:rsid w:val="00514CDF"/>
    <w:rsid w:val="00516243"/>
    <w:rsid w:val="00516550"/>
    <w:rsid w:val="00516D93"/>
    <w:rsid w:val="005173A1"/>
    <w:rsid w:val="00517811"/>
    <w:rsid w:val="00521ADC"/>
    <w:rsid w:val="00521B7E"/>
    <w:rsid w:val="00524404"/>
    <w:rsid w:val="0052495C"/>
    <w:rsid w:val="00524E1E"/>
    <w:rsid w:val="005261BE"/>
    <w:rsid w:val="0052680A"/>
    <w:rsid w:val="005315D1"/>
    <w:rsid w:val="00532DB5"/>
    <w:rsid w:val="0053440B"/>
    <w:rsid w:val="005349B4"/>
    <w:rsid w:val="00534AEE"/>
    <w:rsid w:val="00535720"/>
    <w:rsid w:val="00535CBA"/>
    <w:rsid w:val="00535FE5"/>
    <w:rsid w:val="00536631"/>
    <w:rsid w:val="00536657"/>
    <w:rsid w:val="0053765C"/>
    <w:rsid w:val="00543856"/>
    <w:rsid w:val="00543DA1"/>
    <w:rsid w:val="00543E95"/>
    <w:rsid w:val="00546DF4"/>
    <w:rsid w:val="00547C67"/>
    <w:rsid w:val="005500E8"/>
    <w:rsid w:val="0055037D"/>
    <w:rsid w:val="00550971"/>
    <w:rsid w:val="005524BE"/>
    <w:rsid w:val="00552623"/>
    <w:rsid w:val="005532B6"/>
    <w:rsid w:val="005542F7"/>
    <w:rsid w:val="00554741"/>
    <w:rsid w:val="00554D84"/>
    <w:rsid w:val="00555BFD"/>
    <w:rsid w:val="0055668A"/>
    <w:rsid w:val="00556B86"/>
    <w:rsid w:val="00564066"/>
    <w:rsid w:val="0056478A"/>
    <w:rsid w:val="0056525C"/>
    <w:rsid w:val="00566E7F"/>
    <w:rsid w:val="00567735"/>
    <w:rsid w:val="00570929"/>
    <w:rsid w:val="005709F1"/>
    <w:rsid w:val="005719EE"/>
    <w:rsid w:val="00571CA8"/>
    <w:rsid w:val="00572982"/>
    <w:rsid w:val="00572ECE"/>
    <w:rsid w:val="00573225"/>
    <w:rsid w:val="0057359E"/>
    <w:rsid w:val="0057530C"/>
    <w:rsid w:val="005763FA"/>
    <w:rsid w:val="005767DD"/>
    <w:rsid w:val="00576AC8"/>
    <w:rsid w:val="00576FA3"/>
    <w:rsid w:val="00577273"/>
    <w:rsid w:val="0057742C"/>
    <w:rsid w:val="00577B4E"/>
    <w:rsid w:val="005821D5"/>
    <w:rsid w:val="005826FD"/>
    <w:rsid w:val="005842FB"/>
    <w:rsid w:val="00585213"/>
    <w:rsid w:val="005853DA"/>
    <w:rsid w:val="00585777"/>
    <w:rsid w:val="00585AD4"/>
    <w:rsid w:val="00586B33"/>
    <w:rsid w:val="00586F22"/>
    <w:rsid w:val="005908F1"/>
    <w:rsid w:val="005935EE"/>
    <w:rsid w:val="00593668"/>
    <w:rsid w:val="00593679"/>
    <w:rsid w:val="0059432A"/>
    <w:rsid w:val="0059470C"/>
    <w:rsid w:val="0059518D"/>
    <w:rsid w:val="0059676A"/>
    <w:rsid w:val="00596A24"/>
    <w:rsid w:val="00596A83"/>
    <w:rsid w:val="005971BA"/>
    <w:rsid w:val="00597F5E"/>
    <w:rsid w:val="005A0B6C"/>
    <w:rsid w:val="005A188C"/>
    <w:rsid w:val="005A4AE2"/>
    <w:rsid w:val="005A6606"/>
    <w:rsid w:val="005A6D19"/>
    <w:rsid w:val="005A6FAD"/>
    <w:rsid w:val="005A7B76"/>
    <w:rsid w:val="005B0508"/>
    <w:rsid w:val="005B0595"/>
    <w:rsid w:val="005B09D2"/>
    <w:rsid w:val="005B16F4"/>
    <w:rsid w:val="005B22B4"/>
    <w:rsid w:val="005B341E"/>
    <w:rsid w:val="005B3E0A"/>
    <w:rsid w:val="005B3ECC"/>
    <w:rsid w:val="005B3F02"/>
    <w:rsid w:val="005B4106"/>
    <w:rsid w:val="005B4AF2"/>
    <w:rsid w:val="005B4F55"/>
    <w:rsid w:val="005B6686"/>
    <w:rsid w:val="005B6E6D"/>
    <w:rsid w:val="005C1772"/>
    <w:rsid w:val="005C1CD6"/>
    <w:rsid w:val="005C2405"/>
    <w:rsid w:val="005C28F1"/>
    <w:rsid w:val="005C3474"/>
    <w:rsid w:val="005C4B84"/>
    <w:rsid w:val="005C537F"/>
    <w:rsid w:val="005C53C8"/>
    <w:rsid w:val="005C6421"/>
    <w:rsid w:val="005C6E2E"/>
    <w:rsid w:val="005D242B"/>
    <w:rsid w:val="005D2952"/>
    <w:rsid w:val="005D47B5"/>
    <w:rsid w:val="005D6228"/>
    <w:rsid w:val="005D6327"/>
    <w:rsid w:val="005D664D"/>
    <w:rsid w:val="005D7A8E"/>
    <w:rsid w:val="005D7B0A"/>
    <w:rsid w:val="005D7B33"/>
    <w:rsid w:val="005E2758"/>
    <w:rsid w:val="005E2D5D"/>
    <w:rsid w:val="005E32BB"/>
    <w:rsid w:val="005E50F9"/>
    <w:rsid w:val="005E59C0"/>
    <w:rsid w:val="005E70FA"/>
    <w:rsid w:val="005F0201"/>
    <w:rsid w:val="005F192F"/>
    <w:rsid w:val="005F4B82"/>
    <w:rsid w:val="005F6E83"/>
    <w:rsid w:val="005F77BE"/>
    <w:rsid w:val="005F7891"/>
    <w:rsid w:val="005F7FC9"/>
    <w:rsid w:val="00600378"/>
    <w:rsid w:val="006007BD"/>
    <w:rsid w:val="00603F8E"/>
    <w:rsid w:val="006052A6"/>
    <w:rsid w:val="00605A33"/>
    <w:rsid w:val="00606338"/>
    <w:rsid w:val="00607C4D"/>
    <w:rsid w:val="00610987"/>
    <w:rsid w:val="006116C6"/>
    <w:rsid w:val="00613366"/>
    <w:rsid w:val="00613D1C"/>
    <w:rsid w:val="006141BB"/>
    <w:rsid w:val="006141FA"/>
    <w:rsid w:val="00614588"/>
    <w:rsid w:val="00614849"/>
    <w:rsid w:val="00615848"/>
    <w:rsid w:val="0061592F"/>
    <w:rsid w:val="006163A1"/>
    <w:rsid w:val="00616E8C"/>
    <w:rsid w:val="0061704D"/>
    <w:rsid w:val="0061730C"/>
    <w:rsid w:val="00617D2F"/>
    <w:rsid w:val="0062159B"/>
    <w:rsid w:val="0062172E"/>
    <w:rsid w:val="0062185E"/>
    <w:rsid w:val="00622603"/>
    <w:rsid w:val="0062268E"/>
    <w:rsid w:val="00623843"/>
    <w:rsid w:val="00623ECD"/>
    <w:rsid w:val="00624553"/>
    <w:rsid w:val="00624F66"/>
    <w:rsid w:val="006269B2"/>
    <w:rsid w:val="00626EB3"/>
    <w:rsid w:val="0062718A"/>
    <w:rsid w:val="006304A3"/>
    <w:rsid w:val="006305D9"/>
    <w:rsid w:val="00632439"/>
    <w:rsid w:val="006336FD"/>
    <w:rsid w:val="006340A7"/>
    <w:rsid w:val="006357DE"/>
    <w:rsid w:val="006367EB"/>
    <w:rsid w:val="00637152"/>
    <w:rsid w:val="00637B15"/>
    <w:rsid w:val="006425B3"/>
    <w:rsid w:val="0064276B"/>
    <w:rsid w:val="006429B4"/>
    <w:rsid w:val="00642BB9"/>
    <w:rsid w:val="0064363E"/>
    <w:rsid w:val="00643D21"/>
    <w:rsid w:val="00643EDD"/>
    <w:rsid w:val="00644C97"/>
    <w:rsid w:val="0065515C"/>
    <w:rsid w:val="006560DE"/>
    <w:rsid w:val="006565B5"/>
    <w:rsid w:val="006568AE"/>
    <w:rsid w:val="0065783F"/>
    <w:rsid w:val="00661DB8"/>
    <w:rsid w:val="00661EF8"/>
    <w:rsid w:val="00662944"/>
    <w:rsid w:val="00663BE8"/>
    <w:rsid w:val="00663E9E"/>
    <w:rsid w:val="00665420"/>
    <w:rsid w:val="00667513"/>
    <w:rsid w:val="00667A87"/>
    <w:rsid w:val="00670B15"/>
    <w:rsid w:val="0067101A"/>
    <w:rsid w:val="00671237"/>
    <w:rsid w:val="006753A8"/>
    <w:rsid w:val="00675C78"/>
    <w:rsid w:val="006811A5"/>
    <w:rsid w:val="006812F0"/>
    <w:rsid w:val="00681317"/>
    <w:rsid w:val="00681609"/>
    <w:rsid w:val="006818EB"/>
    <w:rsid w:val="00681E07"/>
    <w:rsid w:val="00682819"/>
    <w:rsid w:val="00685A21"/>
    <w:rsid w:val="00686011"/>
    <w:rsid w:val="00686749"/>
    <w:rsid w:val="00687875"/>
    <w:rsid w:val="00687AF2"/>
    <w:rsid w:val="00687ED5"/>
    <w:rsid w:val="00690E35"/>
    <w:rsid w:val="006914F4"/>
    <w:rsid w:val="00693EEB"/>
    <w:rsid w:val="006A03F9"/>
    <w:rsid w:val="006A18FB"/>
    <w:rsid w:val="006A346A"/>
    <w:rsid w:val="006A3D7D"/>
    <w:rsid w:val="006A425F"/>
    <w:rsid w:val="006A48B4"/>
    <w:rsid w:val="006A6A6B"/>
    <w:rsid w:val="006A6B08"/>
    <w:rsid w:val="006A6DB4"/>
    <w:rsid w:val="006A75F7"/>
    <w:rsid w:val="006A7CE0"/>
    <w:rsid w:val="006A7F47"/>
    <w:rsid w:val="006B0B5B"/>
    <w:rsid w:val="006B0CCA"/>
    <w:rsid w:val="006B25B1"/>
    <w:rsid w:val="006B47E8"/>
    <w:rsid w:val="006B5B0E"/>
    <w:rsid w:val="006B6028"/>
    <w:rsid w:val="006B6B78"/>
    <w:rsid w:val="006C0A9E"/>
    <w:rsid w:val="006C0E35"/>
    <w:rsid w:val="006C133E"/>
    <w:rsid w:val="006C1C9D"/>
    <w:rsid w:val="006C2A4E"/>
    <w:rsid w:val="006C2B2A"/>
    <w:rsid w:val="006C42B5"/>
    <w:rsid w:val="006C491F"/>
    <w:rsid w:val="006C55A5"/>
    <w:rsid w:val="006C6928"/>
    <w:rsid w:val="006C7A5C"/>
    <w:rsid w:val="006C7CA8"/>
    <w:rsid w:val="006D12A5"/>
    <w:rsid w:val="006D1657"/>
    <w:rsid w:val="006D1F36"/>
    <w:rsid w:val="006D4ABE"/>
    <w:rsid w:val="006D4B68"/>
    <w:rsid w:val="006D5B25"/>
    <w:rsid w:val="006D5F74"/>
    <w:rsid w:val="006D6B03"/>
    <w:rsid w:val="006D71BF"/>
    <w:rsid w:val="006D7612"/>
    <w:rsid w:val="006D7EB0"/>
    <w:rsid w:val="006E2234"/>
    <w:rsid w:val="006E3A3B"/>
    <w:rsid w:val="006E4792"/>
    <w:rsid w:val="006E4969"/>
    <w:rsid w:val="006E4E32"/>
    <w:rsid w:val="006E5A97"/>
    <w:rsid w:val="006E6D43"/>
    <w:rsid w:val="006E76AE"/>
    <w:rsid w:val="006F0B65"/>
    <w:rsid w:val="006F0EDC"/>
    <w:rsid w:val="006F160B"/>
    <w:rsid w:val="006F174A"/>
    <w:rsid w:val="006F3205"/>
    <w:rsid w:val="006F3221"/>
    <w:rsid w:val="006F4C07"/>
    <w:rsid w:val="006F4E96"/>
    <w:rsid w:val="006F60E0"/>
    <w:rsid w:val="006F628C"/>
    <w:rsid w:val="006F6F26"/>
    <w:rsid w:val="0070022A"/>
    <w:rsid w:val="0070054E"/>
    <w:rsid w:val="0070141E"/>
    <w:rsid w:val="00703094"/>
    <w:rsid w:val="00704A3A"/>
    <w:rsid w:val="007050D1"/>
    <w:rsid w:val="00705594"/>
    <w:rsid w:val="007063DD"/>
    <w:rsid w:val="00706613"/>
    <w:rsid w:val="00706B82"/>
    <w:rsid w:val="00706C88"/>
    <w:rsid w:val="0070784B"/>
    <w:rsid w:val="00707D97"/>
    <w:rsid w:val="00712802"/>
    <w:rsid w:val="00712968"/>
    <w:rsid w:val="007133EB"/>
    <w:rsid w:val="00714462"/>
    <w:rsid w:val="0071492E"/>
    <w:rsid w:val="007166C5"/>
    <w:rsid w:val="0071743B"/>
    <w:rsid w:val="00717E72"/>
    <w:rsid w:val="0072161A"/>
    <w:rsid w:val="00721657"/>
    <w:rsid w:val="00722514"/>
    <w:rsid w:val="00722B87"/>
    <w:rsid w:val="00722C01"/>
    <w:rsid w:val="00725850"/>
    <w:rsid w:val="00726E86"/>
    <w:rsid w:val="0072726A"/>
    <w:rsid w:val="00730616"/>
    <w:rsid w:val="007332EF"/>
    <w:rsid w:val="00736C3D"/>
    <w:rsid w:val="00737CE1"/>
    <w:rsid w:val="00740655"/>
    <w:rsid w:val="00740A7C"/>
    <w:rsid w:val="007411E5"/>
    <w:rsid w:val="00743D70"/>
    <w:rsid w:val="007448D4"/>
    <w:rsid w:val="007449BA"/>
    <w:rsid w:val="00744C5B"/>
    <w:rsid w:val="00745110"/>
    <w:rsid w:val="007475D7"/>
    <w:rsid w:val="0075175E"/>
    <w:rsid w:val="00752144"/>
    <w:rsid w:val="007525FE"/>
    <w:rsid w:val="00752EC8"/>
    <w:rsid w:val="00753EBC"/>
    <w:rsid w:val="00754400"/>
    <w:rsid w:val="00754618"/>
    <w:rsid w:val="00754A2A"/>
    <w:rsid w:val="00754CEC"/>
    <w:rsid w:val="007552C8"/>
    <w:rsid w:val="0075533B"/>
    <w:rsid w:val="00756A10"/>
    <w:rsid w:val="00756B3D"/>
    <w:rsid w:val="007571FE"/>
    <w:rsid w:val="00757242"/>
    <w:rsid w:val="00757F7B"/>
    <w:rsid w:val="00760251"/>
    <w:rsid w:val="00761332"/>
    <w:rsid w:val="00762914"/>
    <w:rsid w:val="00762A97"/>
    <w:rsid w:val="0076385B"/>
    <w:rsid w:val="00763C1E"/>
    <w:rsid w:val="00764056"/>
    <w:rsid w:val="0076440E"/>
    <w:rsid w:val="00764584"/>
    <w:rsid w:val="00764A50"/>
    <w:rsid w:val="00765D57"/>
    <w:rsid w:val="00765E35"/>
    <w:rsid w:val="00766037"/>
    <w:rsid w:val="00766EDB"/>
    <w:rsid w:val="00767152"/>
    <w:rsid w:val="007715EC"/>
    <w:rsid w:val="00771EC9"/>
    <w:rsid w:val="007721AD"/>
    <w:rsid w:val="007733DB"/>
    <w:rsid w:val="00773595"/>
    <w:rsid w:val="007735AE"/>
    <w:rsid w:val="007738F5"/>
    <w:rsid w:val="00773BB8"/>
    <w:rsid w:val="00774C7A"/>
    <w:rsid w:val="00775A2D"/>
    <w:rsid w:val="007767B3"/>
    <w:rsid w:val="00776CD6"/>
    <w:rsid w:val="00776FCF"/>
    <w:rsid w:val="00777913"/>
    <w:rsid w:val="00780568"/>
    <w:rsid w:val="00781528"/>
    <w:rsid w:val="00781C2C"/>
    <w:rsid w:val="00782030"/>
    <w:rsid w:val="0078239D"/>
    <w:rsid w:val="00782C8C"/>
    <w:rsid w:val="00783905"/>
    <w:rsid w:val="00784D74"/>
    <w:rsid w:val="00785DD4"/>
    <w:rsid w:val="007861FD"/>
    <w:rsid w:val="00786203"/>
    <w:rsid w:val="00786FDE"/>
    <w:rsid w:val="007870AD"/>
    <w:rsid w:val="007875FC"/>
    <w:rsid w:val="00790246"/>
    <w:rsid w:val="007908A7"/>
    <w:rsid w:val="00790C7D"/>
    <w:rsid w:val="007925EF"/>
    <w:rsid w:val="00793AF2"/>
    <w:rsid w:val="00797677"/>
    <w:rsid w:val="007A0138"/>
    <w:rsid w:val="007A14EA"/>
    <w:rsid w:val="007A151C"/>
    <w:rsid w:val="007A1870"/>
    <w:rsid w:val="007A310B"/>
    <w:rsid w:val="007A5044"/>
    <w:rsid w:val="007A69C7"/>
    <w:rsid w:val="007A6DEE"/>
    <w:rsid w:val="007A71A8"/>
    <w:rsid w:val="007A752A"/>
    <w:rsid w:val="007A76B9"/>
    <w:rsid w:val="007A7B78"/>
    <w:rsid w:val="007B0E10"/>
    <w:rsid w:val="007B3213"/>
    <w:rsid w:val="007B3CE1"/>
    <w:rsid w:val="007B4397"/>
    <w:rsid w:val="007B4C82"/>
    <w:rsid w:val="007B4F73"/>
    <w:rsid w:val="007B56EB"/>
    <w:rsid w:val="007B6FCA"/>
    <w:rsid w:val="007B7209"/>
    <w:rsid w:val="007C0A29"/>
    <w:rsid w:val="007C0C29"/>
    <w:rsid w:val="007C12C8"/>
    <w:rsid w:val="007C1475"/>
    <w:rsid w:val="007C19B2"/>
    <w:rsid w:val="007C2463"/>
    <w:rsid w:val="007C2612"/>
    <w:rsid w:val="007C2B62"/>
    <w:rsid w:val="007C37DA"/>
    <w:rsid w:val="007C483B"/>
    <w:rsid w:val="007C54C5"/>
    <w:rsid w:val="007C5AF2"/>
    <w:rsid w:val="007C5F81"/>
    <w:rsid w:val="007C672B"/>
    <w:rsid w:val="007C6EB8"/>
    <w:rsid w:val="007D033D"/>
    <w:rsid w:val="007D155D"/>
    <w:rsid w:val="007D1EDB"/>
    <w:rsid w:val="007D2807"/>
    <w:rsid w:val="007D33ED"/>
    <w:rsid w:val="007D47F0"/>
    <w:rsid w:val="007D503F"/>
    <w:rsid w:val="007D5776"/>
    <w:rsid w:val="007D743C"/>
    <w:rsid w:val="007E02C0"/>
    <w:rsid w:val="007E2376"/>
    <w:rsid w:val="007E367C"/>
    <w:rsid w:val="007E44F2"/>
    <w:rsid w:val="007E5B90"/>
    <w:rsid w:val="007E76D1"/>
    <w:rsid w:val="007F3637"/>
    <w:rsid w:val="007F4514"/>
    <w:rsid w:val="007F530C"/>
    <w:rsid w:val="007F5421"/>
    <w:rsid w:val="0080073B"/>
    <w:rsid w:val="0080214F"/>
    <w:rsid w:val="00804502"/>
    <w:rsid w:val="00805BBC"/>
    <w:rsid w:val="0080634D"/>
    <w:rsid w:val="00807006"/>
    <w:rsid w:val="00807696"/>
    <w:rsid w:val="00807F0C"/>
    <w:rsid w:val="00807F3E"/>
    <w:rsid w:val="00810386"/>
    <w:rsid w:val="00810C27"/>
    <w:rsid w:val="00813A41"/>
    <w:rsid w:val="00814EAC"/>
    <w:rsid w:val="008156FF"/>
    <w:rsid w:val="0081680F"/>
    <w:rsid w:val="00816EBC"/>
    <w:rsid w:val="008171E6"/>
    <w:rsid w:val="00820215"/>
    <w:rsid w:val="00821310"/>
    <w:rsid w:val="008217A5"/>
    <w:rsid w:val="00821F10"/>
    <w:rsid w:val="0082218C"/>
    <w:rsid w:val="0082224A"/>
    <w:rsid w:val="00822815"/>
    <w:rsid w:val="00827783"/>
    <w:rsid w:val="00827E83"/>
    <w:rsid w:val="00827EA2"/>
    <w:rsid w:val="00830426"/>
    <w:rsid w:val="00831EFF"/>
    <w:rsid w:val="00832FEA"/>
    <w:rsid w:val="008336AB"/>
    <w:rsid w:val="008348EC"/>
    <w:rsid w:val="008358B2"/>
    <w:rsid w:val="008358B3"/>
    <w:rsid w:val="008400E8"/>
    <w:rsid w:val="008405A7"/>
    <w:rsid w:val="0084062E"/>
    <w:rsid w:val="008425AD"/>
    <w:rsid w:val="00842E21"/>
    <w:rsid w:val="0084355E"/>
    <w:rsid w:val="0084369F"/>
    <w:rsid w:val="00843F3E"/>
    <w:rsid w:val="0084547C"/>
    <w:rsid w:val="00845C9E"/>
    <w:rsid w:val="00846F62"/>
    <w:rsid w:val="00846F70"/>
    <w:rsid w:val="0084718A"/>
    <w:rsid w:val="00850234"/>
    <w:rsid w:val="00850FAE"/>
    <w:rsid w:val="0085115D"/>
    <w:rsid w:val="008512C7"/>
    <w:rsid w:val="00851574"/>
    <w:rsid w:val="008522A9"/>
    <w:rsid w:val="008527AE"/>
    <w:rsid w:val="0085386B"/>
    <w:rsid w:val="00854D74"/>
    <w:rsid w:val="00855C7B"/>
    <w:rsid w:val="00855D0D"/>
    <w:rsid w:val="00855D54"/>
    <w:rsid w:val="008576D9"/>
    <w:rsid w:val="008603C1"/>
    <w:rsid w:val="008609C4"/>
    <w:rsid w:val="00860C19"/>
    <w:rsid w:val="0086129F"/>
    <w:rsid w:val="00861408"/>
    <w:rsid w:val="00862A19"/>
    <w:rsid w:val="00863149"/>
    <w:rsid w:val="00863D78"/>
    <w:rsid w:val="00864817"/>
    <w:rsid w:val="00865071"/>
    <w:rsid w:val="00865BAD"/>
    <w:rsid w:val="008667E7"/>
    <w:rsid w:val="00867179"/>
    <w:rsid w:val="008671B0"/>
    <w:rsid w:val="00870526"/>
    <w:rsid w:val="00870AFB"/>
    <w:rsid w:val="0087113E"/>
    <w:rsid w:val="00872329"/>
    <w:rsid w:val="00872AAB"/>
    <w:rsid w:val="00872DE9"/>
    <w:rsid w:val="00872ECB"/>
    <w:rsid w:val="00874CAA"/>
    <w:rsid w:val="008768F0"/>
    <w:rsid w:val="00880204"/>
    <w:rsid w:val="0088039F"/>
    <w:rsid w:val="00881251"/>
    <w:rsid w:val="00884EA3"/>
    <w:rsid w:val="008878BC"/>
    <w:rsid w:val="008879AD"/>
    <w:rsid w:val="00887F71"/>
    <w:rsid w:val="00890AD0"/>
    <w:rsid w:val="008911CD"/>
    <w:rsid w:val="00894FEB"/>
    <w:rsid w:val="00895DF3"/>
    <w:rsid w:val="008967A8"/>
    <w:rsid w:val="008A01B0"/>
    <w:rsid w:val="008A0B8C"/>
    <w:rsid w:val="008A27E9"/>
    <w:rsid w:val="008A52A6"/>
    <w:rsid w:val="008A5A1B"/>
    <w:rsid w:val="008A7384"/>
    <w:rsid w:val="008A76A8"/>
    <w:rsid w:val="008A7C3F"/>
    <w:rsid w:val="008A7D27"/>
    <w:rsid w:val="008B0012"/>
    <w:rsid w:val="008B0D78"/>
    <w:rsid w:val="008B32E4"/>
    <w:rsid w:val="008B4F80"/>
    <w:rsid w:val="008B590D"/>
    <w:rsid w:val="008B5F28"/>
    <w:rsid w:val="008B764F"/>
    <w:rsid w:val="008B7A2F"/>
    <w:rsid w:val="008C09BD"/>
    <w:rsid w:val="008C0D52"/>
    <w:rsid w:val="008C0DDE"/>
    <w:rsid w:val="008C1090"/>
    <w:rsid w:val="008C18B1"/>
    <w:rsid w:val="008C1AED"/>
    <w:rsid w:val="008C27C5"/>
    <w:rsid w:val="008C3C3F"/>
    <w:rsid w:val="008C6541"/>
    <w:rsid w:val="008C7541"/>
    <w:rsid w:val="008C7E61"/>
    <w:rsid w:val="008D05B9"/>
    <w:rsid w:val="008D3108"/>
    <w:rsid w:val="008D3305"/>
    <w:rsid w:val="008D3542"/>
    <w:rsid w:val="008D361F"/>
    <w:rsid w:val="008D42DB"/>
    <w:rsid w:val="008D58FF"/>
    <w:rsid w:val="008D5ABB"/>
    <w:rsid w:val="008D6281"/>
    <w:rsid w:val="008D6EAC"/>
    <w:rsid w:val="008E0DF7"/>
    <w:rsid w:val="008E175C"/>
    <w:rsid w:val="008E2DE4"/>
    <w:rsid w:val="008E3EB9"/>
    <w:rsid w:val="008E522A"/>
    <w:rsid w:val="008E5820"/>
    <w:rsid w:val="008E590B"/>
    <w:rsid w:val="008E6310"/>
    <w:rsid w:val="008E6B25"/>
    <w:rsid w:val="008E71E1"/>
    <w:rsid w:val="008E72FD"/>
    <w:rsid w:val="008F037F"/>
    <w:rsid w:val="008F0617"/>
    <w:rsid w:val="008F07C3"/>
    <w:rsid w:val="008F1046"/>
    <w:rsid w:val="008F15FC"/>
    <w:rsid w:val="008F210B"/>
    <w:rsid w:val="008F31C9"/>
    <w:rsid w:val="008F5214"/>
    <w:rsid w:val="008F6B6C"/>
    <w:rsid w:val="008F7948"/>
    <w:rsid w:val="00900CCD"/>
    <w:rsid w:val="0090123F"/>
    <w:rsid w:val="00901E91"/>
    <w:rsid w:val="00903451"/>
    <w:rsid w:val="0090426F"/>
    <w:rsid w:val="009047F6"/>
    <w:rsid w:val="00904AAD"/>
    <w:rsid w:val="009053EC"/>
    <w:rsid w:val="0090547D"/>
    <w:rsid w:val="0090644B"/>
    <w:rsid w:val="00906C74"/>
    <w:rsid w:val="00906FCC"/>
    <w:rsid w:val="009075CB"/>
    <w:rsid w:val="00907956"/>
    <w:rsid w:val="009111BA"/>
    <w:rsid w:val="009122D4"/>
    <w:rsid w:val="00912928"/>
    <w:rsid w:val="009129FC"/>
    <w:rsid w:val="00912BA7"/>
    <w:rsid w:val="009153A3"/>
    <w:rsid w:val="009164DA"/>
    <w:rsid w:val="00920A5A"/>
    <w:rsid w:val="00920C36"/>
    <w:rsid w:val="00921569"/>
    <w:rsid w:val="00921585"/>
    <w:rsid w:val="00921D21"/>
    <w:rsid w:val="00922DE3"/>
    <w:rsid w:val="00923E83"/>
    <w:rsid w:val="00924ABE"/>
    <w:rsid w:val="00925860"/>
    <w:rsid w:val="009263AB"/>
    <w:rsid w:val="00927A90"/>
    <w:rsid w:val="00927CF9"/>
    <w:rsid w:val="0093020E"/>
    <w:rsid w:val="009302D6"/>
    <w:rsid w:val="00931581"/>
    <w:rsid w:val="0093221C"/>
    <w:rsid w:val="00932B6F"/>
    <w:rsid w:val="00934149"/>
    <w:rsid w:val="009344C1"/>
    <w:rsid w:val="00934735"/>
    <w:rsid w:val="00935E0B"/>
    <w:rsid w:val="00937CD0"/>
    <w:rsid w:val="00937E8C"/>
    <w:rsid w:val="0094049C"/>
    <w:rsid w:val="009407BF"/>
    <w:rsid w:val="009407EA"/>
    <w:rsid w:val="009410F6"/>
    <w:rsid w:val="00941B1C"/>
    <w:rsid w:val="00941DEC"/>
    <w:rsid w:val="0094289D"/>
    <w:rsid w:val="00942AFC"/>
    <w:rsid w:val="00943F94"/>
    <w:rsid w:val="009444E1"/>
    <w:rsid w:val="00944B46"/>
    <w:rsid w:val="00945E73"/>
    <w:rsid w:val="0094756A"/>
    <w:rsid w:val="00947DC3"/>
    <w:rsid w:val="00952835"/>
    <w:rsid w:val="00954D64"/>
    <w:rsid w:val="00955ADB"/>
    <w:rsid w:val="00955B3F"/>
    <w:rsid w:val="00955ED3"/>
    <w:rsid w:val="009569BB"/>
    <w:rsid w:val="00957A1E"/>
    <w:rsid w:val="00960022"/>
    <w:rsid w:val="00961675"/>
    <w:rsid w:val="009616A5"/>
    <w:rsid w:val="00961729"/>
    <w:rsid w:val="009627C3"/>
    <w:rsid w:val="009628C6"/>
    <w:rsid w:val="00963EB7"/>
    <w:rsid w:val="009642A5"/>
    <w:rsid w:val="009643B4"/>
    <w:rsid w:val="00964D5A"/>
    <w:rsid w:val="0096616C"/>
    <w:rsid w:val="00966AF1"/>
    <w:rsid w:val="0096769E"/>
    <w:rsid w:val="00967D17"/>
    <w:rsid w:val="00971578"/>
    <w:rsid w:val="00971D93"/>
    <w:rsid w:val="00974EFC"/>
    <w:rsid w:val="009768BD"/>
    <w:rsid w:val="00976B30"/>
    <w:rsid w:val="00980A0F"/>
    <w:rsid w:val="009812B2"/>
    <w:rsid w:val="009812D6"/>
    <w:rsid w:val="009814AC"/>
    <w:rsid w:val="00982208"/>
    <w:rsid w:val="009847A1"/>
    <w:rsid w:val="00985A7F"/>
    <w:rsid w:val="00985D34"/>
    <w:rsid w:val="00985EAB"/>
    <w:rsid w:val="00986828"/>
    <w:rsid w:val="00987073"/>
    <w:rsid w:val="0099066D"/>
    <w:rsid w:val="00990956"/>
    <w:rsid w:val="009914AD"/>
    <w:rsid w:val="0099239A"/>
    <w:rsid w:val="00993A7F"/>
    <w:rsid w:val="00996E47"/>
    <w:rsid w:val="00997A11"/>
    <w:rsid w:val="009A05C4"/>
    <w:rsid w:val="009A2332"/>
    <w:rsid w:val="009A24E6"/>
    <w:rsid w:val="009A65EF"/>
    <w:rsid w:val="009A7C53"/>
    <w:rsid w:val="009B0718"/>
    <w:rsid w:val="009B28EF"/>
    <w:rsid w:val="009B3830"/>
    <w:rsid w:val="009B39BB"/>
    <w:rsid w:val="009B3B8A"/>
    <w:rsid w:val="009B4596"/>
    <w:rsid w:val="009B4AC5"/>
    <w:rsid w:val="009B6418"/>
    <w:rsid w:val="009B7C68"/>
    <w:rsid w:val="009C1173"/>
    <w:rsid w:val="009C1604"/>
    <w:rsid w:val="009C25B0"/>
    <w:rsid w:val="009C2650"/>
    <w:rsid w:val="009C26D7"/>
    <w:rsid w:val="009C29BB"/>
    <w:rsid w:val="009C30BC"/>
    <w:rsid w:val="009C3175"/>
    <w:rsid w:val="009C453F"/>
    <w:rsid w:val="009C57A3"/>
    <w:rsid w:val="009C6EB2"/>
    <w:rsid w:val="009D0C40"/>
    <w:rsid w:val="009D14CF"/>
    <w:rsid w:val="009D2281"/>
    <w:rsid w:val="009D4B08"/>
    <w:rsid w:val="009D6246"/>
    <w:rsid w:val="009D6979"/>
    <w:rsid w:val="009D6CA3"/>
    <w:rsid w:val="009E0845"/>
    <w:rsid w:val="009E0887"/>
    <w:rsid w:val="009E3C11"/>
    <w:rsid w:val="009E3DA8"/>
    <w:rsid w:val="009E4751"/>
    <w:rsid w:val="009E4755"/>
    <w:rsid w:val="009E7368"/>
    <w:rsid w:val="009E7453"/>
    <w:rsid w:val="009E7A1A"/>
    <w:rsid w:val="009E7BE6"/>
    <w:rsid w:val="009F03F7"/>
    <w:rsid w:val="009F0F75"/>
    <w:rsid w:val="009F2A87"/>
    <w:rsid w:val="009F703E"/>
    <w:rsid w:val="00A0017F"/>
    <w:rsid w:val="00A011E5"/>
    <w:rsid w:val="00A01632"/>
    <w:rsid w:val="00A01A7A"/>
    <w:rsid w:val="00A01C1C"/>
    <w:rsid w:val="00A035D2"/>
    <w:rsid w:val="00A03C94"/>
    <w:rsid w:val="00A05024"/>
    <w:rsid w:val="00A05BCA"/>
    <w:rsid w:val="00A06425"/>
    <w:rsid w:val="00A073CE"/>
    <w:rsid w:val="00A075BE"/>
    <w:rsid w:val="00A07ECB"/>
    <w:rsid w:val="00A10FBE"/>
    <w:rsid w:val="00A11391"/>
    <w:rsid w:val="00A11B23"/>
    <w:rsid w:val="00A11D59"/>
    <w:rsid w:val="00A12119"/>
    <w:rsid w:val="00A124C2"/>
    <w:rsid w:val="00A12541"/>
    <w:rsid w:val="00A13557"/>
    <w:rsid w:val="00A14921"/>
    <w:rsid w:val="00A1572D"/>
    <w:rsid w:val="00A164F4"/>
    <w:rsid w:val="00A16800"/>
    <w:rsid w:val="00A16D30"/>
    <w:rsid w:val="00A16F72"/>
    <w:rsid w:val="00A204CC"/>
    <w:rsid w:val="00A2134E"/>
    <w:rsid w:val="00A22596"/>
    <w:rsid w:val="00A2307E"/>
    <w:rsid w:val="00A24C1E"/>
    <w:rsid w:val="00A24C76"/>
    <w:rsid w:val="00A25EA7"/>
    <w:rsid w:val="00A314B2"/>
    <w:rsid w:val="00A31FE4"/>
    <w:rsid w:val="00A33B09"/>
    <w:rsid w:val="00A35135"/>
    <w:rsid w:val="00A356E9"/>
    <w:rsid w:val="00A35A91"/>
    <w:rsid w:val="00A367D6"/>
    <w:rsid w:val="00A37248"/>
    <w:rsid w:val="00A404EA"/>
    <w:rsid w:val="00A41895"/>
    <w:rsid w:val="00A43A14"/>
    <w:rsid w:val="00A43A73"/>
    <w:rsid w:val="00A43AE0"/>
    <w:rsid w:val="00A44990"/>
    <w:rsid w:val="00A4539F"/>
    <w:rsid w:val="00A457F3"/>
    <w:rsid w:val="00A45D1D"/>
    <w:rsid w:val="00A465F2"/>
    <w:rsid w:val="00A46996"/>
    <w:rsid w:val="00A46CCD"/>
    <w:rsid w:val="00A479EF"/>
    <w:rsid w:val="00A47F04"/>
    <w:rsid w:val="00A50171"/>
    <w:rsid w:val="00A5023D"/>
    <w:rsid w:val="00A527A6"/>
    <w:rsid w:val="00A52CF8"/>
    <w:rsid w:val="00A5347C"/>
    <w:rsid w:val="00A53DFB"/>
    <w:rsid w:val="00A549B2"/>
    <w:rsid w:val="00A55FEC"/>
    <w:rsid w:val="00A568D6"/>
    <w:rsid w:val="00A56EE4"/>
    <w:rsid w:val="00A57BC4"/>
    <w:rsid w:val="00A6135C"/>
    <w:rsid w:val="00A6148B"/>
    <w:rsid w:val="00A618BA"/>
    <w:rsid w:val="00A61A99"/>
    <w:rsid w:val="00A63719"/>
    <w:rsid w:val="00A6399D"/>
    <w:rsid w:val="00A63B6A"/>
    <w:rsid w:val="00A65CFD"/>
    <w:rsid w:val="00A66A20"/>
    <w:rsid w:val="00A66F1E"/>
    <w:rsid w:val="00A70127"/>
    <w:rsid w:val="00A70C77"/>
    <w:rsid w:val="00A71EB5"/>
    <w:rsid w:val="00A7335F"/>
    <w:rsid w:val="00A738BE"/>
    <w:rsid w:val="00A73EE2"/>
    <w:rsid w:val="00A7529D"/>
    <w:rsid w:val="00A76590"/>
    <w:rsid w:val="00A769FA"/>
    <w:rsid w:val="00A77D5D"/>
    <w:rsid w:val="00A80861"/>
    <w:rsid w:val="00A8230D"/>
    <w:rsid w:val="00A82365"/>
    <w:rsid w:val="00A837A4"/>
    <w:rsid w:val="00A837E0"/>
    <w:rsid w:val="00A83C76"/>
    <w:rsid w:val="00A8606A"/>
    <w:rsid w:val="00A861C5"/>
    <w:rsid w:val="00A86258"/>
    <w:rsid w:val="00A904E6"/>
    <w:rsid w:val="00A93321"/>
    <w:rsid w:val="00A93D8F"/>
    <w:rsid w:val="00A943FE"/>
    <w:rsid w:val="00AA0196"/>
    <w:rsid w:val="00AA0BBC"/>
    <w:rsid w:val="00AA2828"/>
    <w:rsid w:val="00AA354F"/>
    <w:rsid w:val="00AA5866"/>
    <w:rsid w:val="00AA6FCD"/>
    <w:rsid w:val="00AB1E29"/>
    <w:rsid w:val="00AB1F5B"/>
    <w:rsid w:val="00AB2B99"/>
    <w:rsid w:val="00AB3218"/>
    <w:rsid w:val="00AB390C"/>
    <w:rsid w:val="00AB3A28"/>
    <w:rsid w:val="00AB43DE"/>
    <w:rsid w:val="00AB4FB5"/>
    <w:rsid w:val="00AB5C4F"/>
    <w:rsid w:val="00AB5E4F"/>
    <w:rsid w:val="00AB6E62"/>
    <w:rsid w:val="00AC2599"/>
    <w:rsid w:val="00AC6775"/>
    <w:rsid w:val="00AD086A"/>
    <w:rsid w:val="00AD269C"/>
    <w:rsid w:val="00AD2DBD"/>
    <w:rsid w:val="00AD3113"/>
    <w:rsid w:val="00AD391B"/>
    <w:rsid w:val="00AD3ECD"/>
    <w:rsid w:val="00AD5DB0"/>
    <w:rsid w:val="00AD6D36"/>
    <w:rsid w:val="00AD788E"/>
    <w:rsid w:val="00AE1C5A"/>
    <w:rsid w:val="00AE386E"/>
    <w:rsid w:val="00AE3997"/>
    <w:rsid w:val="00AE47F7"/>
    <w:rsid w:val="00AE6DA8"/>
    <w:rsid w:val="00AE7780"/>
    <w:rsid w:val="00AF1729"/>
    <w:rsid w:val="00AF1B41"/>
    <w:rsid w:val="00AF1B93"/>
    <w:rsid w:val="00AF2560"/>
    <w:rsid w:val="00AF351D"/>
    <w:rsid w:val="00AF4CC6"/>
    <w:rsid w:val="00AF563B"/>
    <w:rsid w:val="00AF5CF5"/>
    <w:rsid w:val="00B0341F"/>
    <w:rsid w:val="00B037AE"/>
    <w:rsid w:val="00B03D97"/>
    <w:rsid w:val="00B0430E"/>
    <w:rsid w:val="00B04CB5"/>
    <w:rsid w:val="00B04CF4"/>
    <w:rsid w:val="00B04E78"/>
    <w:rsid w:val="00B05804"/>
    <w:rsid w:val="00B05F2F"/>
    <w:rsid w:val="00B06976"/>
    <w:rsid w:val="00B07876"/>
    <w:rsid w:val="00B12501"/>
    <w:rsid w:val="00B138F0"/>
    <w:rsid w:val="00B13938"/>
    <w:rsid w:val="00B13B19"/>
    <w:rsid w:val="00B1595C"/>
    <w:rsid w:val="00B1597F"/>
    <w:rsid w:val="00B169DA"/>
    <w:rsid w:val="00B17873"/>
    <w:rsid w:val="00B21525"/>
    <w:rsid w:val="00B22149"/>
    <w:rsid w:val="00B23495"/>
    <w:rsid w:val="00B23F7D"/>
    <w:rsid w:val="00B245E8"/>
    <w:rsid w:val="00B2462C"/>
    <w:rsid w:val="00B24910"/>
    <w:rsid w:val="00B25BE8"/>
    <w:rsid w:val="00B26A19"/>
    <w:rsid w:val="00B30EED"/>
    <w:rsid w:val="00B31569"/>
    <w:rsid w:val="00B33A76"/>
    <w:rsid w:val="00B33F5C"/>
    <w:rsid w:val="00B3775A"/>
    <w:rsid w:val="00B37B15"/>
    <w:rsid w:val="00B403C3"/>
    <w:rsid w:val="00B4056A"/>
    <w:rsid w:val="00B40888"/>
    <w:rsid w:val="00B40B52"/>
    <w:rsid w:val="00B40BC2"/>
    <w:rsid w:val="00B40C3B"/>
    <w:rsid w:val="00B41052"/>
    <w:rsid w:val="00B4129C"/>
    <w:rsid w:val="00B412F0"/>
    <w:rsid w:val="00B420B7"/>
    <w:rsid w:val="00B428AF"/>
    <w:rsid w:val="00B4342E"/>
    <w:rsid w:val="00B44D5D"/>
    <w:rsid w:val="00B44EC5"/>
    <w:rsid w:val="00B47C95"/>
    <w:rsid w:val="00B50FD6"/>
    <w:rsid w:val="00B527EC"/>
    <w:rsid w:val="00B52970"/>
    <w:rsid w:val="00B52C39"/>
    <w:rsid w:val="00B52EA1"/>
    <w:rsid w:val="00B543E6"/>
    <w:rsid w:val="00B563FF"/>
    <w:rsid w:val="00B56686"/>
    <w:rsid w:val="00B56EEC"/>
    <w:rsid w:val="00B57C6F"/>
    <w:rsid w:val="00B61C4E"/>
    <w:rsid w:val="00B62C72"/>
    <w:rsid w:val="00B63185"/>
    <w:rsid w:val="00B63620"/>
    <w:rsid w:val="00B63DFF"/>
    <w:rsid w:val="00B65FE8"/>
    <w:rsid w:val="00B662DC"/>
    <w:rsid w:val="00B66640"/>
    <w:rsid w:val="00B700DB"/>
    <w:rsid w:val="00B702CE"/>
    <w:rsid w:val="00B71318"/>
    <w:rsid w:val="00B71D5D"/>
    <w:rsid w:val="00B7206C"/>
    <w:rsid w:val="00B72B93"/>
    <w:rsid w:val="00B73D4A"/>
    <w:rsid w:val="00B74F2F"/>
    <w:rsid w:val="00B75FD1"/>
    <w:rsid w:val="00B769ED"/>
    <w:rsid w:val="00B76E08"/>
    <w:rsid w:val="00B77E97"/>
    <w:rsid w:val="00B80135"/>
    <w:rsid w:val="00B80B4C"/>
    <w:rsid w:val="00B80C38"/>
    <w:rsid w:val="00B81C2B"/>
    <w:rsid w:val="00B837C2"/>
    <w:rsid w:val="00B847B1"/>
    <w:rsid w:val="00B85343"/>
    <w:rsid w:val="00B85F3D"/>
    <w:rsid w:val="00B8615D"/>
    <w:rsid w:val="00B91013"/>
    <w:rsid w:val="00B91168"/>
    <w:rsid w:val="00B92176"/>
    <w:rsid w:val="00B92246"/>
    <w:rsid w:val="00B943DD"/>
    <w:rsid w:val="00B94977"/>
    <w:rsid w:val="00B9576F"/>
    <w:rsid w:val="00B9685F"/>
    <w:rsid w:val="00B971C2"/>
    <w:rsid w:val="00B97372"/>
    <w:rsid w:val="00BA0BAE"/>
    <w:rsid w:val="00BA0DC1"/>
    <w:rsid w:val="00BA2501"/>
    <w:rsid w:val="00BA44FC"/>
    <w:rsid w:val="00BA4A32"/>
    <w:rsid w:val="00BA51CC"/>
    <w:rsid w:val="00BA5AAD"/>
    <w:rsid w:val="00BA5EC2"/>
    <w:rsid w:val="00BA6395"/>
    <w:rsid w:val="00BB0CAD"/>
    <w:rsid w:val="00BB16E8"/>
    <w:rsid w:val="00BB1F80"/>
    <w:rsid w:val="00BB204F"/>
    <w:rsid w:val="00BB22A4"/>
    <w:rsid w:val="00BB398B"/>
    <w:rsid w:val="00BB7E4C"/>
    <w:rsid w:val="00BC000C"/>
    <w:rsid w:val="00BC0A95"/>
    <w:rsid w:val="00BC0BB5"/>
    <w:rsid w:val="00BC2D27"/>
    <w:rsid w:val="00BC3F14"/>
    <w:rsid w:val="00BC5250"/>
    <w:rsid w:val="00BC6769"/>
    <w:rsid w:val="00BC7E13"/>
    <w:rsid w:val="00BD011B"/>
    <w:rsid w:val="00BD04C3"/>
    <w:rsid w:val="00BD1AEC"/>
    <w:rsid w:val="00BD37BF"/>
    <w:rsid w:val="00BD3E35"/>
    <w:rsid w:val="00BD3E98"/>
    <w:rsid w:val="00BD4187"/>
    <w:rsid w:val="00BD5666"/>
    <w:rsid w:val="00BD5781"/>
    <w:rsid w:val="00BD5B5B"/>
    <w:rsid w:val="00BD73F2"/>
    <w:rsid w:val="00BD7D2B"/>
    <w:rsid w:val="00BE0A2E"/>
    <w:rsid w:val="00BE1A84"/>
    <w:rsid w:val="00BE1E2D"/>
    <w:rsid w:val="00BE212C"/>
    <w:rsid w:val="00BE4006"/>
    <w:rsid w:val="00BE4796"/>
    <w:rsid w:val="00BE4A5F"/>
    <w:rsid w:val="00BE63C1"/>
    <w:rsid w:val="00BE6746"/>
    <w:rsid w:val="00BF0038"/>
    <w:rsid w:val="00BF02DD"/>
    <w:rsid w:val="00BF0FA1"/>
    <w:rsid w:val="00BF14A1"/>
    <w:rsid w:val="00BF355D"/>
    <w:rsid w:val="00BF4BD2"/>
    <w:rsid w:val="00BF5060"/>
    <w:rsid w:val="00BF54A8"/>
    <w:rsid w:val="00BF5EC3"/>
    <w:rsid w:val="00BF6758"/>
    <w:rsid w:val="00BF70ED"/>
    <w:rsid w:val="00C003C4"/>
    <w:rsid w:val="00C0137D"/>
    <w:rsid w:val="00C013D4"/>
    <w:rsid w:val="00C0141C"/>
    <w:rsid w:val="00C02B08"/>
    <w:rsid w:val="00C02C98"/>
    <w:rsid w:val="00C02FDF"/>
    <w:rsid w:val="00C0343D"/>
    <w:rsid w:val="00C03CA0"/>
    <w:rsid w:val="00C050CC"/>
    <w:rsid w:val="00C055EE"/>
    <w:rsid w:val="00C06B3B"/>
    <w:rsid w:val="00C074E4"/>
    <w:rsid w:val="00C07887"/>
    <w:rsid w:val="00C07F2E"/>
    <w:rsid w:val="00C10146"/>
    <w:rsid w:val="00C102F6"/>
    <w:rsid w:val="00C10719"/>
    <w:rsid w:val="00C1236B"/>
    <w:rsid w:val="00C12F58"/>
    <w:rsid w:val="00C1348F"/>
    <w:rsid w:val="00C136DD"/>
    <w:rsid w:val="00C139B0"/>
    <w:rsid w:val="00C14C6E"/>
    <w:rsid w:val="00C16264"/>
    <w:rsid w:val="00C16C94"/>
    <w:rsid w:val="00C16CBF"/>
    <w:rsid w:val="00C20A34"/>
    <w:rsid w:val="00C20CEA"/>
    <w:rsid w:val="00C20D4F"/>
    <w:rsid w:val="00C20DD7"/>
    <w:rsid w:val="00C21D7A"/>
    <w:rsid w:val="00C22DE2"/>
    <w:rsid w:val="00C258F2"/>
    <w:rsid w:val="00C25E96"/>
    <w:rsid w:val="00C267FE"/>
    <w:rsid w:val="00C27FC1"/>
    <w:rsid w:val="00C310AB"/>
    <w:rsid w:val="00C34394"/>
    <w:rsid w:val="00C34FEC"/>
    <w:rsid w:val="00C35F25"/>
    <w:rsid w:val="00C36175"/>
    <w:rsid w:val="00C36921"/>
    <w:rsid w:val="00C36AAD"/>
    <w:rsid w:val="00C36ECC"/>
    <w:rsid w:val="00C377A3"/>
    <w:rsid w:val="00C4299A"/>
    <w:rsid w:val="00C43328"/>
    <w:rsid w:val="00C43487"/>
    <w:rsid w:val="00C44222"/>
    <w:rsid w:val="00C44B8D"/>
    <w:rsid w:val="00C4588A"/>
    <w:rsid w:val="00C45ADA"/>
    <w:rsid w:val="00C46636"/>
    <w:rsid w:val="00C50298"/>
    <w:rsid w:val="00C50BE7"/>
    <w:rsid w:val="00C51ABD"/>
    <w:rsid w:val="00C52AA1"/>
    <w:rsid w:val="00C5443D"/>
    <w:rsid w:val="00C5561F"/>
    <w:rsid w:val="00C56883"/>
    <w:rsid w:val="00C57219"/>
    <w:rsid w:val="00C578CF"/>
    <w:rsid w:val="00C57C12"/>
    <w:rsid w:val="00C57E69"/>
    <w:rsid w:val="00C60A96"/>
    <w:rsid w:val="00C6165C"/>
    <w:rsid w:val="00C61842"/>
    <w:rsid w:val="00C62C07"/>
    <w:rsid w:val="00C63632"/>
    <w:rsid w:val="00C63F4E"/>
    <w:rsid w:val="00C65203"/>
    <w:rsid w:val="00C65677"/>
    <w:rsid w:val="00C661D9"/>
    <w:rsid w:val="00C6625D"/>
    <w:rsid w:val="00C66A27"/>
    <w:rsid w:val="00C66AEB"/>
    <w:rsid w:val="00C67E40"/>
    <w:rsid w:val="00C712A3"/>
    <w:rsid w:val="00C71547"/>
    <w:rsid w:val="00C7184E"/>
    <w:rsid w:val="00C7227C"/>
    <w:rsid w:val="00C7330B"/>
    <w:rsid w:val="00C73576"/>
    <w:rsid w:val="00C7389C"/>
    <w:rsid w:val="00C764A7"/>
    <w:rsid w:val="00C76E48"/>
    <w:rsid w:val="00C772EB"/>
    <w:rsid w:val="00C77629"/>
    <w:rsid w:val="00C82A21"/>
    <w:rsid w:val="00C82E2D"/>
    <w:rsid w:val="00C841B7"/>
    <w:rsid w:val="00C871C4"/>
    <w:rsid w:val="00C87233"/>
    <w:rsid w:val="00C877F1"/>
    <w:rsid w:val="00C87A54"/>
    <w:rsid w:val="00C87EF2"/>
    <w:rsid w:val="00C90DFA"/>
    <w:rsid w:val="00C935B6"/>
    <w:rsid w:val="00C95210"/>
    <w:rsid w:val="00C97136"/>
    <w:rsid w:val="00CA210A"/>
    <w:rsid w:val="00CA2670"/>
    <w:rsid w:val="00CA28EA"/>
    <w:rsid w:val="00CA2BF5"/>
    <w:rsid w:val="00CA2FB7"/>
    <w:rsid w:val="00CA38AA"/>
    <w:rsid w:val="00CA403F"/>
    <w:rsid w:val="00CA5497"/>
    <w:rsid w:val="00CA5783"/>
    <w:rsid w:val="00CA57EC"/>
    <w:rsid w:val="00CA5D27"/>
    <w:rsid w:val="00CA710F"/>
    <w:rsid w:val="00CA7728"/>
    <w:rsid w:val="00CB0AA0"/>
    <w:rsid w:val="00CB1AB0"/>
    <w:rsid w:val="00CB3247"/>
    <w:rsid w:val="00CB35D2"/>
    <w:rsid w:val="00CB3950"/>
    <w:rsid w:val="00CB632D"/>
    <w:rsid w:val="00CB66B4"/>
    <w:rsid w:val="00CB6D5F"/>
    <w:rsid w:val="00CB768D"/>
    <w:rsid w:val="00CB7F40"/>
    <w:rsid w:val="00CC0125"/>
    <w:rsid w:val="00CC313A"/>
    <w:rsid w:val="00CC3669"/>
    <w:rsid w:val="00CC48BD"/>
    <w:rsid w:val="00CC4DE5"/>
    <w:rsid w:val="00CC4F95"/>
    <w:rsid w:val="00CC75A6"/>
    <w:rsid w:val="00CD0202"/>
    <w:rsid w:val="00CD28E4"/>
    <w:rsid w:val="00CD336F"/>
    <w:rsid w:val="00CD4C3B"/>
    <w:rsid w:val="00CD4CE6"/>
    <w:rsid w:val="00CD4D71"/>
    <w:rsid w:val="00CD4DDA"/>
    <w:rsid w:val="00CD5A61"/>
    <w:rsid w:val="00CD6F24"/>
    <w:rsid w:val="00CD6F3C"/>
    <w:rsid w:val="00CD7321"/>
    <w:rsid w:val="00CE1482"/>
    <w:rsid w:val="00CE205F"/>
    <w:rsid w:val="00CE2629"/>
    <w:rsid w:val="00CE318C"/>
    <w:rsid w:val="00CE4BE8"/>
    <w:rsid w:val="00CE4C3F"/>
    <w:rsid w:val="00CE530B"/>
    <w:rsid w:val="00CE66ED"/>
    <w:rsid w:val="00CE70D1"/>
    <w:rsid w:val="00CE734E"/>
    <w:rsid w:val="00CF2341"/>
    <w:rsid w:val="00CF3E5E"/>
    <w:rsid w:val="00CF78F0"/>
    <w:rsid w:val="00D027C4"/>
    <w:rsid w:val="00D035A6"/>
    <w:rsid w:val="00D03AFE"/>
    <w:rsid w:val="00D07165"/>
    <w:rsid w:val="00D07C1B"/>
    <w:rsid w:val="00D11301"/>
    <w:rsid w:val="00D11A61"/>
    <w:rsid w:val="00D11B40"/>
    <w:rsid w:val="00D129F2"/>
    <w:rsid w:val="00D15209"/>
    <w:rsid w:val="00D155D5"/>
    <w:rsid w:val="00D15D8E"/>
    <w:rsid w:val="00D16A88"/>
    <w:rsid w:val="00D179B2"/>
    <w:rsid w:val="00D17EC2"/>
    <w:rsid w:val="00D2046B"/>
    <w:rsid w:val="00D20470"/>
    <w:rsid w:val="00D205C0"/>
    <w:rsid w:val="00D213D2"/>
    <w:rsid w:val="00D21565"/>
    <w:rsid w:val="00D231C8"/>
    <w:rsid w:val="00D2340A"/>
    <w:rsid w:val="00D2511F"/>
    <w:rsid w:val="00D26FFE"/>
    <w:rsid w:val="00D307F0"/>
    <w:rsid w:val="00D3379D"/>
    <w:rsid w:val="00D34883"/>
    <w:rsid w:val="00D34F70"/>
    <w:rsid w:val="00D357A0"/>
    <w:rsid w:val="00D35806"/>
    <w:rsid w:val="00D35AF0"/>
    <w:rsid w:val="00D367E5"/>
    <w:rsid w:val="00D36EBC"/>
    <w:rsid w:val="00D4066B"/>
    <w:rsid w:val="00D40823"/>
    <w:rsid w:val="00D41094"/>
    <w:rsid w:val="00D4134B"/>
    <w:rsid w:val="00D417A7"/>
    <w:rsid w:val="00D42E50"/>
    <w:rsid w:val="00D46564"/>
    <w:rsid w:val="00D466C5"/>
    <w:rsid w:val="00D469A0"/>
    <w:rsid w:val="00D46A3B"/>
    <w:rsid w:val="00D46AEC"/>
    <w:rsid w:val="00D46D67"/>
    <w:rsid w:val="00D47233"/>
    <w:rsid w:val="00D47642"/>
    <w:rsid w:val="00D50489"/>
    <w:rsid w:val="00D50FBE"/>
    <w:rsid w:val="00D51909"/>
    <w:rsid w:val="00D521B7"/>
    <w:rsid w:val="00D526B9"/>
    <w:rsid w:val="00D5401B"/>
    <w:rsid w:val="00D54832"/>
    <w:rsid w:val="00D567AA"/>
    <w:rsid w:val="00D57399"/>
    <w:rsid w:val="00D57722"/>
    <w:rsid w:val="00D57F9F"/>
    <w:rsid w:val="00D60892"/>
    <w:rsid w:val="00D61571"/>
    <w:rsid w:val="00D617BE"/>
    <w:rsid w:val="00D61853"/>
    <w:rsid w:val="00D61A38"/>
    <w:rsid w:val="00D61BB5"/>
    <w:rsid w:val="00D62851"/>
    <w:rsid w:val="00D62F89"/>
    <w:rsid w:val="00D63782"/>
    <w:rsid w:val="00D637C6"/>
    <w:rsid w:val="00D63C58"/>
    <w:rsid w:val="00D64932"/>
    <w:rsid w:val="00D64A22"/>
    <w:rsid w:val="00D65027"/>
    <w:rsid w:val="00D66067"/>
    <w:rsid w:val="00D6780B"/>
    <w:rsid w:val="00D707CA"/>
    <w:rsid w:val="00D72105"/>
    <w:rsid w:val="00D72786"/>
    <w:rsid w:val="00D732DC"/>
    <w:rsid w:val="00D74AC6"/>
    <w:rsid w:val="00D74B13"/>
    <w:rsid w:val="00D7505E"/>
    <w:rsid w:val="00D778A3"/>
    <w:rsid w:val="00D77AFD"/>
    <w:rsid w:val="00D80DB7"/>
    <w:rsid w:val="00D813AF"/>
    <w:rsid w:val="00D8197E"/>
    <w:rsid w:val="00D81B77"/>
    <w:rsid w:val="00D82950"/>
    <w:rsid w:val="00D82C3E"/>
    <w:rsid w:val="00D8586A"/>
    <w:rsid w:val="00D8635D"/>
    <w:rsid w:val="00D87CFD"/>
    <w:rsid w:val="00D90127"/>
    <w:rsid w:val="00D91332"/>
    <w:rsid w:val="00D918D9"/>
    <w:rsid w:val="00D919F3"/>
    <w:rsid w:val="00D9257A"/>
    <w:rsid w:val="00D926B4"/>
    <w:rsid w:val="00D95130"/>
    <w:rsid w:val="00D96140"/>
    <w:rsid w:val="00D9659C"/>
    <w:rsid w:val="00D97CFA"/>
    <w:rsid w:val="00D97D83"/>
    <w:rsid w:val="00DA02D0"/>
    <w:rsid w:val="00DA0BBE"/>
    <w:rsid w:val="00DA1559"/>
    <w:rsid w:val="00DA34A3"/>
    <w:rsid w:val="00DA3A20"/>
    <w:rsid w:val="00DA3BBC"/>
    <w:rsid w:val="00DA3DD1"/>
    <w:rsid w:val="00DA4530"/>
    <w:rsid w:val="00DA5213"/>
    <w:rsid w:val="00DB0651"/>
    <w:rsid w:val="00DB0AD4"/>
    <w:rsid w:val="00DB0CB4"/>
    <w:rsid w:val="00DB0E10"/>
    <w:rsid w:val="00DB13CF"/>
    <w:rsid w:val="00DB3B29"/>
    <w:rsid w:val="00DB4148"/>
    <w:rsid w:val="00DB4303"/>
    <w:rsid w:val="00DB4EBF"/>
    <w:rsid w:val="00DB5A4D"/>
    <w:rsid w:val="00DB75A6"/>
    <w:rsid w:val="00DB7C31"/>
    <w:rsid w:val="00DB7E19"/>
    <w:rsid w:val="00DC0F76"/>
    <w:rsid w:val="00DC16A5"/>
    <w:rsid w:val="00DC1744"/>
    <w:rsid w:val="00DC18E9"/>
    <w:rsid w:val="00DC1A4D"/>
    <w:rsid w:val="00DC1B1F"/>
    <w:rsid w:val="00DC2DD3"/>
    <w:rsid w:val="00DC30D6"/>
    <w:rsid w:val="00DC3788"/>
    <w:rsid w:val="00DC550B"/>
    <w:rsid w:val="00DC6CE3"/>
    <w:rsid w:val="00DC6F15"/>
    <w:rsid w:val="00DC705D"/>
    <w:rsid w:val="00DC7285"/>
    <w:rsid w:val="00DC76C2"/>
    <w:rsid w:val="00DC7806"/>
    <w:rsid w:val="00DD018C"/>
    <w:rsid w:val="00DD1B55"/>
    <w:rsid w:val="00DD1D78"/>
    <w:rsid w:val="00DD1D8C"/>
    <w:rsid w:val="00DD2297"/>
    <w:rsid w:val="00DD2676"/>
    <w:rsid w:val="00DD423C"/>
    <w:rsid w:val="00DD45F2"/>
    <w:rsid w:val="00DD4A8B"/>
    <w:rsid w:val="00DD562E"/>
    <w:rsid w:val="00DD5F7A"/>
    <w:rsid w:val="00DE13BD"/>
    <w:rsid w:val="00DE1A27"/>
    <w:rsid w:val="00DE29B4"/>
    <w:rsid w:val="00DE2BD0"/>
    <w:rsid w:val="00DE3AE5"/>
    <w:rsid w:val="00DE491B"/>
    <w:rsid w:val="00DE5946"/>
    <w:rsid w:val="00DE62EA"/>
    <w:rsid w:val="00DF0ACE"/>
    <w:rsid w:val="00DF2771"/>
    <w:rsid w:val="00DF2803"/>
    <w:rsid w:val="00DF31F5"/>
    <w:rsid w:val="00DF48FE"/>
    <w:rsid w:val="00DF49AE"/>
    <w:rsid w:val="00DF4CFA"/>
    <w:rsid w:val="00DF64CE"/>
    <w:rsid w:val="00DF6AC5"/>
    <w:rsid w:val="00DF73EF"/>
    <w:rsid w:val="00DF75F6"/>
    <w:rsid w:val="00E005C6"/>
    <w:rsid w:val="00E0101C"/>
    <w:rsid w:val="00E010C4"/>
    <w:rsid w:val="00E0198D"/>
    <w:rsid w:val="00E03270"/>
    <w:rsid w:val="00E04E17"/>
    <w:rsid w:val="00E0557F"/>
    <w:rsid w:val="00E05905"/>
    <w:rsid w:val="00E05BB1"/>
    <w:rsid w:val="00E06227"/>
    <w:rsid w:val="00E06D22"/>
    <w:rsid w:val="00E07005"/>
    <w:rsid w:val="00E075F6"/>
    <w:rsid w:val="00E0781C"/>
    <w:rsid w:val="00E07CCC"/>
    <w:rsid w:val="00E102DD"/>
    <w:rsid w:val="00E110AF"/>
    <w:rsid w:val="00E11676"/>
    <w:rsid w:val="00E12AA6"/>
    <w:rsid w:val="00E137E9"/>
    <w:rsid w:val="00E139E2"/>
    <w:rsid w:val="00E1408B"/>
    <w:rsid w:val="00E14BE7"/>
    <w:rsid w:val="00E15F4C"/>
    <w:rsid w:val="00E160A0"/>
    <w:rsid w:val="00E17BF8"/>
    <w:rsid w:val="00E206F2"/>
    <w:rsid w:val="00E20D5B"/>
    <w:rsid w:val="00E2217D"/>
    <w:rsid w:val="00E222E1"/>
    <w:rsid w:val="00E22605"/>
    <w:rsid w:val="00E246BA"/>
    <w:rsid w:val="00E312D3"/>
    <w:rsid w:val="00E33455"/>
    <w:rsid w:val="00E335C8"/>
    <w:rsid w:val="00E349ED"/>
    <w:rsid w:val="00E35ABC"/>
    <w:rsid w:val="00E35B1D"/>
    <w:rsid w:val="00E35E6C"/>
    <w:rsid w:val="00E36C7E"/>
    <w:rsid w:val="00E375C7"/>
    <w:rsid w:val="00E401B0"/>
    <w:rsid w:val="00E414C8"/>
    <w:rsid w:val="00E41E02"/>
    <w:rsid w:val="00E42787"/>
    <w:rsid w:val="00E42A49"/>
    <w:rsid w:val="00E44372"/>
    <w:rsid w:val="00E44ED1"/>
    <w:rsid w:val="00E450DC"/>
    <w:rsid w:val="00E4551B"/>
    <w:rsid w:val="00E46267"/>
    <w:rsid w:val="00E4784D"/>
    <w:rsid w:val="00E502D0"/>
    <w:rsid w:val="00E507A2"/>
    <w:rsid w:val="00E513D1"/>
    <w:rsid w:val="00E5352E"/>
    <w:rsid w:val="00E554D8"/>
    <w:rsid w:val="00E55587"/>
    <w:rsid w:val="00E56439"/>
    <w:rsid w:val="00E60646"/>
    <w:rsid w:val="00E60675"/>
    <w:rsid w:val="00E60F7B"/>
    <w:rsid w:val="00E617F1"/>
    <w:rsid w:val="00E6347B"/>
    <w:rsid w:val="00E63D4D"/>
    <w:rsid w:val="00E64905"/>
    <w:rsid w:val="00E65BD1"/>
    <w:rsid w:val="00E732E4"/>
    <w:rsid w:val="00E737C3"/>
    <w:rsid w:val="00E7459F"/>
    <w:rsid w:val="00E748AD"/>
    <w:rsid w:val="00E75855"/>
    <w:rsid w:val="00E76C5D"/>
    <w:rsid w:val="00E76ED7"/>
    <w:rsid w:val="00E77D3E"/>
    <w:rsid w:val="00E80087"/>
    <w:rsid w:val="00E80CDF"/>
    <w:rsid w:val="00E8250C"/>
    <w:rsid w:val="00E84EAE"/>
    <w:rsid w:val="00E86181"/>
    <w:rsid w:val="00E862A3"/>
    <w:rsid w:val="00E86A22"/>
    <w:rsid w:val="00E86AB7"/>
    <w:rsid w:val="00E874CB"/>
    <w:rsid w:val="00E90699"/>
    <w:rsid w:val="00E91236"/>
    <w:rsid w:val="00E91B19"/>
    <w:rsid w:val="00E93176"/>
    <w:rsid w:val="00E96463"/>
    <w:rsid w:val="00E97749"/>
    <w:rsid w:val="00EA0580"/>
    <w:rsid w:val="00EA1787"/>
    <w:rsid w:val="00EA299B"/>
    <w:rsid w:val="00EA5BE0"/>
    <w:rsid w:val="00EA67F8"/>
    <w:rsid w:val="00EA702A"/>
    <w:rsid w:val="00EA730D"/>
    <w:rsid w:val="00EA7C26"/>
    <w:rsid w:val="00EB0762"/>
    <w:rsid w:val="00EB5634"/>
    <w:rsid w:val="00EB706A"/>
    <w:rsid w:val="00EB713F"/>
    <w:rsid w:val="00EB7284"/>
    <w:rsid w:val="00EB769F"/>
    <w:rsid w:val="00EC0451"/>
    <w:rsid w:val="00EC0ED3"/>
    <w:rsid w:val="00EC11B7"/>
    <w:rsid w:val="00EC35AE"/>
    <w:rsid w:val="00EC646A"/>
    <w:rsid w:val="00EC64DA"/>
    <w:rsid w:val="00EC64E9"/>
    <w:rsid w:val="00EC6759"/>
    <w:rsid w:val="00ED0C72"/>
    <w:rsid w:val="00ED328D"/>
    <w:rsid w:val="00ED354E"/>
    <w:rsid w:val="00ED63AB"/>
    <w:rsid w:val="00ED73B3"/>
    <w:rsid w:val="00ED7538"/>
    <w:rsid w:val="00EE0727"/>
    <w:rsid w:val="00EE0E16"/>
    <w:rsid w:val="00EE1032"/>
    <w:rsid w:val="00EE1296"/>
    <w:rsid w:val="00EE2305"/>
    <w:rsid w:val="00EE2B40"/>
    <w:rsid w:val="00EE4021"/>
    <w:rsid w:val="00EE4060"/>
    <w:rsid w:val="00EE5AFD"/>
    <w:rsid w:val="00EE661C"/>
    <w:rsid w:val="00EF1890"/>
    <w:rsid w:val="00EF1C6A"/>
    <w:rsid w:val="00EF23C0"/>
    <w:rsid w:val="00EF2801"/>
    <w:rsid w:val="00EF2D27"/>
    <w:rsid w:val="00EF3258"/>
    <w:rsid w:val="00EF3499"/>
    <w:rsid w:val="00EF63B5"/>
    <w:rsid w:val="00EF6494"/>
    <w:rsid w:val="00EF6B7E"/>
    <w:rsid w:val="00EF7187"/>
    <w:rsid w:val="00EF7B00"/>
    <w:rsid w:val="00EF7C42"/>
    <w:rsid w:val="00EF7EC6"/>
    <w:rsid w:val="00F001BD"/>
    <w:rsid w:val="00F00BF3"/>
    <w:rsid w:val="00F01085"/>
    <w:rsid w:val="00F014EC"/>
    <w:rsid w:val="00F01ACD"/>
    <w:rsid w:val="00F02505"/>
    <w:rsid w:val="00F02E43"/>
    <w:rsid w:val="00F04C8E"/>
    <w:rsid w:val="00F06B63"/>
    <w:rsid w:val="00F0753A"/>
    <w:rsid w:val="00F07A08"/>
    <w:rsid w:val="00F1095B"/>
    <w:rsid w:val="00F10BE7"/>
    <w:rsid w:val="00F11550"/>
    <w:rsid w:val="00F11601"/>
    <w:rsid w:val="00F11FD1"/>
    <w:rsid w:val="00F12E68"/>
    <w:rsid w:val="00F13466"/>
    <w:rsid w:val="00F13490"/>
    <w:rsid w:val="00F134A1"/>
    <w:rsid w:val="00F14056"/>
    <w:rsid w:val="00F144D2"/>
    <w:rsid w:val="00F165AF"/>
    <w:rsid w:val="00F177F2"/>
    <w:rsid w:val="00F17BF2"/>
    <w:rsid w:val="00F20DA7"/>
    <w:rsid w:val="00F21A67"/>
    <w:rsid w:val="00F21AD2"/>
    <w:rsid w:val="00F23127"/>
    <w:rsid w:val="00F23711"/>
    <w:rsid w:val="00F241C5"/>
    <w:rsid w:val="00F246A2"/>
    <w:rsid w:val="00F24C3B"/>
    <w:rsid w:val="00F26FD8"/>
    <w:rsid w:val="00F2788A"/>
    <w:rsid w:val="00F27FAE"/>
    <w:rsid w:val="00F30535"/>
    <w:rsid w:val="00F31CC9"/>
    <w:rsid w:val="00F320A5"/>
    <w:rsid w:val="00F3289E"/>
    <w:rsid w:val="00F34884"/>
    <w:rsid w:val="00F36298"/>
    <w:rsid w:val="00F36457"/>
    <w:rsid w:val="00F374D7"/>
    <w:rsid w:val="00F40BE2"/>
    <w:rsid w:val="00F4107A"/>
    <w:rsid w:val="00F4145A"/>
    <w:rsid w:val="00F423F4"/>
    <w:rsid w:val="00F4345E"/>
    <w:rsid w:val="00F4428E"/>
    <w:rsid w:val="00F44301"/>
    <w:rsid w:val="00F44ED7"/>
    <w:rsid w:val="00F45537"/>
    <w:rsid w:val="00F47024"/>
    <w:rsid w:val="00F47A08"/>
    <w:rsid w:val="00F500DC"/>
    <w:rsid w:val="00F502E0"/>
    <w:rsid w:val="00F5067C"/>
    <w:rsid w:val="00F51856"/>
    <w:rsid w:val="00F541AB"/>
    <w:rsid w:val="00F542BA"/>
    <w:rsid w:val="00F5459F"/>
    <w:rsid w:val="00F56DD1"/>
    <w:rsid w:val="00F57D5F"/>
    <w:rsid w:val="00F57E4D"/>
    <w:rsid w:val="00F60657"/>
    <w:rsid w:val="00F625C3"/>
    <w:rsid w:val="00F63026"/>
    <w:rsid w:val="00F63E8F"/>
    <w:rsid w:val="00F64637"/>
    <w:rsid w:val="00F64DE4"/>
    <w:rsid w:val="00F65321"/>
    <w:rsid w:val="00F65DD3"/>
    <w:rsid w:val="00F663FD"/>
    <w:rsid w:val="00F6773A"/>
    <w:rsid w:val="00F67CDD"/>
    <w:rsid w:val="00F70513"/>
    <w:rsid w:val="00F73AAE"/>
    <w:rsid w:val="00F73E99"/>
    <w:rsid w:val="00F7413A"/>
    <w:rsid w:val="00F757ED"/>
    <w:rsid w:val="00F75D30"/>
    <w:rsid w:val="00F76D07"/>
    <w:rsid w:val="00F770C8"/>
    <w:rsid w:val="00F779BA"/>
    <w:rsid w:val="00F77FB4"/>
    <w:rsid w:val="00F8027B"/>
    <w:rsid w:val="00F80E3B"/>
    <w:rsid w:val="00F821D9"/>
    <w:rsid w:val="00F822F5"/>
    <w:rsid w:val="00F8286C"/>
    <w:rsid w:val="00F82B30"/>
    <w:rsid w:val="00F82E1F"/>
    <w:rsid w:val="00F830CC"/>
    <w:rsid w:val="00F83E4A"/>
    <w:rsid w:val="00F84034"/>
    <w:rsid w:val="00F8409D"/>
    <w:rsid w:val="00F84B9B"/>
    <w:rsid w:val="00F86420"/>
    <w:rsid w:val="00F86FC9"/>
    <w:rsid w:val="00F91259"/>
    <w:rsid w:val="00F91364"/>
    <w:rsid w:val="00F913AE"/>
    <w:rsid w:val="00F91B34"/>
    <w:rsid w:val="00F91C78"/>
    <w:rsid w:val="00F920D8"/>
    <w:rsid w:val="00F9261B"/>
    <w:rsid w:val="00F92F30"/>
    <w:rsid w:val="00F93361"/>
    <w:rsid w:val="00F9482D"/>
    <w:rsid w:val="00F94D12"/>
    <w:rsid w:val="00F94EAF"/>
    <w:rsid w:val="00F959C9"/>
    <w:rsid w:val="00F96020"/>
    <w:rsid w:val="00F965FC"/>
    <w:rsid w:val="00F96ADA"/>
    <w:rsid w:val="00F97C1B"/>
    <w:rsid w:val="00FA0866"/>
    <w:rsid w:val="00FA0C32"/>
    <w:rsid w:val="00FA0C62"/>
    <w:rsid w:val="00FA0E09"/>
    <w:rsid w:val="00FA1481"/>
    <w:rsid w:val="00FA1637"/>
    <w:rsid w:val="00FA1E17"/>
    <w:rsid w:val="00FA3333"/>
    <w:rsid w:val="00FA4B87"/>
    <w:rsid w:val="00FA7F8D"/>
    <w:rsid w:val="00FB0060"/>
    <w:rsid w:val="00FB1ADD"/>
    <w:rsid w:val="00FB1C79"/>
    <w:rsid w:val="00FB2C65"/>
    <w:rsid w:val="00FB2FA0"/>
    <w:rsid w:val="00FB3053"/>
    <w:rsid w:val="00FB37FF"/>
    <w:rsid w:val="00FB5784"/>
    <w:rsid w:val="00FB5E39"/>
    <w:rsid w:val="00FB7BC4"/>
    <w:rsid w:val="00FC0220"/>
    <w:rsid w:val="00FC0B96"/>
    <w:rsid w:val="00FC0FAB"/>
    <w:rsid w:val="00FC5F27"/>
    <w:rsid w:val="00FC73BC"/>
    <w:rsid w:val="00FC74D8"/>
    <w:rsid w:val="00FD0BD5"/>
    <w:rsid w:val="00FD1039"/>
    <w:rsid w:val="00FD111C"/>
    <w:rsid w:val="00FD177C"/>
    <w:rsid w:val="00FD1DF7"/>
    <w:rsid w:val="00FD22ED"/>
    <w:rsid w:val="00FD27CD"/>
    <w:rsid w:val="00FD3E4E"/>
    <w:rsid w:val="00FD3F0D"/>
    <w:rsid w:val="00FD419E"/>
    <w:rsid w:val="00FD5952"/>
    <w:rsid w:val="00FE04AA"/>
    <w:rsid w:val="00FE0792"/>
    <w:rsid w:val="00FE0AB5"/>
    <w:rsid w:val="00FE15EC"/>
    <w:rsid w:val="00FE19D8"/>
    <w:rsid w:val="00FE1FD4"/>
    <w:rsid w:val="00FE4ADE"/>
    <w:rsid w:val="00FE6E6D"/>
    <w:rsid w:val="00FE70AD"/>
    <w:rsid w:val="00FE7248"/>
    <w:rsid w:val="00FE7987"/>
    <w:rsid w:val="00FE7EE2"/>
    <w:rsid w:val="00FF01C9"/>
    <w:rsid w:val="00FF2C99"/>
    <w:rsid w:val="00FF34F3"/>
    <w:rsid w:val="00FF3C90"/>
    <w:rsid w:val="00FF3D38"/>
    <w:rsid w:val="00FF4F72"/>
    <w:rsid w:val="00FF6042"/>
    <w:rsid w:val="00FF67B6"/>
    <w:rsid w:val="00FF7156"/>
    <w:rsid w:val="00FF7448"/>
    <w:rsid w:val="00FF7CEF"/>
    <w:rsid w:val="07AEBB41"/>
    <w:rsid w:val="07C7E39E"/>
    <w:rsid w:val="08BBA691"/>
    <w:rsid w:val="1584770E"/>
    <w:rsid w:val="1D72DCBE"/>
    <w:rsid w:val="274B76E2"/>
    <w:rsid w:val="2AD78302"/>
    <w:rsid w:val="2B13E64C"/>
    <w:rsid w:val="2EC034D9"/>
    <w:rsid w:val="302DB8A0"/>
    <w:rsid w:val="305C053A"/>
    <w:rsid w:val="310C002E"/>
    <w:rsid w:val="38D3AEBB"/>
    <w:rsid w:val="3A99BA17"/>
    <w:rsid w:val="3B5B5489"/>
    <w:rsid w:val="3C709255"/>
    <w:rsid w:val="407A168A"/>
    <w:rsid w:val="44166162"/>
    <w:rsid w:val="452631A5"/>
    <w:rsid w:val="48870BF4"/>
    <w:rsid w:val="4A55EFAE"/>
    <w:rsid w:val="4B7965D9"/>
    <w:rsid w:val="4D9ABD57"/>
    <w:rsid w:val="568129C1"/>
    <w:rsid w:val="56BDAA49"/>
    <w:rsid w:val="6051BFEF"/>
    <w:rsid w:val="64452FE5"/>
    <w:rsid w:val="6D4762B1"/>
    <w:rsid w:val="6F8D6F0D"/>
    <w:rsid w:val="708EA844"/>
    <w:rsid w:val="70E4132B"/>
    <w:rsid w:val="72432C42"/>
    <w:rsid w:val="7338AE5B"/>
    <w:rsid w:val="776B37B0"/>
    <w:rsid w:val="777970CA"/>
    <w:rsid w:val="7B2CC3ED"/>
    <w:rsid w:val="7F54B3A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colormru v:ext="edit" colors="#cc0"/>
    </o:shapedefaults>
    <o:shapelayout v:ext="edit">
      <o:idmap v:ext="edit" data="1"/>
    </o:shapelayout>
  </w:shapeDefaults>
  <w:decimalSymbol w:val="."/>
  <w:listSeparator w:val=","/>
  <w14:docId w14:val="315798C5"/>
  <w15:docId w15:val="{C177968B-C155-44B4-9883-58033110F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0AD"/>
  </w:style>
  <w:style w:type="paragraph" w:styleId="Heading1">
    <w:name w:val="heading 1"/>
    <w:basedOn w:val="Normal"/>
    <w:next w:val="Normal"/>
    <w:link w:val="Heading1Char"/>
    <w:uiPriority w:val="9"/>
    <w:qFormat/>
    <w:rsid w:val="00FE70AD"/>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E70AD"/>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E70AD"/>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semiHidden/>
    <w:unhideWhenUsed/>
    <w:qFormat/>
    <w:rsid w:val="00FE70AD"/>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semiHidden/>
    <w:unhideWhenUsed/>
    <w:qFormat/>
    <w:rsid w:val="00FE70AD"/>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FE70AD"/>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FE70AD"/>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FE70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70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E70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70AD"/>
    <w:rPr>
      <w:caps/>
      <w:color w:val="595959" w:themeColor="text1" w:themeTint="A6"/>
      <w:spacing w:val="10"/>
      <w:sz w:val="21"/>
      <w:szCs w:val="21"/>
    </w:rPr>
  </w:style>
  <w:style w:type="paragraph" w:styleId="NoSpacing">
    <w:name w:val="No Spacing"/>
    <w:link w:val="NoSpacingChar"/>
    <w:uiPriority w:val="1"/>
    <w:qFormat/>
    <w:rsid w:val="00FE70AD"/>
    <w:pPr>
      <w:spacing w:after="0" w:line="240" w:lineRule="auto"/>
    </w:pPr>
  </w:style>
  <w:style w:type="paragraph" w:styleId="BalloonText">
    <w:name w:val="Balloon Text"/>
    <w:basedOn w:val="Normal"/>
    <w:link w:val="BalloonTextChar"/>
    <w:uiPriority w:val="99"/>
    <w:semiHidden/>
    <w:unhideWhenUsed/>
    <w:rsid w:val="00F67C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7CDD"/>
    <w:rPr>
      <w:rFonts w:ascii="Segoe UI" w:hAnsi="Segoe UI" w:cs="Segoe UI"/>
      <w:sz w:val="18"/>
      <w:szCs w:val="18"/>
    </w:rPr>
  </w:style>
  <w:style w:type="paragraph" w:styleId="Header">
    <w:name w:val="header"/>
    <w:basedOn w:val="Normal"/>
    <w:link w:val="HeaderChar"/>
    <w:uiPriority w:val="99"/>
    <w:unhideWhenUsed/>
    <w:rsid w:val="00F67C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CDD"/>
  </w:style>
  <w:style w:type="paragraph" w:styleId="Footer">
    <w:name w:val="footer"/>
    <w:basedOn w:val="Normal"/>
    <w:link w:val="FooterChar"/>
    <w:uiPriority w:val="99"/>
    <w:unhideWhenUsed/>
    <w:rsid w:val="00F67C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CDD"/>
  </w:style>
  <w:style w:type="character" w:customStyle="1" w:styleId="Heading1Char">
    <w:name w:val="Heading 1 Char"/>
    <w:basedOn w:val="DefaultParagraphFont"/>
    <w:link w:val="Heading1"/>
    <w:uiPriority w:val="9"/>
    <w:rsid w:val="00FE70AD"/>
    <w:rPr>
      <w:caps/>
      <w:color w:val="FFFFFF" w:themeColor="background1"/>
      <w:spacing w:val="15"/>
      <w:sz w:val="22"/>
      <w:szCs w:val="22"/>
      <w:shd w:val="clear" w:color="auto" w:fill="0F6FC6" w:themeFill="accent1"/>
    </w:rPr>
  </w:style>
  <w:style w:type="character" w:customStyle="1" w:styleId="Heading2Char">
    <w:name w:val="Heading 2 Char"/>
    <w:basedOn w:val="DefaultParagraphFont"/>
    <w:link w:val="Heading2"/>
    <w:uiPriority w:val="9"/>
    <w:rsid w:val="00FE70AD"/>
    <w:rPr>
      <w:caps/>
      <w:spacing w:val="15"/>
      <w:shd w:val="clear" w:color="auto" w:fill="C7E2FA" w:themeFill="accent1" w:themeFillTint="33"/>
    </w:rPr>
  </w:style>
  <w:style w:type="character" w:customStyle="1" w:styleId="Heading3Char">
    <w:name w:val="Heading 3 Char"/>
    <w:basedOn w:val="DefaultParagraphFont"/>
    <w:link w:val="Heading3"/>
    <w:uiPriority w:val="9"/>
    <w:rsid w:val="00FE70AD"/>
    <w:rPr>
      <w:caps/>
      <w:color w:val="073662" w:themeColor="accent1" w:themeShade="7F"/>
      <w:spacing w:val="15"/>
    </w:rPr>
  </w:style>
  <w:style w:type="paragraph" w:styleId="TOCHeading">
    <w:name w:val="TOC Heading"/>
    <w:basedOn w:val="Heading1"/>
    <w:next w:val="Normal"/>
    <w:uiPriority w:val="39"/>
    <w:unhideWhenUsed/>
    <w:qFormat/>
    <w:rsid w:val="00FE70AD"/>
    <w:pPr>
      <w:outlineLvl w:val="9"/>
    </w:pPr>
  </w:style>
  <w:style w:type="paragraph" w:styleId="TOC1">
    <w:name w:val="toc 1"/>
    <w:basedOn w:val="Normal"/>
    <w:next w:val="Normal"/>
    <w:autoRedefine/>
    <w:uiPriority w:val="39"/>
    <w:unhideWhenUsed/>
    <w:rsid w:val="00AF1B93"/>
    <w:pPr>
      <w:tabs>
        <w:tab w:val="right" w:leader="dot" w:pos="9016"/>
      </w:tabs>
      <w:spacing w:after="100"/>
    </w:pPr>
  </w:style>
  <w:style w:type="paragraph" w:styleId="TOC2">
    <w:name w:val="toc 2"/>
    <w:basedOn w:val="Normal"/>
    <w:next w:val="Normal"/>
    <w:autoRedefine/>
    <w:uiPriority w:val="39"/>
    <w:unhideWhenUsed/>
    <w:rsid w:val="000E0B57"/>
    <w:pPr>
      <w:spacing w:after="100"/>
      <w:ind w:left="220"/>
    </w:pPr>
  </w:style>
  <w:style w:type="paragraph" w:styleId="TOC3">
    <w:name w:val="toc 3"/>
    <w:basedOn w:val="Normal"/>
    <w:next w:val="Normal"/>
    <w:autoRedefine/>
    <w:uiPriority w:val="39"/>
    <w:unhideWhenUsed/>
    <w:rsid w:val="000E0B57"/>
    <w:pPr>
      <w:spacing w:after="100"/>
      <w:ind w:left="440"/>
    </w:pPr>
  </w:style>
  <w:style w:type="character" w:styleId="Hyperlink">
    <w:name w:val="Hyperlink"/>
    <w:basedOn w:val="DefaultParagraphFont"/>
    <w:uiPriority w:val="99"/>
    <w:unhideWhenUsed/>
    <w:rsid w:val="000E0B57"/>
    <w:rPr>
      <w:color w:val="F49100" w:themeColor="hyperlink"/>
      <w:u w:val="single"/>
    </w:rPr>
  </w:style>
  <w:style w:type="paragraph" w:styleId="ListParagraph">
    <w:name w:val="List Paragraph"/>
    <w:basedOn w:val="Normal"/>
    <w:uiPriority w:val="34"/>
    <w:qFormat/>
    <w:rsid w:val="00117AF7"/>
    <w:pPr>
      <w:ind w:left="720"/>
      <w:contextualSpacing/>
    </w:pPr>
  </w:style>
  <w:style w:type="table" w:styleId="TableGrid">
    <w:name w:val="Table Grid"/>
    <w:basedOn w:val="TableNormal"/>
    <w:uiPriority w:val="39"/>
    <w:rsid w:val="00A46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1CD6"/>
    <w:rPr>
      <w:sz w:val="16"/>
      <w:szCs w:val="16"/>
    </w:rPr>
  </w:style>
  <w:style w:type="paragraph" w:styleId="CommentText">
    <w:name w:val="annotation text"/>
    <w:basedOn w:val="Normal"/>
    <w:link w:val="CommentTextChar"/>
    <w:uiPriority w:val="99"/>
    <w:unhideWhenUsed/>
    <w:rsid w:val="005C1CD6"/>
    <w:pPr>
      <w:spacing w:line="240" w:lineRule="auto"/>
    </w:pPr>
  </w:style>
  <w:style w:type="character" w:customStyle="1" w:styleId="CommentTextChar">
    <w:name w:val="Comment Text Char"/>
    <w:basedOn w:val="DefaultParagraphFont"/>
    <w:link w:val="CommentText"/>
    <w:uiPriority w:val="99"/>
    <w:rsid w:val="005C1CD6"/>
    <w:rPr>
      <w:sz w:val="20"/>
      <w:szCs w:val="20"/>
    </w:rPr>
  </w:style>
  <w:style w:type="paragraph" w:styleId="CommentSubject">
    <w:name w:val="annotation subject"/>
    <w:basedOn w:val="CommentText"/>
    <w:next w:val="CommentText"/>
    <w:link w:val="CommentSubjectChar"/>
    <w:uiPriority w:val="99"/>
    <w:semiHidden/>
    <w:unhideWhenUsed/>
    <w:rsid w:val="005C1CD6"/>
    <w:rPr>
      <w:b/>
      <w:bCs/>
    </w:rPr>
  </w:style>
  <w:style w:type="character" w:customStyle="1" w:styleId="CommentSubjectChar">
    <w:name w:val="Comment Subject Char"/>
    <w:basedOn w:val="CommentTextChar"/>
    <w:link w:val="CommentSubject"/>
    <w:uiPriority w:val="99"/>
    <w:semiHidden/>
    <w:rsid w:val="005C1CD6"/>
    <w:rPr>
      <w:b/>
      <w:bCs/>
      <w:sz w:val="20"/>
      <w:szCs w:val="20"/>
    </w:rPr>
  </w:style>
  <w:style w:type="paragraph" w:styleId="Revision">
    <w:name w:val="Revision"/>
    <w:hidden/>
    <w:uiPriority w:val="99"/>
    <w:semiHidden/>
    <w:rsid w:val="001734A9"/>
    <w:pPr>
      <w:spacing w:after="0" w:line="240" w:lineRule="auto"/>
    </w:pPr>
  </w:style>
  <w:style w:type="paragraph" w:styleId="Caption">
    <w:name w:val="caption"/>
    <w:basedOn w:val="Normal"/>
    <w:next w:val="Normal"/>
    <w:uiPriority w:val="35"/>
    <w:unhideWhenUsed/>
    <w:qFormat/>
    <w:rsid w:val="00FE70AD"/>
    <w:rPr>
      <w:b/>
      <w:bCs/>
      <w:color w:val="0B5294" w:themeColor="accent1" w:themeShade="BF"/>
      <w:sz w:val="16"/>
      <w:szCs w:val="16"/>
    </w:rPr>
  </w:style>
  <w:style w:type="paragraph" w:styleId="TableofFigures">
    <w:name w:val="table of figures"/>
    <w:basedOn w:val="Normal"/>
    <w:next w:val="Normal"/>
    <w:uiPriority w:val="99"/>
    <w:unhideWhenUsed/>
    <w:rsid w:val="00D72105"/>
    <w:pPr>
      <w:spacing w:after="0"/>
    </w:pPr>
  </w:style>
  <w:style w:type="character" w:customStyle="1" w:styleId="NoSpacingChar">
    <w:name w:val="No Spacing Char"/>
    <w:basedOn w:val="DefaultParagraphFont"/>
    <w:link w:val="NoSpacing"/>
    <w:uiPriority w:val="1"/>
    <w:rsid w:val="00B63620"/>
  </w:style>
  <w:style w:type="paragraph" w:styleId="FootnoteText">
    <w:name w:val="footnote text"/>
    <w:basedOn w:val="Normal"/>
    <w:link w:val="FootnoteTextChar"/>
    <w:uiPriority w:val="99"/>
    <w:semiHidden/>
    <w:unhideWhenUsed/>
    <w:rsid w:val="002F32A3"/>
    <w:pPr>
      <w:spacing w:after="0" w:line="240" w:lineRule="auto"/>
    </w:pPr>
  </w:style>
  <w:style w:type="character" w:customStyle="1" w:styleId="FootnoteTextChar">
    <w:name w:val="Footnote Text Char"/>
    <w:basedOn w:val="DefaultParagraphFont"/>
    <w:link w:val="FootnoteText"/>
    <w:uiPriority w:val="99"/>
    <w:semiHidden/>
    <w:rsid w:val="002F32A3"/>
    <w:rPr>
      <w:sz w:val="20"/>
      <w:szCs w:val="20"/>
    </w:rPr>
  </w:style>
  <w:style w:type="character" w:styleId="FootnoteReference">
    <w:name w:val="footnote reference"/>
    <w:basedOn w:val="DefaultParagraphFont"/>
    <w:uiPriority w:val="99"/>
    <w:semiHidden/>
    <w:unhideWhenUsed/>
    <w:rsid w:val="002F32A3"/>
    <w:rPr>
      <w:vertAlign w:val="superscript"/>
    </w:rPr>
  </w:style>
  <w:style w:type="character" w:customStyle="1" w:styleId="Heading4Char">
    <w:name w:val="Heading 4 Char"/>
    <w:basedOn w:val="DefaultParagraphFont"/>
    <w:link w:val="Heading4"/>
    <w:uiPriority w:val="9"/>
    <w:semiHidden/>
    <w:rsid w:val="00FE70AD"/>
    <w:rPr>
      <w:caps/>
      <w:color w:val="0B5294" w:themeColor="accent1" w:themeShade="BF"/>
      <w:spacing w:val="10"/>
    </w:rPr>
  </w:style>
  <w:style w:type="character" w:customStyle="1" w:styleId="Heading5Char">
    <w:name w:val="Heading 5 Char"/>
    <w:basedOn w:val="DefaultParagraphFont"/>
    <w:link w:val="Heading5"/>
    <w:uiPriority w:val="9"/>
    <w:semiHidden/>
    <w:rsid w:val="00FE70AD"/>
    <w:rPr>
      <w:caps/>
      <w:color w:val="0B5294" w:themeColor="accent1" w:themeShade="BF"/>
      <w:spacing w:val="10"/>
    </w:rPr>
  </w:style>
  <w:style w:type="character" w:customStyle="1" w:styleId="Heading6Char">
    <w:name w:val="Heading 6 Char"/>
    <w:basedOn w:val="DefaultParagraphFont"/>
    <w:link w:val="Heading6"/>
    <w:uiPriority w:val="9"/>
    <w:semiHidden/>
    <w:rsid w:val="00FE70AD"/>
    <w:rPr>
      <w:caps/>
      <w:color w:val="0B5294" w:themeColor="accent1" w:themeShade="BF"/>
      <w:spacing w:val="10"/>
    </w:rPr>
  </w:style>
  <w:style w:type="character" w:customStyle="1" w:styleId="Heading7Char">
    <w:name w:val="Heading 7 Char"/>
    <w:basedOn w:val="DefaultParagraphFont"/>
    <w:link w:val="Heading7"/>
    <w:uiPriority w:val="9"/>
    <w:semiHidden/>
    <w:rsid w:val="00FE70AD"/>
    <w:rPr>
      <w:caps/>
      <w:color w:val="0B5294" w:themeColor="accent1" w:themeShade="BF"/>
      <w:spacing w:val="10"/>
    </w:rPr>
  </w:style>
  <w:style w:type="character" w:customStyle="1" w:styleId="Heading8Char">
    <w:name w:val="Heading 8 Char"/>
    <w:basedOn w:val="DefaultParagraphFont"/>
    <w:link w:val="Heading8"/>
    <w:uiPriority w:val="9"/>
    <w:semiHidden/>
    <w:rsid w:val="00FE70AD"/>
    <w:rPr>
      <w:caps/>
      <w:spacing w:val="10"/>
      <w:sz w:val="18"/>
      <w:szCs w:val="18"/>
    </w:rPr>
  </w:style>
  <w:style w:type="character" w:customStyle="1" w:styleId="Heading9Char">
    <w:name w:val="Heading 9 Char"/>
    <w:basedOn w:val="DefaultParagraphFont"/>
    <w:link w:val="Heading9"/>
    <w:uiPriority w:val="9"/>
    <w:semiHidden/>
    <w:rsid w:val="00FE70AD"/>
    <w:rPr>
      <w:i/>
      <w:iCs/>
      <w:caps/>
      <w:spacing w:val="10"/>
      <w:sz w:val="18"/>
      <w:szCs w:val="18"/>
    </w:rPr>
  </w:style>
  <w:style w:type="paragraph" w:styleId="Title">
    <w:name w:val="Title"/>
    <w:basedOn w:val="Normal"/>
    <w:next w:val="Normal"/>
    <w:link w:val="TitleChar"/>
    <w:uiPriority w:val="10"/>
    <w:qFormat/>
    <w:rsid w:val="00FE70AD"/>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FE70AD"/>
    <w:rPr>
      <w:rFonts w:asciiTheme="majorHAnsi" w:eastAsiaTheme="majorEastAsia" w:hAnsiTheme="majorHAnsi" w:cstheme="majorBidi"/>
      <w:caps/>
      <w:color w:val="0F6FC6" w:themeColor="accent1"/>
      <w:spacing w:val="10"/>
      <w:sz w:val="52"/>
      <w:szCs w:val="52"/>
    </w:rPr>
  </w:style>
  <w:style w:type="character" w:styleId="Strong">
    <w:name w:val="Strong"/>
    <w:uiPriority w:val="22"/>
    <w:qFormat/>
    <w:rsid w:val="00FE70AD"/>
    <w:rPr>
      <w:b/>
      <w:bCs/>
    </w:rPr>
  </w:style>
  <w:style w:type="character" w:styleId="Emphasis">
    <w:name w:val="Emphasis"/>
    <w:uiPriority w:val="20"/>
    <w:qFormat/>
    <w:rsid w:val="00FE70AD"/>
    <w:rPr>
      <w:caps/>
      <w:color w:val="073662" w:themeColor="accent1" w:themeShade="7F"/>
      <w:spacing w:val="5"/>
    </w:rPr>
  </w:style>
  <w:style w:type="paragraph" w:styleId="Quote">
    <w:name w:val="Quote"/>
    <w:basedOn w:val="Normal"/>
    <w:next w:val="Normal"/>
    <w:link w:val="QuoteChar"/>
    <w:uiPriority w:val="29"/>
    <w:qFormat/>
    <w:rsid w:val="00FE70AD"/>
    <w:rPr>
      <w:i/>
      <w:iCs/>
      <w:sz w:val="24"/>
      <w:szCs w:val="24"/>
    </w:rPr>
  </w:style>
  <w:style w:type="character" w:customStyle="1" w:styleId="QuoteChar">
    <w:name w:val="Quote Char"/>
    <w:basedOn w:val="DefaultParagraphFont"/>
    <w:link w:val="Quote"/>
    <w:uiPriority w:val="29"/>
    <w:rsid w:val="00FE70AD"/>
    <w:rPr>
      <w:i/>
      <w:iCs/>
      <w:sz w:val="24"/>
      <w:szCs w:val="24"/>
    </w:rPr>
  </w:style>
  <w:style w:type="paragraph" w:styleId="IntenseQuote">
    <w:name w:val="Intense Quote"/>
    <w:basedOn w:val="Normal"/>
    <w:next w:val="Normal"/>
    <w:link w:val="IntenseQuoteChar"/>
    <w:uiPriority w:val="30"/>
    <w:qFormat/>
    <w:rsid w:val="00FE70AD"/>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FE70AD"/>
    <w:rPr>
      <w:color w:val="0F6FC6" w:themeColor="accent1"/>
      <w:sz w:val="24"/>
      <w:szCs w:val="24"/>
    </w:rPr>
  </w:style>
  <w:style w:type="character" w:styleId="SubtleEmphasis">
    <w:name w:val="Subtle Emphasis"/>
    <w:uiPriority w:val="19"/>
    <w:qFormat/>
    <w:rsid w:val="00FE70AD"/>
    <w:rPr>
      <w:i/>
      <w:iCs/>
      <w:color w:val="073662" w:themeColor="accent1" w:themeShade="7F"/>
    </w:rPr>
  </w:style>
  <w:style w:type="character" w:styleId="IntenseEmphasis">
    <w:name w:val="Intense Emphasis"/>
    <w:uiPriority w:val="21"/>
    <w:qFormat/>
    <w:rsid w:val="00FE70AD"/>
    <w:rPr>
      <w:b/>
      <w:bCs/>
      <w:caps/>
      <w:color w:val="073662" w:themeColor="accent1" w:themeShade="7F"/>
      <w:spacing w:val="10"/>
    </w:rPr>
  </w:style>
  <w:style w:type="character" w:styleId="SubtleReference">
    <w:name w:val="Subtle Reference"/>
    <w:uiPriority w:val="31"/>
    <w:qFormat/>
    <w:rsid w:val="00FE70AD"/>
    <w:rPr>
      <w:b/>
      <w:bCs/>
      <w:color w:val="0F6FC6" w:themeColor="accent1"/>
    </w:rPr>
  </w:style>
  <w:style w:type="character" w:styleId="IntenseReference">
    <w:name w:val="Intense Reference"/>
    <w:uiPriority w:val="32"/>
    <w:qFormat/>
    <w:rsid w:val="00FE70AD"/>
    <w:rPr>
      <w:b/>
      <w:bCs/>
      <w:i/>
      <w:iCs/>
      <w:caps/>
      <w:color w:val="0F6FC6" w:themeColor="accent1"/>
    </w:rPr>
  </w:style>
  <w:style w:type="character" w:styleId="BookTitle">
    <w:name w:val="Book Title"/>
    <w:uiPriority w:val="33"/>
    <w:qFormat/>
    <w:rsid w:val="00FE70A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65896">
      <w:bodyDiv w:val="1"/>
      <w:marLeft w:val="0"/>
      <w:marRight w:val="0"/>
      <w:marTop w:val="0"/>
      <w:marBottom w:val="0"/>
      <w:divBdr>
        <w:top w:val="none" w:sz="0" w:space="0" w:color="auto"/>
        <w:left w:val="none" w:sz="0" w:space="0" w:color="auto"/>
        <w:bottom w:val="none" w:sz="0" w:space="0" w:color="auto"/>
        <w:right w:val="none" w:sz="0" w:space="0" w:color="auto"/>
      </w:divBdr>
    </w:div>
    <w:div w:id="273945795">
      <w:bodyDiv w:val="1"/>
      <w:marLeft w:val="0"/>
      <w:marRight w:val="0"/>
      <w:marTop w:val="0"/>
      <w:marBottom w:val="0"/>
      <w:divBdr>
        <w:top w:val="none" w:sz="0" w:space="0" w:color="auto"/>
        <w:left w:val="none" w:sz="0" w:space="0" w:color="auto"/>
        <w:bottom w:val="none" w:sz="0" w:space="0" w:color="auto"/>
        <w:right w:val="none" w:sz="0" w:space="0" w:color="auto"/>
      </w:divBdr>
    </w:div>
    <w:div w:id="370765937">
      <w:bodyDiv w:val="1"/>
      <w:marLeft w:val="0"/>
      <w:marRight w:val="0"/>
      <w:marTop w:val="0"/>
      <w:marBottom w:val="0"/>
      <w:divBdr>
        <w:top w:val="none" w:sz="0" w:space="0" w:color="auto"/>
        <w:left w:val="none" w:sz="0" w:space="0" w:color="auto"/>
        <w:bottom w:val="none" w:sz="0" w:space="0" w:color="auto"/>
        <w:right w:val="none" w:sz="0" w:space="0" w:color="auto"/>
      </w:divBdr>
    </w:div>
    <w:div w:id="442312280">
      <w:bodyDiv w:val="1"/>
      <w:marLeft w:val="0"/>
      <w:marRight w:val="0"/>
      <w:marTop w:val="0"/>
      <w:marBottom w:val="0"/>
      <w:divBdr>
        <w:top w:val="none" w:sz="0" w:space="0" w:color="auto"/>
        <w:left w:val="none" w:sz="0" w:space="0" w:color="auto"/>
        <w:bottom w:val="none" w:sz="0" w:space="0" w:color="auto"/>
        <w:right w:val="none" w:sz="0" w:space="0" w:color="auto"/>
      </w:divBdr>
    </w:div>
    <w:div w:id="551505878">
      <w:bodyDiv w:val="1"/>
      <w:marLeft w:val="0"/>
      <w:marRight w:val="0"/>
      <w:marTop w:val="0"/>
      <w:marBottom w:val="0"/>
      <w:divBdr>
        <w:top w:val="none" w:sz="0" w:space="0" w:color="auto"/>
        <w:left w:val="none" w:sz="0" w:space="0" w:color="auto"/>
        <w:bottom w:val="none" w:sz="0" w:space="0" w:color="auto"/>
        <w:right w:val="none" w:sz="0" w:space="0" w:color="auto"/>
      </w:divBdr>
    </w:div>
    <w:div w:id="619146834">
      <w:bodyDiv w:val="1"/>
      <w:marLeft w:val="0"/>
      <w:marRight w:val="0"/>
      <w:marTop w:val="0"/>
      <w:marBottom w:val="0"/>
      <w:divBdr>
        <w:top w:val="none" w:sz="0" w:space="0" w:color="auto"/>
        <w:left w:val="none" w:sz="0" w:space="0" w:color="auto"/>
        <w:bottom w:val="none" w:sz="0" w:space="0" w:color="auto"/>
        <w:right w:val="none" w:sz="0" w:space="0" w:color="auto"/>
      </w:divBdr>
    </w:div>
    <w:div w:id="642544978">
      <w:bodyDiv w:val="1"/>
      <w:marLeft w:val="0"/>
      <w:marRight w:val="0"/>
      <w:marTop w:val="0"/>
      <w:marBottom w:val="0"/>
      <w:divBdr>
        <w:top w:val="none" w:sz="0" w:space="0" w:color="auto"/>
        <w:left w:val="none" w:sz="0" w:space="0" w:color="auto"/>
        <w:bottom w:val="none" w:sz="0" w:space="0" w:color="auto"/>
        <w:right w:val="none" w:sz="0" w:space="0" w:color="auto"/>
      </w:divBdr>
    </w:div>
    <w:div w:id="658270231">
      <w:bodyDiv w:val="1"/>
      <w:marLeft w:val="0"/>
      <w:marRight w:val="0"/>
      <w:marTop w:val="0"/>
      <w:marBottom w:val="0"/>
      <w:divBdr>
        <w:top w:val="none" w:sz="0" w:space="0" w:color="auto"/>
        <w:left w:val="none" w:sz="0" w:space="0" w:color="auto"/>
        <w:bottom w:val="none" w:sz="0" w:space="0" w:color="auto"/>
        <w:right w:val="none" w:sz="0" w:space="0" w:color="auto"/>
      </w:divBdr>
    </w:div>
    <w:div w:id="675572129">
      <w:bodyDiv w:val="1"/>
      <w:marLeft w:val="0"/>
      <w:marRight w:val="0"/>
      <w:marTop w:val="0"/>
      <w:marBottom w:val="0"/>
      <w:divBdr>
        <w:top w:val="none" w:sz="0" w:space="0" w:color="auto"/>
        <w:left w:val="none" w:sz="0" w:space="0" w:color="auto"/>
        <w:bottom w:val="none" w:sz="0" w:space="0" w:color="auto"/>
        <w:right w:val="none" w:sz="0" w:space="0" w:color="auto"/>
      </w:divBdr>
    </w:div>
    <w:div w:id="699865667">
      <w:bodyDiv w:val="1"/>
      <w:marLeft w:val="0"/>
      <w:marRight w:val="0"/>
      <w:marTop w:val="0"/>
      <w:marBottom w:val="0"/>
      <w:divBdr>
        <w:top w:val="none" w:sz="0" w:space="0" w:color="auto"/>
        <w:left w:val="none" w:sz="0" w:space="0" w:color="auto"/>
        <w:bottom w:val="none" w:sz="0" w:space="0" w:color="auto"/>
        <w:right w:val="none" w:sz="0" w:space="0" w:color="auto"/>
      </w:divBdr>
    </w:div>
    <w:div w:id="717701413">
      <w:bodyDiv w:val="1"/>
      <w:marLeft w:val="0"/>
      <w:marRight w:val="0"/>
      <w:marTop w:val="0"/>
      <w:marBottom w:val="0"/>
      <w:divBdr>
        <w:top w:val="none" w:sz="0" w:space="0" w:color="auto"/>
        <w:left w:val="none" w:sz="0" w:space="0" w:color="auto"/>
        <w:bottom w:val="none" w:sz="0" w:space="0" w:color="auto"/>
        <w:right w:val="none" w:sz="0" w:space="0" w:color="auto"/>
      </w:divBdr>
    </w:div>
    <w:div w:id="757291504">
      <w:bodyDiv w:val="1"/>
      <w:marLeft w:val="0"/>
      <w:marRight w:val="0"/>
      <w:marTop w:val="0"/>
      <w:marBottom w:val="0"/>
      <w:divBdr>
        <w:top w:val="none" w:sz="0" w:space="0" w:color="auto"/>
        <w:left w:val="none" w:sz="0" w:space="0" w:color="auto"/>
        <w:bottom w:val="none" w:sz="0" w:space="0" w:color="auto"/>
        <w:right w:val="none" w:sz="0" w:space="0" w:color="auto"/>
      </w:divBdr>
    </w:div>
    <w:div w:id="868109940">
      <w:bodyDiv w:val="1"/>
      <w:marLeft w:val="0"/>
      <w:marRight w:val="0"/>
      <w:marTop w:val="0"/>
      <w:marBottom w:val="0"/>
      <w:divBdr>
        <w:top w:val="none" w:sz="0" w:space="0" w:color="auto"/>
        <w:left w:val="none" w:sz="0" w:space="0" w:color="auto"/>
        <w:bottom w:val="none" w:sz="0" w:space="0" w:color="auto"/>
        <w:right w:val="none" w:sz="0" w:space="0" w:color="auto"/>
      </w:divBdr>
    </w:div>
    <w:div w:id="906770239">
      <w:bodyDiv w:val="1"/>
      <w:marLeft w:val="0"/>
      <w:marRight w:val="0"/>
      <w:marTop w:val="0"/>
      <w:marBottom w:val="0"/>
      <w:divBdr>
        <w:top w:val="none" w:sz="0" w:space="0" w:color="auto"/>
        <w:left w:val="none" w:sz="0" w:space="0" w:color="auto"/>
        <w:bottom w:val="none" w:sz="0" w:space="0" w:color="auto"/>
        <w:right w:val="none" w:sz="0" w:space="0" w:color="auto"/>
      </w:divBdr>
    </w:div>
    <w:div w:id="922033443">
      <w:bodyDiv w:val="1"/>
      <w:marLeft w:val="0"/>
      <w:marRight w:val="0"/>
      <w:marTop w:val="0"/>
      <w:marBottom w:val="0"/>
      <w:divBdr>
        <w:top w:val="none" w:sz="0" w:space="0" w:color="auto"/>
        <w:left w:val="none" w:sz="0" w:space="0" w:color="auto"/>
        <w:bottom w:val="none" w:sz="0" w:space="0" w:color="auto"/>
        <w:right w:val="none" w:sz="0" w:space="0" w:color="auto"/>
      </w:divBdr>
    </w:div>
    <w:div w:id="985470472">
      <w:bodyDiv w:val="1"/>
      <w:marLeft w:val="0"/>
      <w:marRight w:val="0"/>
      <w:marTop w:val="0"/>
      <w:marBottom w:val="0"/>
      <w:divBdr>
        <w:top w:val="none" w:sz="0" w:space="0" w:color="auto"/>
        <w:left w:val="none" w:sz="0" w:space="0" w:color="auto"/>
        <w:bottom w:val="none" w:sz="0" w:space="0" w:color="auto"/>
        <w:right w:val="none" w:sz="0" w:space="0" w:color="auto"/>
      </w:divBdr>
    </w:div>
    <w:div w:id="1143347302">
      <w:bodyDiv w:val="1"/>
      <w:marLeft w:val="0"/>
      <w:marRight w:val="0"/>
      <w:marTop w:val="0"/>
      <w:marBottom w:val="0"/>
      <w:divBdr>
        <w:top w:val="none" w:sz="0" w:space="0" w:color="auto"/>
        <w:left w:val="none" w:sz="0" w:space="0" w:color="auto"/>
        <w:bottom w:val="none" w:sz="0" w:space="0" w:color="auto"/>
        <w:right w:val="none" w:sz="0" w:space="0" w:color="auto"/>
      </w:divBdr>
    </w:div>
    <w:div w:id="1225289423">
      <w:bodyDiv w:val="1"/>
      <w:marLeft w:val="0"/>
      <w:marRight w:val="0"/>
      <w:marTop w:val="0"/>
      <w:marBottom w:val="0"/>
      <w:divBdr>
        <w:top w:val="none" w:sz="0" w:space="0" w:color="auto"/>
        <w:left w:val="none" w:sz="0" w:space="0" w:color="auto"/>
        <w:bottom w:val="none" w:sz="0" w:space="0" w:color="auto"/>
        <w:right w:val="none" w:sz="0" w:space="0" w:color="auto"/>
      </w:divBdr>
    </w:div>
    <w:div w:id="1289117947">
      <w:bodyDiv w:val="1"/>
      <w:marLeft w:val="0"/>
      <w:marRight w:val="0"/>
      <w:marTop w:val="0"/>
      <w:marBottom w:val="0"/>
      <w:divBdr>
        <w:top w:val="none" w:sz="0" w:space="0" w:color="auto"/>
        <w:left w:val="none" w:sz="0" w:space="0" w:color="auto"/>
        <w:bottom w:val="none" w:sz="0" w:space="0" w:color="auto"/>
        <w:right w:val="none" w:sz="0" w:space="0" w:color="auto"/>
      </w:divBdr>
    </w:div>
    <w:div w:id="1334065359">
      <w:bodyDiv w:val="1"/>
      <w:marLeft w:val="0"/>
      <w:marRight w:val="0"/>
      <w:marTop w:val="0"/>
      <w:marBottom w:val="0"/>
      <w:divBdr>
        <w:top w:val="none" w:sz="0" w:space="0" w:color="auto"/>
        <w:left w:val="none" w:sz="0" w:space="0" w:color="auto"/>
        <w:bottom w:val="none" w:sz="0" w:space="0" w:color="auto"/>
        <w:right w:val="none" w:sz="0" w:space="0" w:color="auto"/>
      </w:divBdr>
    </w:div>
    <w:div w:id="1655333472">
      <w:bodyDiv w:val="1"/>
      <w:marLeft w:val="0"/>
      <w:marRight w:val="0"/>
      <w:marTop w:val="0"/>
      <w:marBottom w:val="0"/>
      <w:divBdr>
        <w:top w:val="none" w:sz="0" w:space="0" w:color="auto"/>
        <w:left w:val="none" w:sz="0" w:space="0" w:color="auto"/>
        <w:bottom w:val="none" w:sz="0" w:space="0" w:color="auto"/>
        <w:right w:val="none" w:sz="0" w:space="0" w:color="auto"/>
      </w:divBdr>
    </w:div>
    <w:div w:id="1920677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2.xml"/><Relationship Id="rId32"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chart" Target="charts/chart7.xm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shaibu\Desktop\Industry%20Report%202023\Template%20for%20Quarterly%20Report%202022@1.7.2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tshaibu\Desktop\Monthly%20Industry%20Report%202022%20NEW\Data%20Request_Jan-Dec%202022EC.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tshaibu\Desktop\Monthly%20Industry%20Report%202022%20NEW\Data%20Request_Jan-Dec%202022EC.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tshaibu\Desktop\Industry%20Report%202023\Template%20for%20Quarterly%20Report%202022@1.7.2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tshaibu\Desktop\Industry%20Report%202023\BIDECs%20PERFORMANCE%20STATISTICS%20(JANUARY-DECEMBER%20202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tshaibu\Desktop\Industry%20Report%202023\Template%20for%20Quarterly%20Report%202022@1.7.2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tshaibu\Desktop\Industry%20Report%202023\OMC%20PERFORMANCE%20STATISTICS%20(JANUARY-MARCH%202023).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10.10.0.25\F\PROJECTS\Research\Statistical%20Bulletin\2022\tables%20&amp;%20charts_statistical_bulletin202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tshaibu\Desktop\Industry%20Report%202023\Storage%20Capacities%20for%20Products%20and%20Crude%20-%20June%20202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tshaibu\Desktop\Industry%20Report%202023\Imports-2023.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shaibu\Desktop\Industry%20Report%202023\Template%20for%20Quarterly%20Report%202022@1.7.2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shaibu\Desktop\Monthly%20Industry%20Report%202022%20NEW\Template%20for%20Quarterly%20Report%202022@1.7.2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shaibu\Desktop\Monthly%20Industry%20Report%202022%20NEW\Template%20for%20Quarterly%20Report%202022@1.7.2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shaibu\Desktop\Industry%20Report%202023\Local%20Production%202018-Dec%20202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shaibu\Desktop\Monthly%20Industry%20Report%202022%20NEW\Data%20Request_Jan-Dec%202022EC.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shaibu\Desktop\Monthly%20Industry%20Report%202022%20NEW\Data%20Request_Jan-Dec%202022EC.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tshaibu\Desktop\Monthly%20Industry%20Report%202022%20NEW\Template%20for%20Quarterly%20Report%202022@1.7.2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tshaibu\Desktop\Monthly%20Industry%20Report%202022%20NEW\Template%20for%20Quarterly%20Report%202022@1.7.2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B3E-49E5-BEE9-6804DD54753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B3E-49E5-BEE9-6804DD54753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B3E-49E5-BEE9-6804DD547531}"/>
              </c:ext>
            </c:extLst>
          </c:dPt>
          <c:dLbls>
            <c:dLbl>
              <c:idx val="0"/>
              <c:layout>
                <c:manualLayout>
                  <c:x val="-0.12813201182840961"/>
                  <c:y val="-0.2607421007676375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B3E-49E5-BEE9-6804DD547531}"/>
                </c:ext>
              </c:extLst>
            </c:dLbl>
            <c:dLbl>
              <c:idx val="1"/>
              <c:layout>
                <c:manualLayout>
                  <c:x val="-5.8305696682580059E-2"/>
                  <c:y val="5.633928679117430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B3E-49E5-BEE9-6804DD547531}"/>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'Leakages 2021'!$N$207:$N$209</c:f>
              <c:strCache>
                <c:ptCount val="3"/>
                <c:pt idx="0">
                  <c:v>Import</c:v>
                </c:pt>
                <c:pt idx="1">
                  <c:v>Opening Stock 2023</c:v>
                </c:pt>
                <c:pt idx="2">
                  <c:v>Production</c:v>
                </c:pt>
              </c:strCache>
            </c:strRef>
          </c:cat>
          <c:val>
            <c:numRef>
              <c:f>'Leakages 2021'!$O$207:$O$209</c:f>
              <c:numCache>
                <c:formatCode>_(* #,##0_);_(* \(#,##0\);_(* "-"??_);_(@_)</c:formatCode>
                <c:ptCount val="3"/>
                <c:pt idx="0">
                  <c:v>1145949.1250000002</c:v>
                </c:pt>
                <c:pt idx="1">
                  <c:v>370439.88835826411</c:v>
                </c:pt>
                <c:pt idx="2">
                  <c:v>31177</c:v>
                </c:pt>
              </c:numCache>
            </c:numRef>
          </c:val>
          <c:extLst>
            <c:ext xmlns:c16="http://schemas.microsoft.com/office/drawing/2014/chart" uri="{C3380CC4-5D6E-409C-BE32-E72D297353CC}">
              <c16:uniqueId val="{00000006-6B3E-49E5-BEE9-6804DD54753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90-4DF1-8EAB-8C0C8A2AB4F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90-4DF1-8EAB-8C0C8A2AB4F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90-4DF1-8EAB-8C0C8A2AB4F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90-4DF1-8EAB-8C0C8A2AB4F9}"/>
              </c:ext>
            </c:extLst>
          </c:dPt>
          <c:dLbls>
            <c:dLbl>
              <c:idx val="1"/>
              <c:layout>
                <c:manualLayout>
                  <c:x val="-0.17749584118886547"/>
                  <c:y val="9.672399711365384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590-4DF1-8EAB-8C0C8A2AB4F9}"/>
                </c:ext>
              </c:extLst>
            </c:dLbl>
            <c:dLbl>
              <c:idx val="2"/>
              <c:layout>
                <c:manualLayout>
                  <c:x val="-0.15202337613493352"/>
                  <c:y val="2.1948918016667857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590-4DF1-8EAB-8C0C8A2AB4F9}"/>
                </c:ext>
              </c:extLst>
            </c:dLbl>
            <c:dLbl>
              <c:idx val="3"/>
              <c:layout>
                <c:manualLayout>
                  <c:x val="0.14677165354330698"/>
                  <c:y val="1.931029014122479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590-4DF1-8EAB-8C0C8A2AB4F9}"/>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Export_2022!$D$112:$G$112</c:f>
              <c:strCache>
                <c:ptCount val="4"/>
                <c:pt idx="0">
                  <c:v>Burkina Faso</c:v>
                </c:pt>
                <c:pt idx="1">
                  <c:v>Niger</c:v>
                </c:pt>
                <c:pt idx="2">
                  <c:v>Mali</c:v>
                </c:pt>
                <c:pt idx="3">
                  <c:v>Togo</c:v>
                </c:pt>
              </c:strCache>
            </c:strRef>
          </c:cat>
          <c:val>
            <c:numRef>
              <c:f>Export_2022!$D$117:$G$117</c:f>
              <c:numCache>
                <c:formatCode>_-* #,##0_-;\-* #,##0_-;_-* "-"??_-;_-@_-</c:formatCode>
                <c:ptCount val="4"/>
                <c:pt idx="0">
                  <c:v>113087930</c:v>
                </c:pt>
                <c:pt idx="1">
                  <c:v>1038000</c:v>
                </c:pt>
                <c:pt idx="2">
                  <c:v>835500</c:v>
                </c:pt>
                <c:pt idx="3">
                  <c:v>410520</c:v>
                </c:pt>
              </c:numCache>
            </c:numRef>
          </c:val>
          <c:extLst>
            <c:ext xmlns:c16="http://schemas.microsoft.com/office/drawing/2014/chart" uri="{C3380CC4-5D6E-409C-BE32-E72D297353CC}">
              <c16:uniqueId val="{00000008-6590-4DF1-8EAB-8C0C8A2AB4F9}"/>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Export_2022!$K$103</c:f>
              <c:strCache>
                <c:ptCount val="1"/>
                <c:pt idx="0">
                  <c:v>Q1-23</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58D-4546-933D-B3CFE0CDA7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58D-4546-933D-B3CFE0CDA7B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58D-4546-933D-B3CFE0CDA7B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58D-4546-933D-B3CFE0CDA7B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Export_2022!$I$104:$I$107</c:f>
              <c:strCache>
                <c:ptCount val="4"/>
                <c:pt idx="0">
                  <c:v>Gasoline</c:v>
                </c:pt>
                <c:pt idx="1">
                  <c:v>Gasoil</c:v>
                </c:pt>
                <c:pt idx="2">
                  <c:v>LPG</c:v>
                </c:pt>
                <c:pt idx="3">
                  <c:v>ATK</c:v>
                </c:pt>
              </c:strCache>
            </c:strRef>
          </c:cat>
          <c:val>
            <c:numRef>
              <c:f>Export_2022!$K$104:$K$107</c:f>
              <c:numCache>
                <c:formatCode>_-* #,##0_-;\-* #,##0_-;_-* "-"??_-;_-@_-</c:formatCode>
                <c:ptCount val="4"/>
                <c:pt idx="0">
                  <c:v>46358.248395620991</c:v>
                </c:pt>
                <c:pt idx="1">
                  <c:v>30621.160524914863</c:v>
                </c:pt>
                <c:pt idx="2">
                  <c:v>16910.45</c:v>
                </c:pt>
                <c:pt idx="3">
                  <c:v>662.58262131226832</c:v>
                </c:pt>
              </c:numCache>
            </c:numRef>
          </c:val>
          <c:extLst>
            <c:ext xmlns:c16="http://schemas.microsoft.com/office/drawing/2014/chart" uri="{C3380CC4-5D6E-409C-BE32-E72D297353CC}">
              <c16:uniqueId val="{00000008-D58D-4546-933D-B3CFE0CDA7B8}"/>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7360479578661313"/>
          <c:y val="0.10471204188481675"/>
          <c:w val="0.4583708695801671"/>
          <c:h val="0.71921854353491022"/>
        </c:manualLayout>
      </c:layout>
      <c:barChart>
        <c:barDir val="bar"/>
        <c:grouping val="clustered"/>
        <c:varyColors val="0"/>
        <c:ser>
          <c:idx val="0"/>
          <c:order val="0"/>
          <c:tx>
            <c:strRef>
              <c:f>'BDC23'!$J$397</c:f>
              <c:strCache>
                <c:ptCount val="1"/>
                <c:pt idx="0">
                  <c:v>Q1-2023</c:v>
                </c:pt>
              </c:strCache>
            </c:strRef>
          </c:tx>
          <c:spPr>
            <a:solidFill>
              <a:schemeClr val="accent1"/>
            </a:solidFill>
            <a:ln>
              <a:noFill/>
            </a:ln>
            <a:effectLst/>
          </c:spPr>
          <c:invertIfNegative val="0"/>
          <c:cat>
            <c:strRef>
              <c:f>'BDC23'!$I$398:$I$417</c:f>
              <c:strCache>
                <c:ptCount val="20"/>
                <c:pt idx="0">
                  <c:v>Misyl Energy Company Limited </c:v>
                </c:pt>
                <c:pt idx="1">
                  <c:v>Globex Energy Limited</c:v>
                </c:pt>
                <c:pt idx="2">
                  <c:v>International Petroleum Resources Ghana Limited</c:v>
                </c:pt>
                <c:pt idx="3">
                  <c:v>Nenser Petroleum Ghana Limited </c:v>
                </c:pt>
                <c:pt idx="4">
                  <c:v>Oil Channel Limited</c:v>
                </c:pt>
                <c:pt idx="5">
                  <c:v>Stratcon Energy And Trading Limited</c:v>
                </c:pt>
                <c:pt idx="6">
                  <c:v>Woodfields Energy Resources Limited</c:v>
                </c:pt>
                <c:pt idx="7">
                  <c:v>Petroleum Warehousing &amp; Supplies Limited</c:v>
                </c:pt>
                <c:pt idx="8">
                  <c:v>Vihama Energy Company Limited</c:v>
                </c:pt>
                <c:pt idx="9">
                  <c:v>Everstone Energy Limited</c:v>
                </c:pt>
                <c:pt idx="10">
                  <c:v>Eagle Petroleum Company Limited</c:v>
                </c:pt>
                <c:pt idx="11">
                  <c:v>Sage Distribution Limited</c:v>
                </c:pt>
                <c:pt idx="12">
                  <c:v>Astra Oil Services Limited</c:v>
                </c:pt>
                <c:pt idx="13">
                  <c:v>Dominion Int. Petroleum Limited</c:v>
                </c:pt>
                <c:pt idx="14">
                  <c:v>Cirrus Oil Services Limited</c:v>
                </c:pt>
                <c:pt idx="15">
                  <c:v>Fueltrade Limited</c:v>
                </c:pt>
                <c:pt idx="16">
                  <c:v>Blue Ocean Investments Limited</c:v>
                </c:pt>
                <c:pt idx="17">
                  <c:v>Maranatha Oil Services Limited</c:v>
                </c:pt>
                <c:pt idx="18">
                  <c:v>Juwel Energy Limited </c:v>
                </c:pt>
                <c:pt idx="19">
                  <c:v>Go Energy Company Limited</c:v>
                </c:pt>
              </c:strCache>
            </c:strRef>
          </c:cat>
          <c:val>
            <c:numRef>
              <c:f>'BDC23'!$J$398:$J$417</c:f>
              <c:numCache>
                <c:formatCode>0.00%</c:formatCode>
                <c:ptCount val="20"/>
                <c:pt idx="0">
                  <c:v>8.0294037458335018E-3</c:v>
                </c:pt>
                <c:pt idx="1">
                  <c:v>8.6144361584928608E-3</c:v>
                </c:pt>
                <c:pt idx="2">
                  <c:v>8.9523647228218241E-3</c:v>
                </c:pt>
                <c:pt idx="3">
                  <c:v>1.1497298076050969E-2</c:v>
                </c:pt>
                <c:pt idx="4">
                  <c:v>1.371305149402742E-2</c:v>
                </c:pt>
                <c:pt idx="5">
                  <c:v>1.447483642042495E-2</c:v>
                </c:pt>
                <c:pt idx="6">
                  <c:v>1.4620800509127348E-2</c:v>
                </c:pt>
                <c:pt idx="7">
                  <c:v>1.6724278889290928E-2</c:v>
                </c:pt>
                <c:pt idx="8">
                  <c:v>1.9632883995991172E-2</c:v>
                </c:pt>
                <c:pt idx="9">
                  <c:v>2.2336565782951533E-2</c:v>
                </c:pt>
                <c:pt idx="10">
                  <c:v>2.6983664958438631E-2</c:v>
                </c:pt>
                <c:pt idx="11">
                  <c:v>3.3866848819490453E-2</c:v>
                </c:pt>
                <c:pt idx="12">
                  <c:v>4.6505494205343313E-2</c:v>
                </c:pt>
                <c:pt idx="13">
                  <c:v>5.3316370710944083E-2</c:v>
                </c:pt>
                <c:pt idx="14">
                  <c:v>5.3324186848217089E-2</c:v>
                </c:pt>
                <c:pt idx="15">
                  <c:v>5.7283318704080571E-2</c:v>
                </c:pt>
                <c:pt idx="16">
                  <c:v>6.5280487738853962E-2</c:v>
                </c:pt>
                <c:pt idx="17">
                  <c:v>0.10111956478184855</c:v>
                </c:pt>
                <c:pt idx="18">
                  <c:v>0.17271002835238466</c:v>
                </c:pt>
                <c:pt idx="19">
                  <c:v>0.18946384484142575</c:v>
                </c:pt>
              </c:numCache>
            </c:numRef>
          </c:val>
          <c:extLst>
            <c:ext xmlns:c16="http://schemas.microsoft.com/office/drawing/2014/chart" uri="{C3380CC4-5D6E-409C-BE32-E72D297353CC}">
              <c16:uniqueId val="{00000000-D216-4AC9-89EF-9C4811C34D37}"/>
            </c:ext>
          </c:extLst>
        </c:ser>
        <c:ser>
          <c:idx val="1"/>
          <c:order val="1"/>
          <c:tx>
            <c:strRef>
              <c:f>'BDC23'!$K$397</c:f>
              <c:strCache>
                <c:ptCount val="1"/>
                <c:pt idx="0">
                  <c:v>Q4-2022</c:v>
                </c:pt>
              </c:strCache>
            </c:strRef>
          </c:tx>
          <c:spPr>
            <a:solidFill>
              <a:schemeClr val="accent2"/>
            </a:solidFill>
            <a:ln>
              <a:noFill/>
            </a:ln>
            <a:effectLst/>
          </c:spPr>
          <c:invertIfNegative val="0"/>
          <c:cat>
            <c:strRef>
              <c:f>'BDC23'!$I$398:$I$417</c:f>
              <c:strCache>
                <c:ptCount val="20"/>
                <c:pt idx="0">
                  <c:v>Misyl Energy Company Limited </c:v>
                </c:pt>
                <c:pt idx="1">
                  <c:v>Globex Energy Limited</c:v>
                </c:pt>
                <c:pt idx="2">
                  <c:v>International Petroleum Resources Ghana Limited</c:v>
                </c:pt>
                <c:pt idx="3">
                  <c:v>Nenser Petroleum Ghana Limited </c:v>
                </c:pt>
                <c:pt idx="4">
                  <c:v>Oil Channel Limited</c:v>
                </c:pt>
                <c:pt idx="5">
                  <c:v>Stratcon Energy And Trading Limited</c:v>
                </c:pt>
                <c:pt idx="6">
                  <c:v>Woodfields Energy Resources Limited</c:v>
                </c:pt>
                <c:pt idx="7">
                  <c:v>Petroleum Warehousing &amp; Supplies Limited</c:v>
                </c:pt>
                <c:pt idx="8">
                  <c:v>Vihama Energy Company Limited</c:v>
                </c:pt>
                <c:pt idx="9">
                  <c:v>Everstone Energy Limited</c:v>
                </c:pt>
                <c:pt idx="10">
                  <c:v>Eagle Petroleum Company Limited</c:v>
                </c:pt>
                <c:pt idx="11">
                  <c:v>Sage Distribution Limited</c:v>
                </c:pt>
                <c:pt idx="12">
                  <c:v>Astra Oil Services Limited</c:v>
                </c:pt>
                <c:pt idx="13">
                  <c:v>Dominion Int. Petroleum Limited</c:v>
                </c:pt>
                <c:pt idx="14">
                  <c:v>Cirrus Oil Services Limited</c:v>
                </c:pt>
                <c:pt idx="15">
                  <c:v>Fueltrade Limited</c:v>
                </c:pt>
                <c:pt idx="16">
                  <c:v>Blue Ocean Investments Limited</c:v>
                </c:pt>
                <c:pt idx="17">
                  <c:v>Maranatha Oil Services Limited</c:v>
                </c:pt>
                <c:pt idx="18">
                  <c:v>Juwel Energy Limited </c:v>
                </c:pt>
                <c:pt idx="19">
                  <c:v>Go Energy Company Limited</c:v>
                </c:pt>
              </c:strCache>
            </c:strRef>
          </c:cat>
          <c:val>
            <c:numRef>
              <c:f>'BDC23'!$K$398:$K$417</c:f>
              <c:numCache>
                <c:formatCode>0.00%</c:formatCode>
                <c:ptCount val="20"/>
                <c:pt idx="0">
                  <c:v>1.0897726720480503E-2</c:v>
                </c:pt>
                <c:pt idx="1">
                  <c:v>1.7122112369520573E-3</c:v>
                </c:pt>
                <c:pt idx="2">
                  <c:v>1.3010479859824176E-2</c:v>
                </c:pt>
                <c:pt idx="3">
                  <c:v>1.3358239384764901E-2</c:v>
                </c:pt>
                <c:pt idx="4">
                  <c:v>1.6008875256966211E-2</c:v>
                </c:pt>
                <c:pt idx="5">
                  <c:v>4.0660515634647334E-3</c:v>
                </c:pt>
                <c:pt idx="6">
                  <c:v>4.983476106834431E-5</c:v>
                </c:pt>
                <c:pt idx="7">
                  <c:v>1.5439149856727306E-2</c:v>
                </c:pt>
                <c:pt idx="8">
                  <c:v>2.3809087028925903E-2</c:v>
                </c:pt>
                <c:pt idx="9">
                  <c:v>1.7614029149192911E-2</c:v>
                </c:pt>
                <c:pt idx="10">
                  <c:v>3.1657493699324059E-2</c:v>
                </c:pt>
                <c:pt idx="11">
                  <c:v>4.1104612882716725E-2</c:v>
                </c:pt>
                <c:pt idx="12">
                  <c:v>6.5658682431025905E-2</c:v>
                </c:pt>
                <c:pt idx="13">
                  <c:v>6.7340471743931998E-2</c:v>
                </c:pt>
                <c:pt idx="14">
                  <c:v>4.6763255194286465E-2</c:v>
                </c:pt>
                <c:pt idx="15">
                  <c:v>5.8649330836326126E-2</c:v>
                </c:pt>
                <c:pt idx="16">
                  <c:v>5.2072447529155949E-2</c:v>
                </c:pt>
                <c:pt idx="17">
                  <c:v>9.225082918903818E-2</c:v>
                </c:pt>
                <c:pt idx="18">
                  <c:v>0.15673726975776614</c:v>
                </c:pt>
                <c:pt idx="19">
                  <c:v>0.20529347388600871</c:v>
                </c:pt>
              </c:numCache>
            </c:numRef>
          </c:val>
          <c:extLst>
            <c:ext xmlns:c16="http://schemas.microsoft.com/office/drawing/2014/chart" uri="{C3380CC4-5D6E-409C-BE32-E72D297353CC}">
              <c16:uniqueId val="{00000001-D216-4AC9-89EF-9C4811C34D37}"/>
            </c:ext>
          </c:extLst>
        </c:ser>
        <c:dLbls>
          <c:showLegendKey val="0"/>
          <c:showVal val="0"/>
          <c:showCatName val="0"/>
          <c:showSerName val="0"/>
          <c:showPercent val="0"/>
          <c:showBubbleSize val="0"/>
        </c:dLbls>
        <c:gapWidth val="182"/>
        <c:axId val="424552592"/>
        <c:axId val="424551808"/>
      </c:barChart>
      <c:catAx>
        <c:axId val="424552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crossAx val="424551808"/>
        <c:crosses val="autoZero"/>
        <c:auto val="1"/>
        <c:lblAlgn val="ctr"/>
        <c:lblOffset val="100"/>
        <c:noMultiLvlLbl val="0"/>
      </c:catAx>
      <c:valAx>
        <c:axId val="42455180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crossAx val="42455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49190352978536"/>
          <c:y val="3.9747052828584643E-2"/>
          <c:w val="0.86704777624046714"/>
          <c:h val="0.78368440388835381"/>
        </c:manualLayout>
      </c:layout>
      <c:lineChart>
        <c:grouping val="standard"/>
        <c:varyColors val="0"/>
        <c:ser>
          <c:idx val="0"/>
          <c:order val="0"/>
          <c:tx>
            <c:strRef>
              <c:f>'Q1 2022 '!$T$159</c:f>
              <c:strCache>
                <c:ptCount val="1"/>
                <c:pt idx="0">
                  <c:v>Actual Score</c:v>
                </c:pt>
              </c:strCache>
            </c:strRef>
          </c:tx>
          <c:spPr>
            <a:ln w="38100" cap="rnd">
              <a:solidFill>
                <a:schemeClr val="accent1"/>
              </a:solidFill>
              <a:prstDash val="solid"/>
              <a:round/>
            </a:ln>
            <a:effectLst/>
          </c:spPr>
          <c:marker>
            <c:symbol val="none"/>
          </c:marker>
          <c:cat>
            <c:strRef>
              <c:f>'Q1 2022 '!$S$160:$S$164</c:f>
              <c:strCache>
                <c:ptCount val="5"/>
                <c:pt idx="0">
                  <c:v>Q1 2022</c:v>
                </c:pt>
                <c:pt idx="1">
                  <c:v>Q2 2022</c:v>
                </c:pt>
                <c:pt idx="2">
                  <c:v>Q3 2022</c:v>
                </c:pt>
                <c:pt idx="3">
                  <c:v>Q4 2022</c:v>
                </c:pt>
                <c:pt idx="4">
                  <c:v>Q1 2023</c:v>
                </c:pt>
              </c:strCache>
            </c:strRef>
          </c:cat>
          <c:val>
            <c:numRef>
              <c:f>'Q1 2022 '!$T$160:$T$164</c:f>
              <c:numCache>
                <c:formatCode>_(* #,##0_);_(* \(#,##0\);_(* "-"??_);_(@_)</c:formatCode>
                <c:ptCount val="5"/>
                <c:pt idx="0">
                  <c:v>814.45275354880664</c:v>
                </c:pt>
                <c:pt idx="1">
                  <c:v>1008.5042833696313</c:v>
                </c:pt>
                <c:pt idx="2">
                  <c:v>992.32516472546808</c:v>
                </c:pt>
                <c:pt idx="3">
                  <c:v>974.40445684407928</c:v>
                </c:pt>
                <c:pt idx="4">
                  <c:v>956.50142123013154</c:v>
                </c:pt>
              </c:numCache>
            </c:numRef>
          </c:val>
          <c:smooth val="0"/>
          <c:extLst>
            <c:ext xmlns:c16="http://schemas.microsoft.com/office/drawing/2014/chart" uri="{C3380CC4-5D6E-409C-BE32-E72D297353CC}">
              <c16:uniqueId val="{00000000-FAE0-4559-87A1-C78175F5FF42}"/>
            </c:ext>
          </c:extLst>
        </c:ser>
        <c:ser>
          <c:idx val="1"/>
          <c:order val="1"/>
          <c:tx>
            <c:strRef>
              <c:f>'Q1 2022 '!$U$159</c:f>
              <c:strCache>
                <c:ptCount val="1"/>
                <c:pt idx="0">
                  <c:v>Benchmark Score</c:v>
                </c:pt>
              </c:strCache>
            </c:strRef>
          </c:tx>
          <c:spPr>
            <a:ln w="28575" cap="rnd">
              <a:solidFill>
                <a:srgbClr val="FF0000"/>
              </a:solidFill>
              <a:round/>
            </a:ln>
            <a:effectLst/>
          </c:spPr>
          <c:marker>
            <c:symbol val="none"/>
          </c:marker>
          <c:cat>
            <c:strRef>
              <c:f>'Q1 2022 '!$S$160:$S$164</c:f>
              <c:strCache>
                <c:ptCount val="5"/>
                <c:pt idx="0">
                  <c:v>Q1 2022</c:v>
                </c:pt>
                <c:pt idx="1">
                  <c:v>Q2 2022</c:v>
                </c:pt>
                <c:pt idx="2">
                  <c:v>Q3 2022</c:v>
                </c:pt>
                <c:pt idx="3">
                  <c:v>Q4 2022</c:v>
                </c:pt>
                <c:pt idx="4">
                  <c:v>Q1 2023</c:v>
                </c:pt>
              </c:strCache>
            </c:strRef>
          </c:cat>
          <c:val>
            <c:numRef>
              <c:f>'Q1 2022 '!$U$160:$U$164</c:f>
              <c:numCache>
                <c:formatCode>General</c:formatCode>
                <c:ptCount val="5"/>
                <c:pt idx="0">
                  <c:v>1500</c:v>
                </c:pt>
                <c:pt idx="1">
                  <c:v>1500</c:v>
                </c:pt>
                <c:pt idx="2">
                  <c:v>1500</c:v>
                </c:pt>
                <c:pt idx="3">
                  <c:v>1500</c:v>
                </c:pt>
                <c:pt idx="4">
                  <c:v>1500</c:v>
                </c:pt>
              </c:numCache>
            </c:numRef>
          </c:val>
          <c:smooth val="0"/>
          <c:extLst>
            <c:ext xmlns:c16="http://schemas.microsoft.com/office/drawing/2014/chart" uri="{C3380CC4-5D6E-409C-BE32-E72D297353CC}">
              <c16:uniqueId val="{00000001-FAE0-4559-87A1-C78175F5FF42}"/>
            </c:ext>
          </c:extLst>
        </c:ser>
        <c:dLbls>
          <c:showLegendKey val="0"/>
          <c:showVal val="0"/>
          <c:showCatName val="0"/>
          <c:showSerName val="0"/>
          <c:showPercent val="0"/>
          <c:showBubbleSize val="0"/>
        </c:dLbls>
        <c:smooth val="0"/>
        <c:axId val="892112328"/>
        <c:axId val="892113896"/>
      </c:lineChart>
      <c:catAx>
        <c:axId val="892112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113896"/>
        <c:crosses val="autoZero"/>
        <c:auto val="1"/>
        <c:lblAlgn val="ctr"/>
        <c:lblOffset val="100"/>
        <c:noMultiLvlLbl val="0"/>
      </c:catAx>
      <c:valAx>
        <c:axId val="892113896"/>
        <c:scaling>
          <c:orientation val="minMax"/>
          <c:min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HHI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112328"/>
        <c:crosses val="autoZero"/>
        <c:crossBetween val="between"/>
      </c:valAx>
      <c:spPr>
        <a:noFill/>
        <a:ln>
          <a:noFill/>
        </a:ln>
        <a:effectLst/>
      </c:spPr>
    </c:plotArea>
    <c:legend>
      <c:legendPos val="b"/>
      <c:layout>
        <c:manualLayout>
          <c:xMode val="edge"/>
          <c:yMode val="edge"/>
          <c:x val="0.11091095064065054"/>
          <c:y val="0.9133787269721384"/>
          <c:w val="0.45783868474450884"/>
          <c:h val="6.49438492319607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'OMC20'!$M$1116</c:f>
              <c:strCache>
                <c:ptCount val="1"/>
                <c:pt idx="0">
                  <c:v>Q4 2022</c:v>
                </c:pt>
              </c:strCache>
            </c:strRef>
          </c:tx>
          <c:spPr>
            <a:solidFill>
              <a:schemeClr val="accent1"/>
            </a:solidFill>
            <a:ln>
              <a:noFill/>
            </a:ln>
            <a:effectLst/>
          </c:spPr>
          <c:invertIfNegative val="0"/>
          <c:cat>
            <c:strRef>
              <c:f>'OMC20'!$L$1117:$L$1136</c:f>
              <c:strCache>
                <c:ptCount val="20"/>
                <c:pt idx="0">
                  <c:v>Goil Plc</c:v>
                </c:pt>
                <c:pt idx="1">
                  <c:v>Vivo Energy Ghana Limited  </c:v>
                </c:pt>
                <c:pt idx="2">
                  <c:v>Star Oil Company Limited </c:v>
                </c:pt>
                <c:pt idx="3">
                  <c:v>TotalEnergies Marketing Ghana Plc</c:v>
                </c:pt>
                <c:pt idx="4">
                  <c:v>Zen Petroleum Limited </c:v>
                </c:pt>
                <c:pt idx="5">
                  <c:v>Puma Energy Distribution Ghana Limited </c:v>
                </c:pt>
                <c:pt idx="6">
                  <c:v>Benab Oil Company Limited</c:v>
                </c:pt>
                <c:pt idx="7">
                  <c:v>Dukes Petroleum Limited </c:v>
                </c:pt>
                <c:pt idx="8">
                  <c:v>Frimps Oil Company Limited </c:v>
                </c:pt>
                <c:pt idx="9">
                  <c:v>Gaso Petroleum Limited</c:v>
                </c:pt>
                <c:pt idx="10">
                  <c:v>Petrosol Ghana Limited</c:v>
                </c:pt>
                <c:pt idx="11">
                  <c:v>IBM Petroleum Limited</c:v>
                </c:pt>
                <c:pt idx="12">
                  <c:v>Allied Oil Company Limited</c:v>
                </c:pt>
                <c:pt idx="13">
                  <c:v>Goodness Energy Limited</c:v>
                </c:pt>
                <c:pt idx="14">
                  <c:v>Frontier Oil Ghana Limited</c:v>
                </c:pt>
                <c:pt idx="15">
                  <c:v>Pacific Oil Ghana Limited</c:v>
                </c:pt>
                <c:pt idx="16">
                  <c:v>Reliance Oil Limited</c:v>
                </c:pt>
                <c:pt idx="17">
                  <c:v>Naagamni Ghana Limited</c:v>
                </c:pt>
                <c:pt idx="18">
                  <c:v>Mobik Energy Limited</c:v>
                </c:pt>
                <c:pt idx="19">
                  <c:v>JP Trustees Limited</c:v>
                </c:pt>
              </c:strCache>
            </c:strRef>
          </c:cat>
          <c:val>
            <c:numRef>
              <c:f>'OMC20'!$M$1117:$M$1136</c:f>
              <c:numCache>
                <c:formatCode>0.00%</c:formatCode>
                <c:ptCount val="20"/>
                <c:pt idx="0">
                  <c:v>0.20579067938245588</c:v>
                </c:pt>
                <c:pt idx="1">
                  <c:v>8.6902279305963739E-2</c:v>
                </c:pt>
                <c:pt idx="2">
                  <c:v>7.4336542025394012E-2</c:v>
                </c:pt>
                <c:pt idx="3">
                  <c:v>7.9639944362613777E-2</c:v>
                </c:pt>
                <c:pt idx="4">
                  <c:v>7.5258418943302971E-2</c:v>
                </c:pt>
                <c:pt idx="5">
                  <c:v>4.4774587628280023E-2</c:v>
                </c:pt>
                <c:pt idx="6">
                  <c:v>2.84459322904499E-2</c:v>
                </c:pt>
                <c:pt idx="7">
                  <c:v>2.1678709564081727E-2</c:v>
                </c:pt>
                <c:pt idx="8">
                  <c:v>1.9404910849573544E-2</c:v>
                </c:pt>
                <c:pt idx="9">
                  <c:v>2.1516879186730592E-2</c:v>
                </c:pt>
                <c:pt idx="10">
                  <c:v>1.9235920054355631E-2</c:v>
                </c:pt>
                <c:pt idx="11">
                  <c:v>1.8088342476414582E-2</c:v>
                </c:pt>
                <c:pt idx="12">
                  <c:v>1.6418918605812963E-2</c:v>
                </c:pt>
                <c:pt idx="13">
                  <c:v>1.4361203708503795E-2</c:v>
                </c:pt>
                <c:pt idx="14">
                  <c:v>7.5710138800408533E-3</c:v>
                </c:pt>
                <c:pt idx="15">
                  <c:v>1.740377086634478E-2</c:v>
                </c:pt>
                <c:pt idx="16">
                  <c:v>1.0920725329492785E-2</c:v>
                </c:pt>
                <c:pt idx="17">
                  <c:v>6.5324072518865677E-3</c:v>
                </c:pt>
                <c:pt idx="18">
                  <c:v>9.0588758613379117E-3</c:v>
                </c:pt>
                <c:pt idx="19">
                  <c:v>1.0231922770393056E-2</c:v>
                </c:pt>
              </c:numCache>
            </c:numRef>
          </c:val>
          <c:extLst>
            <c:ext xmlns:c16="http://schemas.microsoft.com/office/drawing/2014/chart" uri="{C3380CC4-5D6E-409C-BE32-E72D297353CC}">
              <c16:uniqueId val="{00000000-124D-4B47-8BD1-AC2CA5F7B4F3}"/>
            </c:ext>
          </c:extLst>
        </c:ser>
        <c:ser>
          <c:idx val="1"/>
          <c:order val="1"/>
          <c:tx>
            <c:strRef>
              <c:f>'OMC20'!$N$1116</c:f>
              <c:strCache>
                <c:ptCount val="1"/>
                <c:pt idx="0">
                  <c:v>Q1 2023</c:v>
                </c:pt>
              </c:strCache>
            </c:strRef>
          </c:tx>
          <c:spPr>
            <a:solidFill>
              <a:schemeClr val="accent2"/>
            </a:solidFill>
            <a:ln>
              <a:noFill/>
            </a:ln>
            <a:effectLst/>
          </c:spPr>
          <c:invertIfNegative val="0"/>
          <c:cat>
            <c:strRef>
              <c:f>'OMC20'!$L$1117:$L$1136</c:f>
              <c:strCache>
                <c:ptCount val="20"/>
                <c:pt idx="0">
                  <c:v>Goil Plc</c:v>
                </c:pt>
                <c:pt idx="1">
                  <c:v>Vivo Energy Ghana Limited  </c:v>
                </c:pt>
                <c:pt idx="2">
                  <c:v>Star Oil Company Limited </c:v>
                </c:pt>
                <c:pt idx="3">
                  <c:v>TotalEnergies Marketing Ghana Plc</c:v>
                </c:pt>
                <c:pt idx="4">
                  <c:v>Zen Petroleum Limited </c:v>
                </c:pt>
                <c:pt idx="5">
                  <c:v>Puma Energy Distribution Ghana Limited </c:v>
                </c:pt>
                <c:pt idx="6">
                  <c:v>Benab Oil Company Limited</c:v>
                </c:pt>
                <c:pt idx="7">
                  <c:v>Dukes Petroleum Limited </c:v>
                </c:pt>
                <c:pt idx="8">
                  <c:v>Frimps Oil Company Limited </c:v>
                </c:pt>
                <c:pt idx="9">
                  <c:v>Gaso Petroleum Limited</c:v>
                </c:pt>
                <c:pt idx="10">
                  <c:v>Petrosol Ghana Limited</c:v>
                </c:pt>
                <c:pt idx="11">
                  <c:v>IBM Petroleum Limited</c:v>
                </c:pt>
                <c:pt idx="12">
                  <c:v>Allied Oil Company Limited</c:v>
                </c:pt>
                <c:pt idx="13">
                  <c:v>Goodness Energy Limited</c:v>
                </c:pt>
                <c:pt idx="14">
                  <c:v>Frontier Oil Ghana Limited</c:v>
                </c:pt>
                <c:pt idx="15">
                  <c:v>Pacific Oil Ghana Limited</c:v>
                </c:pt>
                <c:pt idx="16">
                  <c:v>Reliance Oil Limited</c:v>
                </c:pt>
                <c:pt idx="17">
                  <c:v>Naagamni Ghana Limited</c:v>
                </c:pt>
                <c:pt idx="18">
                  <c:v>Mobik Energy Limited</c:v>
                </c:pt>
                <c:pt idx="19">
                  <c:v>JP Trustees Limited</c:v>
                </c:pt>
              </c:strCache>
            </c:strRef>
          </c:cat>
          <c:val>
            <c:numRef>
              <c:f>'OMC20'!$N$1117:$N$1136</c:f>
              <c:numCache>
                <c:formatCode>0.00%</c:formatCode>
                <c:ptCount val="20"/>
                <c:pt idx="0">
                  <c:v>0.18775875298398495</c:v>
                </c:pt>
                <c:pt idx="1">
                  <c:v>8.5011244304206271E-2</c:v>
                </c:pt>
                <c:pt idx="2">
                  <c:v>8.4669157873164952E-2</c:v>
                </c:pt>
                <c:pt idx="3">
                  <c:v>7.6457016774806472E-2</c:v>
                </c:pt>
                <c:pt idx="4">
                  <c:v>6.8156364122374052E-2</c:v>
                </c:pt>
                <c:pt idx="5">
                  <c:v>4.4133595366122602E-2</c:v>
                </c:pt>
                <c:pt idx="6">
                  <c:v>2.8089054194860037E-2</c:v>
                </c:pt>
                <c:pt idx="7">
                  <c:v>2.2072957921489507E-2</c:v>
                </c:pt>
                <c:pt idx="8">
                  <c:v>2.1904474880858189E-2</c:v>
                </c:pt>
                <c:pt idx="9">
                  <c:v>1.9972803873511046E-2</c:v>
                </c:pt>
                <c:pt idx="10">
                  <c:v>1.992739954159032E-2</c:v>
                </c:pt>
                <c:pt idx="11">
                  <c:v>1.9362500208300236E-2</c:v>
                </c:pt>
                <c:pt idx="12">
                  <c:v>1.5535381952248815E-2</c:v>
                </c:pt>
                <c:pt idx="13">
                  <c:v>1.5273651842479306E-2</c:v>
                </c:pt>
                <c:pt idx="14">
                  <c:v>1.4106475185484206E-2</c:v>
                </c:pt>
                <c:pt idx="15">
                  <c:v>1.2514624034070467E-2</c:v>
                </c:pt>
                <c:pt idx="16">
                  <c:v>1.0765564698568699E-2</c:v>
                </c:pt>
                <c:pt idx="17">
                  <c:v>1.0143946549753299E-2</c:v>
                </c:pt>
                <c:pt idx="18">
                  <c:v>9.862701336292027E-3</c:v>
                </c:pt>
                <c:pt idx="19">
                  <c:v>9.7833242811203591E-3</c:v>
                </c:pt>
              </c:numCache>
            </c:numRef>
          </c:val>
          <c:extLst>
            <c:ext xmlns:c16="http://schemas.microsoft.com/office/drawing/2014/chart" uri="{C3380CC4-5D6E-409C-BE32-E72D297353CC}">
              <c16:uniqueId val="{00000001-124D-4B47-8BD1-AC2CA5F7B4F3}"/>
            </c:ext>
          </c:extLst>
        </c:ser>
        <c:dLbls>
          <c:showLegendKey val="0"/>
          <c:showVal val="0"/>
          <c:showCatName val="0"/>
          <c:showSerName val="0"/>
          <c:showPercent val="0"/>
          <c:showBubbleSize val="0"/>
        </c:dLbls>
        <c:gapWidth val="219"/>
        <c:overlap val="-27"/>
        <c:axId val="522523920"/>
        <c:axId val="522524704"/>
      </c:barChart>
      <c:catAx>
        <c:axId val="52252392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n-US"/>
          </a:p>
        </c:txPr>
        <c:crossAx val="522524704"/>
        <c:crosses val="autoZero"/>
        <c:auto val="1"/>
        <c:lblAlgn val="ctr"/>
        <c:lblOffset val="100"/>
        <c:noMultiLvlLbl val="0"/>
      </c:catAx>
      <c:valAx>
        <c:axId val="5225247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solidFill>
              <a:schemeClr val="tx2"/>
            </a:solid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522523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'Q1-2023'!$V$610</c:f>
              <c:strCache>
                <c:ptCount val="1"/>
                <c:pt idx="0">
                  <c:v>Actual Score</c:v>
                </c:pt>
              </c:strCache>
            </c:strRef>
          </c:tx>
          <c:spPr>
            <a:ln w="38100" cap="rnd">
              <a:solidFill>
                <a:schemeClr val="accent1"/>
              </a:solidFill>
              <a:prstDash val="solid"/>
              <a:round/>
            </a:ln>
            <a:effectLst/>
          </c:spPr>
          <c:marker>
            <c:symbol val="none"/>
          </c:marker>
          <c:cat>
            <c:strRef>
              <c:f>'Q1-2023'!$U$611:$U$615</c:f>
              <c:strCache>
                <c:ptCount val="5"/>
                <c:pt idx="0">
                  <c:v>Q1 2022</c:v>
                </c:pt>
                <c:pt idx="1">
                  <c:v>Q2 2022</c:v>
                </c:pt>
                <c:pt idx="2">
                  <c:v>Q3 2022</c:v>
                </c:pt>
                <c:pt idx="3">
                  <c:v>Q4 2022</c:v>
                </c:pt>
                <c:pt idx="4">
                  <c:v>Q1 2023</c:v>
                </c:pt>
              </c:strCache>
            </c:strRef>
          </c:cat>
          <c:val>
            <c:numRef>
              <c:f>'Q1-2023'!$V$611:$V$615</c:f>
              <c:numCache>
                <c:formatCode>0</c:formatCode>
                <c:ptCount val="5"/>
                <c:pt idx="0">
                  <c:v>644.4516458178465</c:v>
                </c:pt>
                <c:pt idx="1">
                  <c:v>750.66795885348358</c:v>
                </c:pt>
                <c:pt idx="2">
                  <c:v>759.04798462374004</c:v>
                </c:pt>
                <c:pt idx="3">
                  <c:v>742.23063078465816</c:v>
                </c:pt>
                <c:pt idx="4">
                  <c:v>670.65827931166507</c:v>
                </c:pt>
              </c:numCache>
            </c:numRef>
          </c:val>
          <c:smooth val="0"/>
          <c:extLst>
            <c:ext xmlns:c16="http://schemas.microsoft.com/office/drawing/2014/chart" uri="{C3380CC4-5D6E-409C-BE32-E72D297353CC}">
              <c16:uniqueId val="{00000000-725D-44D9-BAEF-D8DB96D3BC16}"/>
            </c:ext>
          </c:extLst>
        </c:ser>
        <c:ser>
          <c:idx val="1"/>
          <c:order val="1"/>
          <c:tx>
            <c:strRef>
              <c:f>'Q1-2023'!$W$610</c:f>
              <c:strCache>
                <c:ptCount val="1"/>
                <c:pt idx="0">
                  <c:v>Benchmark Score</c:v>
                </c:pt>
              </c:strCache>
            </c:strRef>
          </c:tx>
          <c:spPr>
            <a:ln w="28575" cap="rnd">
              <a:solidFill>
                <a:srgbClr val="FF0000"/>
              </a:solidFill>
              <a:round/>
            </a:ln>
            <a:effectLst/>
          </c:spPr>
          <c:marker>
            <c:symbol val="none"/>
          </c:marker>
          <c:cat>
            <c:strRef>
              <c:f>'Q1-2023'!$U$611:$U$615</c:f>
              <c:strCache>
                <c:ptCount val="5"/>
                <c:pt idx="0">
                  <c:v>Q1 2022</c:v>
                </c:pt>
                <c:pt idx="1">
                  <c:v>Q2 2022</c:v>
                </c:pt>
                <c:pt idx="2">
                  <c:v>Q3 2022</c:v>
                </c:pt>
                <c:pt idx="3">
                  <c:v>Q4 2022</c:v>
                </c:pt>
                <c:pt idx="4">
                  <c:v>Q1 2023</c:v>
                </c:pt>
              </c:strCache>
            </c:strRef>
          </c:cat>
          <c:val>
            <c:numRef>
              <c:f>'Q1-2023'!$W$611:$W$615</c:f>
              <c:numCache>
                <c:formatCode>_(* #,##0_);_(* \(#,##0\);_(* "-"??_);_(@_)</c:formatCode>
                <c:ptCount val="5"/>
                <c:pt idx="0">
                  <c:v>1500</c:v>
                </c:pt>
                <c:pt idx="1">
                  <c:v>1500</c:v>
                </c:pt>
                <c:pt idx="2">
                  <c:v>1500</c:v>
                </c:pt>
                <c:pt idx="3">
                  <c:v>1500</c:v>
                </c:pt>
                <c:pt idx="4">
                  <c:v>1500</c:v>
                </c:pt>
              </c:numCache>
            </c:numRef>
          </c:val>
          <c:smooth val="0"/>
          <c:extLst>
            <c:ext xmlns:c16="http://schemas.microsoft.com/office/drawing/2014/chart" uri="{C3380CC4-5D6E-409C-BE32-E72D297353CC}">
              <c16:uniqueId val="{00000001-725D-44D9-BAEF-D8DB96D3BC16}"/>
            </c:ext>
          </c:extLst>
        </c:ser>
        <c:dLbls>
          <c:showLegendKey val="0"/>
          <c:showVal val="0"/>
          <c:showCatName val="0"/>
          <c:showSerName val="0"/>
          <c:showPercent val="0"/>
          <c:showBubbleSize val="0"/>
        </c:dLbls>
        <c:smooth val="0"/>
        <c:axId val="660671624"/>
        <c:axId val="660670448"/>
      </c:lineChart>
      <c:catAx>
        <c:axId val="66067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670448"/>
        <c:crosses val="autoZero"/>
        <c:auto val="1"/>
        <c:lblAlgn val="ctr"/>
        <c:lblOffset val="100"/>
        <c:noMultiLvlLbl val="0"/>
      </c:catAx>
      <c:valAx>
        <c:axId val="660670448"/>
        <c:scaling>
          <c:orientation val="minMax"/>
          <c:min val="6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671624"/>
        <c:crosses val="autoZero"/>
        <c:crossBetween val="between"/>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DepotSales!$B$674</c:f>
              <c:strCache>
                <c:ptCount val="1"/>
                <c:pt idx="0">
                  <c:v>Q1-2023</c:v>
                </c:pt>
              </c:strCache>
            </c:strRef>
          </c:tx>
          <c:spPr>
            <a:solidFill>
              <a:schemeClr val="accent1"/>
            </a:solidFill>
            <a:ln>
              <a:noFill/>
            </a:ln>
            <a:effectLst/>
          </c:spPr>
          <c:invertIfNegative val="0"/>
          <c:cat>
            <c:strRef>
              <c:f>DepotSales!$A$675:$A$694</c:f>
              <c:strCache>
                <c:ptCount val="20"/>
                <c:pt idx="0">
                  <c:v>Akwaaba Link Investments Limited</c:v>
                </c:pt>
                <c:pt idx="1">
                  <c:v>Platon Oil Gas Ghana Limited</c:v>
                </c:pt>
                <c:pt idx="2">
                  <c:v>Takoradi Blue Ocean Investment Limited</c:v>
                </c:pt>
                <c:pt idx="3">
                  <c:v>Vana Energy Limited,Tema</c:v>
                </c:pt>
                <c:pt idx="4">
                  <c:v>Goil MGO Terminal</c:v>
                </c:pt>
                <c:pt idx="5">
                  <c:v>Matrix Gas Ghana Limited</c:v>
                </c:pt>
                <c:pt idx="6">
                  <c:v>Quantum Terminals Limited, Atoabo</c:v>
                </c:pt>
                <c:pt idx="7">
                  <c:v>BOST - Buipe</c:v>
                </c:pt>
                <c:pt idx="8">
                  <c:v>Ridge Energy Limited</c:v>
                </c:pt>
                <c:pt idx="9">
                  <c:v>Vana Energy Limited Tema</c:v>
                </c:pt>
                <c:pt idx="10">
                  <c:v>Ghanstock Limited (Takoradi)</c:v>
                </c:pt>
                <c:pt idx="11">
                  <c:v>Tema Oil Terminal Plc</c:v>
                </c:pt>
                <c:pt idx="12">
                  <c:v>Zen Terminals Limited</c:v>
                </c:pt>
                <c:pt idx="13">
                  <c:v>Tema Oil Refinery (TOR)</c:v>
                </c:pt>
                <c:pt idx="14">
                  <c:v>Tema Multi Products (TMPT)</c:v>
                </c:pt>
                <c:pt idx="15">
                  <c:v>BOST - Accra Plains</c:v>
                </c:pt>
                <c:pt idx="16">
                  <c:v>Quantum Oil Terminal Limited</c:v>
                </c:pt>
                <c:pt idx="17">
                  <c:v>BOST - Kumasi</c:v>
                </c:pt>
                <c:pt idx="18">
                  <c:v>Tema Fuel Company (TFC)</c:v>
                </c:pt>
                <c:pt idx="19">
                  <c:v>Chase Petroleum -Tema</c:v>
                </c:pt>
              </c:strCache>
            </c:strRef>
          </c:cat>
          <c:val>
            <c:numRef>
              <c:f>DepotSales!$B$675:$B$694</c:f>
              <c:numCache>
                <c:formatCode>0.0%</c:formatCode>
                <c:ptCount val="20"/>
                <c:pt idx="0">
                  <c:v>6.6758405618349117E-4</c:v>
                </c:pt>
                <c:pt idx="1">
                  <c:v>8.2217720396862086E-4</c:v>
                </c:pt>
                <c:pt idx="2">
                  <c:v>2.7408946782089029E-3</c:v>
                </c:pt>
                <c:pt idx="3">
                  <c:v>4.418934443002156E-3</c:v>
                </c:pt>
                <c:pt idx="4">
                  <c:v>7.8795855728388941E-3</c:v>
                </c:pt>
                <c:pt idx="5">
                  <c:v>1.2156511818599064E-2</c:v>
                </c:pt>
                <c:pt idx="6">
                  <c:v>2.2262094521071026E-2</c:v>
                </c:pt>
                <c:pt idx="7">
                  <c:v>2.8376524151598762E-2</c:v>
                </c:pt>
                <c:pt idx="8">
                  <c:v>2.9301861906672354E-2</c:v>
                </c:pt>
                <c:pt idx="9">
                  <c:v>2.9319453766930067E-2</c:v>
                </c:pt>
                <c:pt idx="10">
                  <c:v>3.0597774170691813E-2</c:v>
                </c:pt>
                <c:pt idx="11">
                  <c:v>4.4751257629077147E-2</c:v>
                </c:pt>
                <c:pt idx="12">
                  <c:v>5.0391681774768611E-2</c:v>
                </c:pt>
                <c:pt idx="13">
                  <c:v>5.3864619710246336E-2</c:v>
                </c:pt>
                <c:pt idx="14">
                  <c:v>6.5573813248851656E-2</c:v>
                </c:pt>
                <c:pt idx="15">
                  <c:v>8.914276332973109E-2</c:v>
                </c:pt>
                <c:pt idx="16">
                  <c:v>9.3016550537368098E-2</c:v>
                </c:pt>
                <c:pt idx="17">
                  <c:v>9.7622342327753436E-2</c:v>
                </c:pt>
                <c:pt idx="18">
                  <c:v>0.12681558882619301</c:v>
                </c:pt>
                <c:pt idx="19">
                  <c:v>0.21027798632624548</c:v>
                </c:pt>
              </c:numCache>
            </c:numRef>
          </c:val>
          <c:extLst>
            <c:ext xmlns:c16="http://schemas.microsoft.com/office/drawing/2014/chart" uri="{C3380CC4-5D6E-409C-BE32-E72D297353CC}">
              <c16:uniqueId val="{00000000-92EF-4E6B-91F5-7CF2B4A9291B}"/>
            </c:ext>
          </c:extLst>
        </c:ser>
        <c:ser>
          <c:idx val="1"/>
          <c:order val="1"/>
          <c:tx>
            <c:strRef>
              <c:f>DepotSales!$C$674</c:f>
              <c:strCache>
                <c:ptCount val="1"/>
                <c:pt idx="0">
                  <c:v>Q4-2022</c:v>
                </c:pt>
              </c:strCache>
            </c:strRef>
          </c:tx>
          <c:spPr>
            <a:solidFill>
              <a:schemeClr val="accent2"/>
            </a:solidFill>
            <a:ln>
              <a:noFill/>
            </a:ln>
            <a:effectLst/>
          </c:spPr>
          <c:invertIfNegative val="0"/>
          <c:cat>
            <c:strRef>
              <c:f>DepotSales!$A$675:$A$694</c:f>
              <c:strCache>
                <c:ptCount val="20"/>
                <c:pt idx="0">
                  <c:v>Akwaaba Link Investments Limited</c:v>
                </c:pt>
                <c:pt idx="1">
                  <c:v>Platon Oil Gas Ghana Limited</c:v>
                </c:pt>
                <c:pt idx="2">
                  <c:v>Takoradi Blue Ocean Investment Limited</c:v>
                </c:pt>
                <c:pt idx="3">
                  <c:v>Vana Energy Limited,Tema</c:v>
                </c:pt>
                <c:pt idx="4">
                  <c:v>Goil MGO Terminal</c:v>
                </c:pt>
                <c:pt idx="5">
                  <c:v>Matrix Gas Ghana Limited</c:v>
                </c:pt>
                <c:pt idx="6">
                  <c:v>Quantum Terminals Limited, Atoabo</c:v>
                </c:pt>
                <c:pt idx="7">
                  <c:v>BOST - Buipe</c:v>
                </c:pt>
                <c:pt idx="8">
                  <c:v>Ridge Energy Limited</c:v>
                </c:pt>
                <c:pt idx="9">
                  <c:v>Vana Energy Limited Tema</c:v>
                </c:pt>
                <c:pt idx="10">
                  <c:v>Ghanstock Limited (Takoradi)</c:v>
                </c:pt>
                <c:pt idx="11">
                  <c:v>Tema Oil Terminal Plc</c:v>
                </c:pt>
                <c:pt idx="12">
                  <c:v>Zen Terminals Limited</c:v>
                </c:pt>
                <c:pt idx="13">
                  <c:v>Tema Oil Refinery (TOR)</c:v>
                </c:pt>
                <c:pt idx="14">
                  <c:v>Tema Multi Products (TMPT)</c:v>
                </c:pt>
                <c:pt idx="15">
                  <c:v>BOST - Accra Plains</c:v>
                </c:pt>
                <c:pt idx="16">
                  <c:v>Quantum Oil Terminal Limited</c:v>
                </c:pt>
                <c:pt idx="17">
                  <c:v>BOST - Kumasi</c:v>
                </c:pt>
                <c:pt idx="18">
                  <c:v>Tema Fuel Company (TFC)</c:v>
                </c:pt>
                <c:pt idx="19">
                  <c:v>Chase Petroleum -Tema</c:v>
                </c:pt>
              </c:strCache>
            </c:strRef>
          </c:cat>
          <c:val>
            <c:numRef>
              <c:f>DepotSales!$C$675:$C$694</c:f>
              <c:numCache>
                <c:formatCode>0.0%</c:formatCode>
                <c:ptCount val="20"/>
                <c:pt idx="0">
                  <c:v>2.628467421900601E-3</c:v>
                </c:pt>
                <c:pt idx="1">
                  <c:v>3.9531134181790826E-4</c:v>
                </c:pt>
                <c:pt idx="2">
                  <c:v>1.1263668659875445E-2</c:v>
                </c:pt>
                <c:pt idx="3">
                  <c:v>1.1267155952820391E-2</c:v>
                </c:pt>
                <c:pt idx="4">
                  <c:v>1.8357265871065582E-2</c:v>
                </c:pt>
                <c:pt idx="5">
                  <c:v>5.8825876646274519E-3</c:v>
                </c:pt>
                <c:pt idx="6">
                  <c:v>2.9048204821288535E-2</c:v>
                </c:pt>
                <c:pt idx="7">
                  <c:v>2.3137437771735353E-2</c:v>
                </c:pt>
                <c:pt idx="8">
                  <c:v>3.1587825662901699E-2</c:v>
                </c:pt>
                <c:pt idx="9">
                  <c:v>1.1267155952820391E-2</c:v>
                </c:pt>
                <c:pt idx="10">
                  <c:v>2.6321573408017104E-2</c:v>
                </c:pt>
                <c:pt idx="11">
                  <c:v>5.4421013523331729E-2</c:v>
                </c:pt>
                <c:pt idx="12">
                  <c:v>4.8425650894110855E-2</c:v>
                </c:pt>
                <c:pt idx="13">
                  <c:v>5.6546189297490779E-2</c:v>
                </c:pt>
                <c:pt idx="14">
                  <c:v>2.6734903374334703E-2</c:v>
                </c:pt>
                <c:pt idx="15">
                  <c:v>6.2209123665133946E-2</c:v>
                </c:pt>
                <c:pt idx="16">
                  <c:v>9.9688554703392093E-2</c:v>
                </c:pt>
                <c:pt idx="17">
                  <c:v>0.12477773442740803</c:v>
                </c:pt>
                <c:pt idx="18">
                  <c:v>0.13100258149436095</c:v>
                </c:pt>
                <c:pt idx="19">
                  <c:v>0.23516051371444532</c:v>
                </c:pt>
              </c:numCache>
            </c:numRef>
          </c:val>
          <c:extLst>
            <c:ext xmlns:c16="http://schemas.microsoft.com/office/drawing/2014/chart" uri="{C3380CC4-5D6E-409C-BE32-E72D297353CC}">
              <c16:uniqueId val="{00000001-92EF-4E6B-91F5-7CF2B4A9291B}"/>
            </c:ext>
          </c:extLst>
        </c:ser>
        <c:dLbls>
          <c:showLegendKey val="0"/>
          <c:showVal val="0"/>
          <c:showCatName val="0"/>
          <c:showSerName val="0"/>
          <c:showPercent val="0"/>
          <c:showBubbleSize val="0"/>
        </c:dLbls>
        <c:gapWidth val="182"/>
        <c:axId val="660672016"/>
        <c:axId val="660668880"/>
      </c:barChart>
      <c:catAx>
        <c:axId val="660672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668880"/>
        <c:crosses val="autoZero"/>
        <c:auto val="1"/>
        <c:lblAlgn val="ctr"/>
        <c:lblOffset val="100"/>
        <c:noMultiLvlLbl val="0"/>
      </c:catAx>
      <c:valAx>
        <c:axId val="660668880"/>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672016"/>
        <c:crosses val="autoZero"/>
        <c:crossBetween val="between"/>
      </c:valAx>
      <c:spPr>
        <a:noFill/>
        <a:ln>
          <a:noFill/>
        </a:ln>
        <a:effectLst/>
      </c:spPr>
    </c:plotArea>
    <c:legend>
      <c:legendPos val="b"/>
      <c:layout>
        <c:manualLayout>
          <c:xMode val="edge"/>
          <c:yMode val="edge"/>
          <c:x val="0.6435860517435319"/>
          <c:y val="0.84861067366579179"/>
          <c:w val="0.35568503937007873"/>
          <c:h val="6.250043744531932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770887082348741E-2"/>
          <c:y val="2.4332913269798362E-2"/>
          <c:w val="0.8868376124420162"/>
          <c:h val="0.80517435829997064"/>
        </c:manualLayout>
      </c:layout>
      <c:barChart>
        <c:barDir val="col"/>
        <c:grouping val="clustered"/>
        <c:varyColors val="0"/>
        <c:ser>
          <c:idx val="0"/>
          <c:order val="0"/>
          <c:tx>
            <c:strRef>
              <c:f>DepotUtilization!$L$117</c:f>
              <c:strCache>
                <c:ptCount val="1"/>
                <c:pt idx="0">
                  <c:v>Q4-2022</c:v>
                </c:pt>
              </c:strCache>
            </c:strRef>
          </c:tx>
          <c:spPr>
            <a:solidFill>
              <a:schemeClr val="accent1"/>
            </a:solidFill>
            <a:ln>
              <a:noFill/>
            </a:ln>
            <a:effectLst/>
          </c:spPr>
          <c:invertIfNegative val="0"/>
          <c:cat>
            <c:strRef>
              <c:f>DepotUtilization!$K$118:$K$126</c:f>
              <c:strCache>
                <c:ptCount val="9"/>
                <c:pt idx="0">
                  <c:v>Gasoline (Petrol)</c:v>
                </c:pt>
                <c:pt idx="1">
                  <c:v>Gasoil (Diesel)</c:v>
                </c:pt>
                <c:pt idx="2">
                  <c:v>LPG</c:v>
                </c:pt>
                <c:pt idx="3">
                  <c:v>Kerosene</c:v>
                </c:pt>
                <c:pt idx="4">
                  <c:v>Premix Fuel</c:v>
                </c:pt>
                <c:pt idx="5">
                  <c:v>ATK</c:v>
                </c:pt>
                <c:pt idx="6">
                  <c:v>Fuel Oil</c:v>
                </c:pt>
                <c:pt idx="7">
                  <c:v>Naphtha</c:v>
                </c:pt>
                <c:pt idx="8">
                  <c:v>ALL PRODUCTS</c:v>
                </c:pt>
              </c:strCache>
            </c:strRef>
          </c:cat>
          <c:val>
            <c:numRef>
              <c:f>DepotUtilization!$L$118:$L$126</c:f>
              <c:numCache>
                <c:formatCode>0%</c:formatCode>
                <c:ptCount val="9"/>
                <c:pt idx="0">
                  <c:v>0.31420978272573324</c:v>
                </c:pt>
                <c:pt idx="1">
                  <c:v>0.22054463904574659</c:v>
                </c:pt>
                <c:pt idx="2">
                  <c:v>0.83318162650717031</c:v>
                </c:pt>
                <c:pt idx="3">
                  <c:v>1.2013422818791947E-2</c:v>
                </c:pt>
                <c:pt idx="4">
                  <c:v>8.2500000000000004E-2</c:v>
                </c:pt>
                <c:pt idx="5">
                  <c:v>0.35083682621658324</c:v>
                </c:pt>
                <c:pt idx="6">
                  <c:v>4.1097722852762308E-2</c:v>
                </c:pt>
                <c:pt idx="7">
                  <c:v>1.7163289630512515E-2</c:v>
                </c:pt>
                <c:pt idx="8">
                  <c:v>0.25646711801793459</c:v>
                </c:pt>
              </c:numCache>
            </c:numRef>
          </c:val>
          <c:extLst>
            <c:ext xmlns:c16="http://schemas.microsoft.com/office/drawing/2014/chart" uri="{C3380CC4-5D6E-409C-BE32-E72D297353CC}">
              <c16:uniqueId val="{00000000-6BDD-43A7-B75E-86E85C5274E0}"/>
            </c:ext>
          </c:extLst>
        </c:ser>
        <c:ser>
          <c:idx val="1"/>
          <c:order val="1"/>
          <c:tx>
            <c:strRef>
              <c:f>DepotUtilization!$M$117</c:f>
              <c:strCache>
                <c:ptCount val="1"/>
                <c:pt idx="0">
                  <c:v>Q1-2023</c:v>
                </c:pt>
              </c:strCache>
            </c:strRef>
          </c:tx>
          <c:spPr>
            <a:solidFill>
              <a:schemeClr val="accent2"/>
            </a:solidFill>
            <a:ln>
              <a:noFill/>
            </a:ln>
            <a:effectLst/>
          </c:spPr>
          <c:invertIfNegative val="0"/>
          <c:cat>
            <c:strRef>
              <c:f>DepotUtilization!$K$118:$K$126</c:f>
              <c:strCache>
                <c:ptCount val="9"/>
                <c:pt idx="0">
                  <c:v>Gasoline (Petrol)</c:v>
                </c:pt>
                <c:pt idx="1">
                  <c:v>Gasoil (Diesel)</c:v>
                </c:pt>
                <c:pt idx="2">
                  <c:v>LPG</c:v>
                </c:pt>
                <c:pt idx="3">
                  <c:v>Kerosene</c:v>
                </c:pt>
                <c:pt idx="4">
                  <c:v>Premix Fuel</c:v>
                </c:pt>
                <c:pt idx="5">
                  <c:v>ATK</c:v>
                </c:pt>
                <c:pt idx="6">
                  <c:v>Fuel Oil</c:v>
                </c:pt>
                <c:pt idx="7">
                  <c:v>Naphtha</c:v>
                </c:pt>
                <c:pt idx="8">
                  <c:v>ALL PRODUCTS</c:v>
                </c:pt>
              </c:strCache>
            </c:strRef>
          </c:cat>
          <c:val>
            <c:numRef>
              <c:f>DepotUtilization!$M$118:$M$126</c:f>
              <c:numCache>
                <c:formatCode>0%</c:formatCode>
                <c:ptCount val="9"/>
                <c:pt idx="0">
                  <c:v>0.32959958104796733</c:v>
                </c:pt>
                <c:pt idx="1">
                  <c:v>0.24465457704014348</c:v>
                </c:pt>
                <c:pt idx="2">
                  <c:v>0.83999741053393195</c:v>
                </c:pt>
                <c:pt idx="3">
                  <c:v>1.907158836689038E-2</c:v>
                </c:pt>
                <c:pt idx="4">
                  <c:v>0.63750000000000007</c:v>
                </c:pt>
                <c:pt idx="5">
                  <c:v>0.34918150248436558</c:v>
                </c:pt>
                <c:pt idx="6">
                  <c:v>5.3191744783895677E-2</c:v>
                </c:pt>
                <c:pt idx="7">
                  <c:v>4.2908224076281289E-3</c:v>
                </c:pt>
                <c:pt idx="8">
                  <c:v>0.27601515000607829</c:v>
                </c:pt>
              </c:numCache>
            </c:numRef>
          </c:val>
          <c:extLst>
            <c:ext xmlns:c16="http://schemas.microsoft.com/office/drawing/2014/chart" uri="{C3380CC4-5D6E-409C-BE32-E72D297353CC}">
              <c16:uniqueId val="{00000001-6BDD-43A7-B75E-86E85C5274E0}"/>
            </c:ext>
          </c:extLst>
        </c:ser>
        <c:dLbls>
          <c:showLegendKey val="0"/>
          <c:showVal val="0"/>
          <c:showCatName val="0"/>
          <c:showSerName val="0"/>
          <c:showPercent val="0"/>
          <c:showBubbleSize val="0"/>
        </c:dLbls>
        <c:gapWidth val="219"/>
        <c:overlap val="-27"/>
        <c:axId val="660668488"/>
        <c:axId val="660669272"/>
      </c:barChart>
      <c:catAx>
        <c:axId val="660668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60669272"/>
        <c:crosses val="autoZero"/>
        <c:auto val="1"/>
        <c:lblAlgn val="ctr"/>
        <c:lblOffset val="100"/>
        <c:noMultiLvlLbl val="0"/>
      </c:catAx>
      <c:valAx>
        <c:axId val="6606692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60668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1148742663091286E-2"/>
          <c:y val="4.7774158523344191E-2"/>
          <c:w val="0.90801848821030073"/>
          <c:h val="0.75212427436798412"/>
        </c:manualLayout>
      </c:layout>
      <c:barChart>
        <c:barDir val="col"/>
        <c:grouping val="clustered"/>
        <c:varyColors val="0"/>
        <c:ser>
          <c:idx val="0"/>
          <c:order val="0"/>
          <c:tx>
            <c:strRef>
              <c:f>Sheet1!$A$38</c:f>
              <c:strCache>
                <c:ptCount val="1"/>
                <c:pt idx="0">
                  <c:v>ABB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Sheet1!$B$37:$G$37</c:f>
              <c:strCache>
                <c:ptCount val="6"/>
                <c:pt idx="0">
                  <c:v>Gasoil</c:v>
                </c:pt>
                <c:pt idx="1">
                  <c:v>Gasoline</c:v>
                </c:pt>
                <c:pt idx="2">
                  <c:v>ATK</c:v>
                </c:pt>
                <c:pt idx="3">
                  <c:v>Fuel Oil </c:v>
                </c:pt>
                <c:pt idx="4">
                  <c:v>LPG</c:v>
                </c:pt>
                <c:pt idx="5">
                  <c:v>All Products</c:v>
                </c:pt>
              </c:strCache>
            </c:strRef>
          </c:cat>
          <c:val>
            <c:numRef>
              <c:f>Sheet1!$B$38:$G$38</c:f>
              <c:numCache>
                <c:formatCode>0%</c:formatCode>
                <c:ptCount val="6"/>
                <c:pt idx="0">
                  <c:v>0.81168865737132234</c:v>
                </c:pt>
                <c:pt idx="1">
                  <c:v>0.98657023429667623</c:v>
                </c:pt>
                <c:pt idx="2">
                  <c:v>0</c:v>
                </c:pt>
                <c:pt idx="3">
                  <c:v>0</c:v>
                </c:pt>
                <c:pt idx="4">
                  <c:v>0</c:v>
                </c:pt>
                <c:pt idx="5">
                  <c:v>0.80749019028222557</c:v>
                </c:pt>
              </c:numCache>
            </c:numRef>
          </c:val>
          <c:extLst>
            <c:ext xmlns:c16="http://schemas.microsoft.com/office/drawing/2014/chart" uri="{C3380CC4-5D6E-409C-BE32-E72D297353CC}">
              <c16:uniqueId val="{00000000-DC2F-4509-9590-50420D5BEF06}"/>
            </c:ext>
          </c:extLst>
        </c:ser>
        <c:ser>
          <c:idx val="1"/>
          <c:order val="1"/>
          <c:tx>
            <c:strRef>
              <c:f>Sheet1!$A$39</c:f>
              <c:strCache>
                <c:ptCount val="1"/>
                <c:pt idx="0">
                  <c:v>Tema Oil Jetty</c:v>
                </c:pt>
              </c:strCache>
            </c:strRef>
          </c:tx>
          <c:spPr>
            <a:solidFill>
              <a:schemeClr val="accent2"/>
            </a:solidFill>
            <a:ln>
              <a:noFill/>
            </a:ln>
            <a:effectLst/>
          </c:spPr>
          <c:invertIfNegative val="0"/>
          <c:dLbls>
            <c:dLbl>
              <c:idx val="2"/>
              <c:delete val="1"/>
              <c:extLst>
                <c:ext xmlns:c15="http://schemas.microsoft.com/office/drawing/2012/chart" uri="{CE6537A1-D6FC-4f65-9D91-7224C49458BB}"/>
                <c:ext xmlns:c16="http://schemas.microsoft.com/office/drawing/2014/chart" uri="{C3380CC4-5D6E-409C-BE32-E72D297353CC}">
                  <c16:uniqueId val="{00000001-DC2F-4509-9590-50420D5BEF06}"/>
                </c:ext>
              </c:extLst>
            </c:dLbl>
            <c:dLbl>
              <c:idx val="3"/>
              <c:delete val="1"/>
              <c:extLst>
                <c:ext xmlns:c15="http://schemas.microsoft.com/office/drawing/2012/chart" uri="{CE6537A1-D6FC-4f65-9D91-7224C49458BB}"/>
                <c:ext xmlns:c16="http://schemas.microsoft.com/office/drawing/2014/chart" uri="{C3380CC4-5D6E-409C-BE32-E72D297353CC}">
                  <c16:uniqueId val="{00000002-DC2F-4509-9590-50420D5BEF06}"/>
                </c:ext>
              </c:extLst>
            </c:dLbl>
            <c:dLbl>
              <c:idx val="4"/>
              <c:delete val="1"/>
              <c:extLst>
                <c:ext xmlns:c15="http://schemas.microsoft.com/office/drawing/2012/chart" uri="{CE6537A1-D6FC-4f65-9D91-7224C49458BB}"/>
                <c:ext xmlns:c16="http://schemas.microsoft.com/office/drawing/2014/chart" uri="{C3380CC4-5D6E-409C-BE32-E72D297353CC}">
                  <c16:uniqueId val="{00000003-DC2F-4509-9590-50420D5BEF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Sheet1!$B$37:$G$37</c:f>
              <c:strCache>
                <c:ptCount val="6"/>
                <c:pt idx="0">
                  <c:v>Gasoil</c:v>
                </c:pt>
                <c:pt idx="1">
                  <c:v>Gasoline</c:v>
                </c:pt>
                <c:pt idx="2">
                  <c:v>ATK</c:v>
                </c:pt>
                <c:pt idx="3">
                  <c:v>Fuel Oil </c:v>
                </c:pt>
                <c:pt idx="4">
                  <c:v>LPG</c:v>
                </c:pt>
                <c:pt idx="5">
                  <c:v>All Products</c:v>
                </c:pt>
              </c:strCache>
            </c:strRef>
          </c:cat>
          <c:val>
            <c:numRef>
              <c:f>Sheet1!$B$39:$G$39</c:f>
              <c:numCache>
                <c:formatCode>0%</c:formatCode>
                <c:ptCount val="6"/>
                <c:pt idx="0">
                  <c:v>0</c:v>
                </c:pt>
                <c:pt idx="1">
                  <c:v>0</c:v>
                </c:pt>
                <c:pt idx="2">
                  <c:v>1</c:v>
                </c:pt>
                <c:pt idx="3">
                  <c:v>1</c:v>
                </c:pt>
                <c:pt idx="4">
                  <c:v>1</c:v>
                </c:pt>
                <c:pt idx="5">
                  <c:v>0.10195078511884199</c:v>
                </c:pt>
              </c:numCache>
            </c:numRef>
          </c:val>
          <c:extLst>
            <c:ext xmlns:c16="http://schemas.microsoft.com/office/drawing/2014/chart" uri="{C3380CC4-5D6E-409C-BE32-E72D297353CC}">
              <c16:uniqueId val="{00000004-DC2F-4509-9590-50420D5BEF06}"/>
            </c:ext>
          </c:extLst>
        </c:ser>
        <c:ser>
          <c:idx val="2"/>
          <c:order val="2"/>
          <c:tx>
            <c:strRef>
              <c:f>Sheet1!$A$40</c:f>
              <c:strCache>
                <c:ptCount val="1"/>
                <c:pt idx="0">
                  <c:v>Takoradi Oil Jetty</c:v>
                </c:pt>
              </c:strCache>
            </c:strRef>
          </c:tx>
          <c:spPr>
            <a:solidFill>
              <a:schemeClr val="accent3"/>
            </a:solidFill>
            <a:ln>
              <a:noFill/>
            </a:ln>
            <a:effectLst/>
          </c:spPr>
          <c:invertIfNegative val="0"/>
          <c:dLbls>
            <c:dLbl>
              <c:idx val="5"/>
              <c:layout>
                <c:manualLayout>
                  <c:x val="1.3540961408259788E-2"/>
                  <c:y val="-1.7372421281216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C2F-4509-9590-50420D5BEF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Sheet1!$B$37:$G$37</c:f>
              <c:strCache>
                <c:ptCount val="6"/>
                <c:pt idx="0">
                  <c:v>Gasoil</c:v>
                </c:pt>
                <c:pt idx="1">
                  <c:v>Gasoline</c:v>
                </c:pt>
                <c:pt idx="2">
                  <c:v>ATK</c:v>
                </c:pt>
                <c:pt idx="3">
                  <c:v>Fuel Oil </c:v>
                </c:pt>
                <c:pt idx="4">
                  <c:v>LPG</c:v>
                </c:pt>
                <c:pt idx="5">
                  <c:v>All Products</c:v>
                </c:pt>
              </c:strCache>
            </c:strRef>
          </c:cat>
          <c:val>
            <c:numRef>
              <c:f>Sheet1!$B$40:$G$40</c:f>
              <c:numCache>
                <c:formatCode>0%</c:formatCode>
                <c:ptCount val="6"/>
                <c:pt idx="0">
                  <c:v>0.18831134262867763</c:v>
                </c:pt>
                <c:pt idx="1">
                  <c:v>1.3429765703323849E-2</c:v>
                </c:pt>
                <c:pt idx="2">
                  <c:v>0</c:v>
                </c:pt>
                <c:pt idx="3">
                  <c:v>0</c:v>
                </c:pt>
                <c:pt idx="4">
                  <c:v>0</c:v>
                </c:pt>
                <c:pt idx="5">
                  <c:v>9.0559024598932336E-2</c:v>
                </c:pt>
              </c:numCache>
            </c:numRef>
          </c:val>
          <c:extLst>
            <c:ext xmlns:c16="http://schemas.microsoft.com/office/drawing/2014/chart" uri="{C3380CC4-5D6E-409C-BE32-E72D297353CC}">
              <c16:uniqueId val="{00000006-DC2F-4509-9590-50420D5BEF06}"/>
            </c:ext>
          </c:extLst>
        </c:ser>
        <c:dLbls>
          <c:showLegendKey val="0"/>
          <c:showVal val="0"/>
          <c:showCatName val="0"/>
          <c:showSerName val="0"/>
          <c:showPercent val="0"/>
          <c:showBubbleSize val="0"/>
        </c:dLbls>
        <c:gapWidth val="219"/>
        <c:overlap val="-27"/>
        <c:axId val="573257392"/>
        <c:axId val="573257000"/>
      </c:barChart>
      <c:catAx>
        <c:axId val="57325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57000"/>
        <c:crosses val="autoZero"/>
        <c:auto val="1"/>
        <c:lblAlgn val="ctr"/>
        <c:lblOffset val="100"/>
        <c:noMultiLvlLbl val="0"/>
      </c:catAx>
      <c:valAx>
        <c:axId val="57325700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57392"/>
        <c:crosses val="autoZero"/>
        <c:crossBetween val="between"/>
      </c:valAx>
      <c:spPr>
        <a:noFill/>
        <a:ln>
          <a:noFill/>
        </a:ln>
        <a:effectLst/>
      </c:spPr>
    </c:plotArea>
    <c:legend>
      <c:legendPos val="b"/>
      <c:layout>
        <c:manualLayout>
          <c:xMode val="edge"/>
          <c:yMode val="edge"/>
          <c:x val="0.23454779053092298"/>
          <c:y val="0.89485907719478985"/>
          <c:w val="0.52007164981154608"/>
          <c:h val="0.105140922805210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'Leakages 2021'!$V$209</c:f>
              <c:strCache>
                <c:ptCount val="1"/>
                <c:pt idx="0">
                  <c:v>Q4-22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'Leakages 2021'!$U$210:$U$212</c:f>
              <c:strCache>
                <c:ptCount val="3"/>
                <c:pt idx="0">
                  <c:v>Import</c:v>
                </c:pt>
                <c:pt idx="1">
                  <c:v>Inventory</c:v>
                </c:pt>
                <c:pt idx="2">
                  <c:v>Production</c:v>
                </c:pt>
              </c:strCache>
            </c:strRef>
          </c:cat>
          <c:val>
            <c:numRef>
              <c:f>'Leakages 2021'!$V$210:$V$212</c:f>
              <c:numCache>
                <c:formatCode>0%</c:formatCode>
                <c:ptCount val="3"/>
                <c:pt idx="0">
                  <c:v>0.68191113483776766</c:v>
                </c:pt>
                <c:pt idx="1">
                  <c:v>0.28664970180640453</c:v>
                </c:pt>
                <c:pt idx="2">
                  <c:v>3.1439163355827825E-2</c:v>
                </c:pt>
              </c:numCache>
            </c:numRef>
          </c:val>
          <c:extLst>
            <c:ext xmlns:c16="http://schemas.microsoft.com/office/drawing/2014/chart" uri="{C3380CC4-5D6E-409C-BE32-E72D297353CC}">
              <c16:uniqueId val="{00000000-7EB5-44DF-A2CB-988861082A14}"/>
            </c:ext>
          </c:extLst>
        </c:ser>
        <c:ser>
          <c:idx val="1"/>
          <c:order val="1"/>
          <c:tx>
            <c:strRef>
              <c:f>'Leakages 2021'!$W$209</c:f>
              <c:strCache>
                <c:ptCount val="1"/>
                <c:pt idx="0">
                  <c:v>Q1-23</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'Leakages 2021'!$U$210:$U$212</c:f>
              <c:strCache>
                <c:ptCount val="3"/>
                <c:pt idx="0">
                  <c:v>Import</c:v>
                </c:pt>
                <c:pt idx="1">
                  <c:v>Inventory</c:v>
                </c:pt>
                <c:pt idx="2">
                  <c:v>Production</c:v>
                </c:pt>
              </c:strCache>
            </c:strRef>
          </c:cat>
          <c:val>
            <c:numRef>
              <c:f>'Leakages 2021'!$W$210:$W$212</c:f>
              <c:numCache>
                <c:formatCode>0%</c:formatCode>
                <c:ptCount val="3"/>
                <c:pt idx="0">
                  <c:v>0.74048480976475861</c:v>
                </c:pt>
                <c:pt idx="1">
                  <c:v>0.23936936141056661</c:v>
                </c:pt>
                <c:pt idx="2">
                  <c:v>2.0145828824674809E-2</c:v>
                </c:pt>
              </c:numCache>
            </c:numRef>
          </c:val>
          <c:extLst>
            <c:ext xmlns:c16="http://schemas.microsoft.com/office/drawing/2014/chart" uri="{C3380CC4-5D6E-409C-BE32-E72D297353CC}">
              <c16:uniqueId val="{00000001-7EB5-44DF-A2CB-988861082A14}"/>
            </c:ext>
          </c:extLst>
        </c:ser>
        <c:dLbls>
          <c:showLegendKey val="0"/>
          <c:showVal val="0"/>
          <c:showCatName val="0"/>
          <c:showSerName val="0"/>
          <c:showPercent val="0"/>
          <c:showBubbleSize val="0"/>
        </c:dLbls>
        <c:gapWidth val="219"/>
        <c:overlap val="-27"/>
        <c:axId val="426272040"/>
        <c:axId val="426274000"/>
      </c:barChart>
      <c:catAx>
        <c:axId val="426272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274000"/>
        <c:crosses val="autoZero"/>
        <c:auto val="1"/>
        <c:lblAlgn val="ctr"/>
        <c:lblOffset val="100"/>
        <c:noMultiLvlLbl val="0"/>
      </c:catAx>
      <c:valAx>
        <c:axId val="4262740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272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Imports!$A$631</c:f>
              <c:strCache>
                <c:ptCount val="1"/>
                <c:pt idx="0">
                  <c:v>Q4 2022</c:v>
                </c:pt>
              </c:strCache>
            </c:strRef>
          </c:tx>
          <c:spPr>
            <a:solidFill>
              <a:schemeClr val="accent1"/>
            </a:solidFill>
            <a:ln>
              <a:noFill/>
            </a:ln>
            <a:effectLst/>
          </c:spPr>
          <c:invertIfNegative val="0"/>
          <c:cat>
            <c:strRef>
              <c:f>Imports!$B$627:$F$627</c:f>
              <c:strCache>
                <c:ptCount val="5"/>
                <c:pt idx="0">
                  <c:v>Gasoil</c:v>
                </c:pt>
                <c:pt idx="1">
                  <c:v>Gasoline</c:v>
                </c:pt>
                <c:pt idx="2">
                  <c:v>LPG</c:v>
                </c:pt>
                <c:pt idx="3">
                  <c:v>ATK</c:v>
                </c:pt>
                <c:pt idx="4">
                  <c:v>RFO</c:v>
                </c:pt>
              </c:strCache>
            </c:strRef>
          </c:cat>
          <c:val>
            <c:numRef>
              <c:f>Imports!$B$631:$F$631</c:f>
              <c:numCache>
                <c:formatCode>_(* #,##0_);_(* \(#,##0\);_(* "-"??_);_(@_)</c:formatCode>
                <c:ptCount val="5"/>
                <c:pt idx="0">
                  <c:v>422343.02799999999</c:v>
                </c:pt>
                <c:pt idx="1">
                  <c:v>380449.51699999999</c:v>
                </c:pt>
                <c:pt idx="2">
                  <c:v>59883.721000000005</c:v>
                </c:pt>
                <c:pt idx="3">
                  <c:v>31866.212000000003</c:v>
                </c:pt>
                <c:pt idx="4">
                  <c:v>10975.8</c:v>
                </c:pt>
              </c:numCache>
            </c:numRef>
          </c:val>
          <c:extLst>
            <c:ext xmlns:c16="http://schemas.microsoft.com/office/drawing/2014/chart" uri="{C3380CC4-5D6E-409C-BE32-E72D297353CC}">
              <c16:uniqueId val="{00000000-17D1-4794-B936-4180C35147B3}"/>
            </c:ext>
          </c:extLst>
        </c:ser>
        <c:ser>
          <c:idx val="1"/>
          <c:order val="1"/>
          <c:tx>
            <c:strRef>
              <c:f>Imports!$A$632</c:f>
              <c:strCache>
                <c:ptCount val="1"/>
                <c:pt idx="0">
                  <c:v>Q1 2023</c:v>
                </c:pt>
              </c:strCache>
            </c:strRef>
          </c:tx>
          <c:spPr>
            <a:solidFill>
              <a:schemeClr val="accent2"/>
            </a:solidFill>
            <a:ln>
              <a:noFill/>
            </a:ln>
            <a:effectLst/>
          </c:spPr>
          <c:invertIfNegative val="0"/>
          <c:cat>
            <c:strRef>
              <c:f>Imports!$B$627:$F$627</c:f>
              <c:strCache>
                <c:ptCount val="5"/>
                <c:pt idx="0">
                  <c:v>Gasoil</c:v>
                </c:pt>
                <c:pt idx="1">
                  <c:v>Gasoline</c:v>
                </c:pt>
                <c:pt idx="2">
                  <c:v>LPG</c:v>
                </c:pt>
                <c:pt idx="3">
                  <c:v>ATK</c:v>
                </c:pt>
                <c:pt idx="4">
                  <c:v>RFO</c:v>
                </c:pt>
              </c:strCache>
            </c:strRef>
          </c:cat>
          <c:val>
            <c:numRef>
              <c:f>Imports!$B$632:$F$632</c:f>
              <c:numCache>
                <c:formatCode>_(* #,##0_);_(* \(#,##0\);_(* "-"??_);_(@_)</c:formatCode>
                <c:ptCount val="5"/>
                <c:pt idx="0">
                  <c:v>514377.86300000001</c:v>
                </c:pt>
                <c:pt idx="1">
                  <c:v>514740.84899999999</c:v>
                </c:pt>
                <c:pt idx="2">
                  <c:v>60727.97</c:v>
                </c:pt>
                <c:pt idx="3">
                  <c:v>41635.403999999995</c:v>
                </c:pt>
                <c:pt idx="4">
                  <c:v>14467.039000000001</c:v>
                </c:pt>
              </c:numCache>
            </c:numRef>
          </c:val>
          <c:extLst>
            <c:ext xmlns:c16="http://schemas.microsoft.com/office/drawing/2014/chart" uri="{C3380CC4-5D6E-409C-BE32-E72D297353CC}">
              <c16:uniqueId val="{00000001-17D1-4794-B936-4180C35147B3}"/>
            </c:ext>
          </c:extLst>
        </c:ser>
        <c:dLbls>
          <c:showLegendKey val="0"/>
          <c:showVal val="0"/>
          <c:showCatName val="0"/>
          <c:showSerName val="0"/>
          <c:showPercent val="0"/>
          <c:showBubbleSize val="0"/>
        </c:dLbls>
        <c:gapWidth val="219"/>
        <c:overlap val="-27"/>
        <c:axId val="426275568"/>
        <c:axId val="426272824"/>
      </c:barChart>
      <c:catAx>
        <c:axId val="426275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272824"/>
        <c:crosses val="autoZero"/>
        <c:auto val="1"/>
        <c:lblAlgn val="ctr"/>
        <c:lblOffset val="100"/>
        <c:noMultiLvlLbl val="0"/>
      </c:catAx>
      <c:valAx>
        <c:axId val="426272824"/>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27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Imports!$C$683</c:f>
              <c:strCache>
                <c:ptCount val="1"/>
                <c:pt idx="0">
                  <c:v>Gasoil</c:v>
                </c:pt>
              </c:strCache>
            </c:strRef>
          </c:tx>
          <c:spPr>
            <a:solidFill>
              <a:schemeClr val="accent1"/>
            </a:solidFill>
            <a:ln>
              <a:noFill/>
            </a:ln>
            <a:effectLst/>
          </c:spPr>
          <c:invertIfNegative val="0"/>
          <c:cat>
            <c:strRef>
              <c:f>Imports!$B$684:$B$697</c:f>
              <c:strCache>
                <c:ptCount val="14"/>
                <c:pt idx="0">
                  <c:v>BP</c:v>
                </c:pt>
                <c:pt idx="1">
                  <c:v>Trafigura</c:v>
                </c:pt>
                <c:pt idx="2">
                  <c:v>Litasco</c:v>
                </c:pt>
                <c:pt idx="3">
                  <c:v>Vitol</c:v>
                </c:pt>
                <c:pt idx="4">
                  <c:v>Glencore</c:v>
                </c:pt>
                <c:pt idx="5">
                  <c:v>Trust Oil Trading LLC</c:v>
                </c:pt>
                <c:pt idx="6">
                  <c:v>Nestwise</c:v>
                </c:pt>
                <c:pt idx="7">
                  <c:v>Geogas</c:v>
                </c:pt>
                <c:pt idx="8">
                  <c:v>Petrochem</c:v>
                </c:pt>
                <c:pt idx="9">
                  <c:v>Petroruss</c:v>
                </c:pt>
                <c:pt idx="10">
                  <c:v>Monjasa DMCC</c:v>
                </c:pt>
                <c:pt idx="11">
                  <c:v>Sahara Energy</c:v>
                </c:pt>
                <c:pt idx="12">
                  <c:v>Vitol SA</c:v>
                </c:pt>
                <c:pt idx="13">
                  <c:v>Augusta Energy</c:v>
                </c:pt>
              </c:strCache>
            </c:strRef>
          </c:cat>
          <c:val>
            <c:numRef>
              <c:f>Imports!$C$684:$C$697</c:f>
              <c:numCache>
                <c:formatCode>0%</c:formatCode>
                <c:ptCount val="14"/>
                <c:pt idx="0">
                  <c:v>0.40276918760012803</c:v>
                </c:pt>
                <c:pt idx="1">
                  <c:v>0.12185841675694355</c:v>
                </c:pt>
                <c:pt idx="2">
                  <c:v>0.24018623834128727</c:v>
                </c:pt>
                <c:pt idx="3">
                  <c:v>0.10865613203887042</c:v>
                </c:pt>
                <c:pt idx="4">
                  <c:v>0</c:v>
                </c:pt>
                <c:pt idx="5">
                  <c:v>0</c:v>
                </c:pt>
                <c:pt idx="6">
                  <c:v>0</c:v>
                </c:pt>
                <c:pt idx="7">
                  <c:v>0</c:v>
                </c:pt>
                <c:pt idx="8">
                  <c:v>6.3359938956004419E-2</c:v>
                </c:pt>
                <c:pt idx="9">
                  <c:v>6.3170086306766279E-2</c:v>
                </c:pt>
                <c:pt idx="10">
                  <c:v>0</c:v>
                </c:pt>
                <c:pt idx="11">
                  <c:v>0</c:v>
                </c:pt>
                <c:pt idx="12">
                  <c:v>0</c:v>
                </c:pt>
                <c:pt idx="13">
                  <c:v>0</c:v>
                </c:pt>
              </c:numCache>
            </c:numRef>
          </c:val>
          <c:extLst>
            <c:ext xmlns:c16="http://schemas.microsoft.com/office/drawing/2014/chart" uri="{C3380CC4-5D6E-409C-BE32-E72D297353CC}">
              <c16:uniqueId val="{00000000-F212-426C-A390-C9E10A83F93F}"/>
            </c:ext>
          </c:extLst>
        </c:ser>
        <c:ser>
          <c:idx val="1"/>
          <c:order val="1"/>
          <c:tx>
            <c:strRef>
              <c:f>Imports!$D$683</c:f>
              <c:strCache>
                <c:ptCount val="1"/>
                <c:pt idx="0">
                  <c:v>Gasoline</c:v>
                </c:pt>
              </c:strCache>
            </c:strRef>
          </c:tx>
          <c:spPr>
            <a:solidFill>
              <a:schemeClr val="accent2"/>
            </a:solidFill>
            <a:ln>
              <a:noFill/>
            </a:ln>
            <a:effectLst/>
          </c:spPr>
          <c:invertIfNegative val="0"/>
          <c:cat>
            <c:strRef>
              <c:f>Imports!$B$684:$B$697</c:f>
              <c:strCache>
                <c:ptCount val="14"/>
                <c:pt idx="0">
                  <c:v>BP</c:v>
                </c:pt>
                <c:pt idx="1">
                  <c:v>Trafigura</c:v>
                </c:pt>
                <c:pt idx="2">
                  <c:v>Litasco</c:v>
                </c:pt>
                <c:pt idx="3">
                  <c:v>Vitol</c:v>
                </c:pt>
                <c:pt idx="4">
                  <c:v>Glencore</c:v>
                </c:pt>
                <c:pt idx="5">
                  <c:v>Trust Oil Trading LLC</c:v>
                </c:pt>
                <c:pt idx="6">
                  <c:v>Nestwise</c:v>
                </c:pt>
                <c:pt idx="7">
                  <c:v>Geogas</c:v>
                </c:pt>
                <c:pt idx="8">
                  <c:v>Petrochem</c:v>
                </c:pt>
                <c:pt idx="9">
                  <c:v>Petroruss</c:v>
                </c:pt>
                <c:pt idx="10">
                  <c:v>Monjasa DMCC</c:v>
                </c:pt>
                <c:pt idx="11">
                  <c:v>Sahara Energy</c:v>
                </c:pt>
                <c:pt idx="12">
                  <c:v>Vitol SA</c:v>
                </c:pt>
                <c:pt idx="13">
                  <c:v>Augusta Energy</c:v>
                </c:pt>
              </c:strCache>
            </c:strRef>
          </c:cat>
          <c:val>
            <c:numRef>
              <c:f>Imports!$D$684:$D$697</c:f>
              <c:numCache>
                <c:formatCode>0%</c:formatCode>
                <c:ptCount val="14"/>
                <c:pt idx="0">
                  <c:v>0.34621940991514349</c:v>
                </c:pt>
                <c:pt idx="1">
                  <c:v>0.11982286643817538</c:v>
                </c:pt>
                <c:pt idx="2">
                  <c:v>5.7577777356465444E-2</c:v>
                </c:pt>
                <c:pt idx="3">
                  <c:v>0.13060759628968169</c:v>
                </c:pt>
                <c:pt idx="4">
                  <c:v>0.20683223452506677</c:v>
                </c:pt>
                <c:pt idx="5">
                  <c:v>6.9751345885509852E-2</c:v>
                </c:pt>
                <c:pt idx="6">
                  <c:v>6.9188769589957302E-2</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1-F212-426C-A390-C9E10A83F93F}"/>
            </c:ext>
          </c:extLst>
        </c:ser>
        <c:ser>
          <c:idx val="2"/>
          <c:order val="2"/>
          <c:tx>
            <c:strRef>
              <c:f>Imports!$E$683</c:f>
              <c:strCache>
                <c:ptCount val="1"/>
                <c:pt idx="0">
                  <c:v>LPG</c:v>
                </c:pt>
              </c:strCache>
            </c:strRef>
          </c:tx>
          <c:spPr>
            <a:solidFill>
              <a:schemeClr val="accent3"/>
            </a:solidFill>
            <a:ln>
              <a:noFill/>
            </a:ln>
            <a:effectLst/>
          </c:spPr>
          <c:invertIfNegative val="0"/>
          <c:cat>
            <c:strRef>
              <c:f>Imports!$B$684:$B$697</c:f>
              <c:strCache>
                <c:ptCount val="14"/>
                <c:pt idx="0">
                  <c:v>BP</c:v>
                </c:pt>
                <c:pt idx="1">
                  <c:v>Trafigura</c:v>
                </c:pt>
                <c:pt idx="2">
                  <c:v>Litasco</c:v>
                </c:pt>
                <c:pt idx="3">
                  <c:v>Vitol</c:v>
                </c:pt>
                <c:pt idx="4">
                  <c:v>Glencore</c:v>
                </c:pt>
                <c:pt idx="5">
                  <c:v>Trust Oil Trading LLC</c:v>
                </c:pt>
                <c:pt idx="6">
                  <c:v>Nestwise</c:v>
                </c:pt>
                <c:pt idx="7">
                  <c:v>Geogas</c:v>
                </c:pt>
                <c:pt idx="8">
                  <c:v>Petrochem</c:v>
                </c:pt>
                <c:pt idx="9">
                  <c:v>Petroruss</c:v>
                </c:pt>
                <c:pt idx="10">
                  <c:v>Monjasa DMCC</c:v>
                </c:pt>
                <c:pt idx="11">
                  <c:v>Sahara Energy</c:v>
                </c:pt>
                <c:pt idx="12">
                  <c:v>Vitol SA</c:v>
                </c:pt>
                <c:pt idx="13">
                  <c:v>Augusta Energy</c:v>
                </c:pt>
              </c:strCache>
            </c:strRef>
          </c:cat>
          <c:val>
            <c:numRef>
              <c:f>Imports!$E$684:$E$697</c:f>
              <c:numCache>
                <c:formatCode>0%</c:formatCode>
                <c:ptCount val="14"/>
                <c:pt idx="0">
                  <c:v>0</c:v>
                </c:pt>
                <c:pt idx="1">
                  <c:v>0.11190973450948551</c:v>
                </c:pt>
                <c:pt idx="2">
                  <c:v>0</c:v>
                </c:pt>
                <c:pt idx="3">
                  <c:v>0</c:v>
                </c:pt>
                <c:pt idx="4">
                  <c:v>0</c:v>
                </c:pt>
                <c:pt idx="5">
                  <c:v>0</c:v>
                </c:pt>
                <c:pt idx="6">
                  <c:v>0</c:v>
                </c:pt>
                <c:pt idx="7">
                  <c:v>0.54190955172715294</c:v>
                </c:pt>
                <c:pt idx="8">
                  <c:v>0</c:v>
                </c:pt>
                <c:pt idx="9">
                  <c:v>0</c:v>
                </c:pt>
                <c:pt idx="10">
                  <c:v>0</c:v>
                </c:pt>
                <c:pt idx="11">
                  <c:v>0.1648347705348952</c:v>
                </c:pt>
                <c:pt idx="12">
                  <c:v>0.11560404538468849</c:v>
                </c:pt>
                <c:pt idx="13">
                  <c:v>6.574189784377775E-2</c:v>
                </c:pt>
              </c:numCache>
            </c:numRef>
          </c:val>
          <c:extLst>
            <c:ext xmlns:c16="http://schemas.microsoft.com/office/drawing/2014/chart" uri="{C3380CC4-5D6E-409C-BE32-E72D297353CC}">
              <c16:uniqueId val="{00000002-F212-426C-A390-C9E10A83F93F}"/>
            </c:ext>
          </c:extLst>
        </c:ser>
        <c:ser>
          <c:idx val="3"/>
          <c:order val="3"/>
          <c:tx>
            <c:strRef>
              <c:f>Imports!$F$683</c:f>
              <c:strCache>
                <c:ptCount val="1"/>
                <c:pt idx="0">
                  <c:v>ATK</c:v>
                </c:pt>
              </c:strCache>
            </c:strRef>
          </c:tx>
          <c:spPr>
            <a:solidFill>
              <a:schemeClr val="accent4"/>
            </a:solidFill>
            <a:ln>
              <a:noFill/>
            </a:ln>
            <a:effectLst/>
          </c:spPr>
          <c:invertIfNegative val="0"/>
          <c:cat>
            <c:strRef>
              <c:f>Imports!$B$684:$B$697</c:f>
              <c:strCache>
                <c:ptCount val="14"/>
                <c:pt idx="0">
                  <c:v>BP</c:v>
                </c:pt>
                <c:pt idx="1">
                  <c:v>Trafigura</c:v>
                </c:pt>
                <c:pt idx="2">
                  <c:v>Litasco</c:v>
                </c:pt>
                <c:pt idx="3">
                  <c:v>Vitol</c:v>
                </c:pt>
                <c:pt idx="4">
                  <c:v>Glencore</c:v>
                </c:pt>
                <c:pt idx="5">
                  <c:v>Trust Oil Trading LLC</c:v>
                </c:pt>
                <c:pt idx="6">
                  <c:v>Nestwise</c:v>
                </c:pt>
                <c:pt idx="7">
                  <c:v>Geogas</c:v>
                </c:pt>
                <c:pt idx="8">
                  <c:v>Petrochem</c:v>
                </c:pt>
                <c:pt idx="9">
                  <c:v>Petroruss</c:v>
                </c:pt>
                <c:pt idx="10">
                  <c:v>Monjasa DMCC</c:v>
                </c:pt>
                <c:pt idx="11">
                  <c:v>Sahara Energy</c:v>
                </c:pt>
                <c:pt idx="12">
                  <c:v>Vitol SA</c:v>
                </c:pt>
                <c:pt idx="13">
                  <c:v>Augusta Energy</c:v>
                </c:pt>
              </c:strCache>
            </c:strRef>
          </c:cat>
          <c:val>
            <c:numRef>
              <c:f>Imports!$F$684:$F$697</c:f>
              <c:numCache>
                <c:formatCode>0%</c:formatCode>
                <c:ptCount val="14"/>
                <c:pt idx="0">
                  <c:v>0.23711394754329754</c:v>
                </c:pt>
                <c:pt idx="1">
                  <c:v>0.7628860524567026</c:v>
                </c:pt>
                <c:pt idx="2">
                  <c:v>0</c:v>
                </c:pt>
                <c:pt idx="3">
                  <c:v>0</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3-F212-426C-A390-C9E10A83F93F}"/>
            </c:ext>
          </c:extLst>
        </c:ser>
        <c:ser>
          <c:idx val="4"/>
          <c:order val="4"/>
          <c:tx>
            <c:strRef>
              <c:f>Imports!$G$683</c:f>
              <c:strCache>
                <c:ptCount val="1"/>
                <c:pt idx="0">
                  <c:v>Fuel Oil </c:v>
                </c:pt>
              </c:strCache>
            </c:strRef>
          </c:tx>
          <c:spPr>
            <a:solidFill>
              <a:schemeClr val="accent5"/>
            </a:solidFill>
            <a:ln>
              <a:noFill/>
            </a:ln>
            <a:effectLst/>
          </c:spPr>
          <c:invertIfNegative val="0"/>
          <c:cat>
            <c:strRef>
              <c:f>Imports!$B$684:$B$697</c:f>
              <c:strCache>
                <c:ptCount val="14"/>
                <c:pt idx="0">
                  <c:v>BP</c:v>
                </c:pt>
                <c:pt idx="1">
                  <c:v>Trafigura</c:v>
                </c:pt>
                <c:pt idx="2">
                  <c:v>Litasco</c:v>
                </c:pt>
                <c:pt idx="3">
                  <c:v>Vitol</c:v>
                </c:pt>
                <c:pt idx="4">
                  <c:v>Glencore</c:v>
                </c:pt>
                <c:pt idx="5">
                  <c:v>Trust Oil Trading LLC</c:v>
                </c:pt>
                <c:pt idx="6">
                  <c:v>Nestwise</c:v>
                </c:pt>
                <c:pt idx="7">
                  <c:v>Geogas</c:v>
                </c:pt>
                <c:pt idx="8">
                  <c:v>Petrochem</c:v>
                </c:pt>
                <c:pt idx="9">
                  <c:v>Petroruss</c:v>
                </c:pt>
                <c:pt idx="10">
                  <c:v>Monjasa DMCC</c:v>
                </c:pt>
                <c:pt idx="11">
                  <c:v>Sahara Energy</c:v>
                </c:pt>
                <c:pt idx="12">
                  <c:v>Vitol SA</c:v>
                </c:pt>
                <c:pt idx="13">
                  <c:v>Augusta Energy</c:v>
                </c:pt>
              </c:strCache>
            </c:strRef>
          </c:cat>
          <c:val>
            <c:numRef>
              <c:f>Imports!$G$684:$G$697</c:f>
              <c:numCache>
                <c:formatCode>0%</c:formatCode>
                <c:ptCount val="14"/>
                <c:pt idx="0">
                  <c:v>0</c:v>
                </c:pt>
                <c:pt idx="1">
                  <c:v>0</c:v>
                </c:pt>
                <c:pt idx="2">
                  <c:v>0</c:v>
                </c:pt>
                <c:pt idx="3">
                  <c:v>0</c:v>
                </c:pt>
                <c:pt idx="4">
                  <c:v>0</c:v>
                </c:pt>
                <c:pt idx="5">
                  <c:v>0</c:v>
                </c:pt>
                <c:pt idx="6">
                  <c:v>0</c:v>
                </c:pt>
                <c:pt idx="7">
                  <c:v>0</c:v>
                </c:pt>
                <c:pt idx="8">
                  <c:v>0</c:v>
                </c:pt>
                <c:pt idx="9">
                  <c:v>0</c:v>
                </c:pt>
                <c:pt idx="10">
                  <c:v>1</c:v>
                </c:pt>
                <c:pt idx="11">
                  <c:v>0</c:v>
                </c:pt>
                <c:pt idx="12">
                  <c:v>0</c:v>
                </c:pt>
                <c:pt idx="13">
                  <c:v>0</c:v>
                </c:pt>
              </c:numCache>
            </c:numRef>
          </c:val>
          <c:extLst>
            <c:ext xmlns:c16="http://schemas.microsoft.com/office/drawing/2014/chart" uri="{C3380CC4-5D6E-409C-BE32-E72D297353CC}">
              <c16:uniqueId val="{00000004-F212-426C-A390-C9E10A83F93F}"/>
            </c:ext>
          </c:extLst>
        </c:ser>
        <c:ser>
          <c:idx val="5"/>
          <c:order val="5"/>
          <c:tx>
            <c:strRef>
              <c:f>Imports!$H$683</c:f>
              <c:strCache>
                <c:ptCount val="1"/>
                <c:pt idx="0">
                  <c:v>All Products</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Imports!$B$684:$B$697</c:f>
              <c:strCache>
                <c:ptCount val="14"/>
                <c:pt idx="0">
                  <c:v>BP</c:v>
                </c:pt>
                <c:pt idx="1">
                  <c:v>Trafigura</c:v>
                </c:pt>
                <c:pt idx="2">
                  <c:v>Litasco</c:v>
                </c:pt>
                <c:pt idx="3">
                  <c:v>Vitol</c:v>
                </c:pt>
                <c:pt idx="4">
                  <c:v>Glencore</c:v>
                </c:pt>
                <c:pt idx="5">
                  <c:v>Trust Oil Trading LLC</c:v>
                </c:pt>
                <c:pt idx="6">
                  <c:v>Nestwise</c:v>
                </c:pt>
                <c:pt idx="7">
                  <c:v>Geogas</c:v>
                </c:pt>
                <c:pt idx="8">
                  <c:v>Petrochem</c:v>
                </c:pt>
                <c:pt idx="9">
                  <c:v>Petroruss</c:v>
                </c:pt>
                <c:pt idx="10">
                  <c:v>Monjasa DMCC</c:v>
                </c:pt>
                <c:pt idx="11">
                  <c:v>Sahara Energy</c:v>
                </c:pt>
                <c:pt idx="12">
                  <c:v>Vitol SA</c:v>
                </c:pt>
                <c:pt idx="13">
                  <c:v>Augusta Energy</c:v>
                </c:pt>
              </c:strCache>
            </c:strRef>
          </c:cat>
          <c:val>
            <c:numRef>
              <c:f>Imports!$H$684:$H$697</c:f>
              <c:numCache>
                <c:formatCode>0%</c:formatCode>
                <c:ptCount val="14"/>
                <c:pt idx="0">
                  <c:v>0.34492034015907991</c:v>
                </c:pt>
                <c:pt idx="1">
                  <c:v>0.142168716259546</c:v>
                </c:pt>
                <c:pt idx="2">
                  <c:v>0.13367444911657836</c:v>
                </c:pt>
                <c:pt idx="3">
                  <c:v>0.10743877831400238</c:v>
                </c:pt>
                <c:pt idx="4">
                  <c:v>9.2905520565758085E-2</c:v>
                </c:pt>
                <c:pt idx="5">
                  <c:v>3.1331117775407348E-2</c:v>
                </c:pt>
                <c:pt idx="6">
                  <c:v>3.1078418075497025E-2</c:v>
                </c:pt>
                <c:pt idx="7">
                  <c:v>2.8717738232925477E-2</c:v>
                </c:pt>
                <c:pt idx="8">
                  <c:v>2.8440136903983417E-2</c:v>
                </c:pt>
                <c:pt idx="9">
                  <c:v>2.8354918461148963E-2</c:v>
                </c:pt>
                <c:pt idx="10">
                  <c:v>1.2624503727423327E-2</c:v>
                </c:pt>
                <c:pt idx="11">
                  <c:v>8.7351879604602861E-3</c:v>
                </c:pt>
                <c:pt idx="12">
                  <c:v>6.1262745848337736E-3</c:v>
                </c:pt>
                <c:pt idx="13">
                  <c:v>3.4838998633556265E-3</c:v>
                </c:pt>
              </c:numCache>
            </c:numRef>
          </c:val>
          <c:extLst>
            <c:ext xmlns:c16="http://schemas.microsoft.com/office/drawing/2014/chart" uri="{C3380CC4-5D6E-409C-BE32-E72D297353CC}">
              <c16:uniqueId val="{00000005-F212-426C-A390-C9E10A83F93F}"/>
            </c:ext>
          </c:extLst>
        </c:ser>
        <c:dLbls>
          <c:showLegendKey val="0"/>
          <c:showVal val="0"/>
          <c:showCatName val="0"/>
          <c:showSerName val="0"/>
          <c:showPercent val="0"/>
          <c:showBubbleSize val="0"/>
        </c:dLbls>
        <c:gapWidth val="219"/>
        <c:overlap val="-27"/>
        <c:axId val="425689208"/>
        <c:axId val="425689992"/>
      </c:barChart>
      <c:catAx>
        <c:axId val="425689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689992"/>
        <c:crosses val="autoZero"/>
        <c:auto val="1"/>
        <c:lblAlgn val="ctr"/>
        <c:lblOffset val="100"/>
        <c:noMultiLvlLbl val="0"/>
      </c:catAx>
      <c:valAx>
        <c:axId val="42568999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689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Production!$U$154</c:f>
              <c:strCache>
                <c:ptCount val="1"/>
                <c:pt idx="0">
                  <c:v>Q4-22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Production!$T$155:$T$159</c:f>
              <c:strCache>
                <c:ptCount val="5"/>
                <c:pt idx="0">
                  <c:v>LPG</c:v>
                </c:pt>
                <c:pt idx="1">
                  <c:v>Condensate</c:v>
                </c:pt>
                <c:pt idx="2">
                  <c:v>RFO</c:v>
                </c:pt>
                <c:pt idx="3">
                  <c:v>Gasoil</c:v>
                </c:pt>
                <c:pt idx="4">
                  <c:v>Naphtha</c:v>
                </c:pt>
              </c:strCache>
            </c:strRef>
          </c:cat>
          <c:val>
            <c:numRef>
              <c:f>Production!$U$155:$U$159</c:f>
              <c:numCache>
                <c:formatCode>0%</c:formatCode>
                <c:ptCount val="5"/>
                <c:pt idx="0">
                  <c:v>0.71527339699129522</c:v>
                </c:pt>
                <c:pt idx="1">
                  <c:v>0.20488470240579132</c:v>
                </c:pt>
                <c:pt idx="2">
                  <c:v>5.5271621337246821E-2</c:v>
                </c:pt>
                <c:pt idx="3">
                  <c:v>2.1546814390261092E-2</c:v>
                </c:pt>
                <c:pt idx="4">
                  <c:v>3.0234648754055939E-3</c:v>
                </c:pt>
              </c:numCache>
            </c:numRef>
          </c:val>
          <c:extLst>
            <c:ext xmlns:c16="http://schemas.microsoft.com/office/drawing/2014/chart" uri="{C3380CC4-5D6E-409C-BE32-E72D297353CC}">
              <c16:uniqueId val="{00000000-2797-498C-93E5-6031BDEBDC57}"/>
            </c:ext>
          </c:extLst>
        </c:ser>
        <c:ser>
          <c:idx val="1"/>
          <c:order val="1"/>
          <c:tx>
            <c:strRef>
              <c:f>Production!$V$154</c:f>
              <c:strCache>
                <c:ptCount val="1"/>
                <c:pt idx="0">
                  <c:v>Q1-23</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Production!$T$155:$T$159</c:f>
              <c:strCache>
                <c:ptCount val="5"/>
                <c:pt idx="0">
                  <c:v>LPG</c:v>
                </c:pt>
                <c:pt idx="1">
                  <c:v>Condensate</c:v>
                </c:pt>
                <c:pt idx="2">
                  <c:v>RFO</c:v>
                </c:pt>
                <c:pt idx="3">
                  <c:v>Gasoil</c:v>
                </c:pt>
                <c:pt idx="4">
                  <c:v>Naphtha</c:v>
                </c:pt>
              </c:strCache>
            </c:strRef>
          </c:cat>
          <c:val>
            <c:numRef>
              <c:f>Production!$V$155:$V$159</c:f>
              <c:numCache>
                <c:formatCode>0%</c:formatCode>
                <c:ptCount val="5"/>
                <c:pt idx="0">
                  <c:v>0.74909538462521941</c:v>
                </c:pt>
                <c:pt idx="1">
                  <c:v>0.20685086993112078</c:v>
                </c:pt>
                <c:pt idx="2">
                  <c:v>2.6910172874845543E-2</c:v>
                </c:pt>
                <c:pt idx="3">
                  <c:v>1.5864379981065258E-2</c:v>
                </c:pt>
                <c:pt idx="4">
                  <c:v>1.2791925877489567E-3</c:v>
                </c:pt>
              </c:numCache>
            </c:numRef>
          </c:val>
          <c:extLst>
            <c:ext xmlns:c16="http://schemas.microsoft.com/office/drawing/2014/chart" uri="{C3380CC4-5D6E-409C-BE32-E72D297353CC}">
              <c16:uniqueId val="{00000001-2797-498C-93E5-6031BDEBDC57}"/>
            </c:ext>
          </c:extLst>
        </c:ser>
        <c:dLbls>
          <c:showLegendKey val="0"/>
          <c:showVal val="0"/>
          <c:showCatName val="0"/>
          <c:showSerName val="0"/>
          <c:showPercent val="0"/>
          <c:showBubbleSize val="0"/>
        </c:dLbls>
        <c:gapWidth val="219"/>
        <c:overlap val="-27"/>
        <c:axId val="425690384"/>
        <c:axId val="425687640"/>
      </c:barChart>
      <c:catAx>
        <c:axId val="42569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687640"/>
        <c:crosses val="autoZero"/>
        <c:auto val="1"/>
        <c:lblAlgn val="ctr"/>
        <c:lblOffset val="100"/>
        <c:noMultiLvlLbl val="0"/>
      </c:catAx>
      <c:valAx>
        <c:axId val="4256876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69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'Monthly Opening Stock_2022'!$N$421</c:f>
              <c:strCache>
                <c:ptCount val="1"/>
                <c:pt idx="0">
                  <c:v>Q1-23</c:v>
                </c:pt>
              </c:strCache>
            </c:strRef>
          </c:tx>
          <c:spPr>
            <a:solidFill>
              <a:schemeClr val="accent1"/>
            </a:solidFill>
            <a:ln>
              <a:noFill/>
            </a:ln>
            <a:effectLst/>
          </c:spPr>
          <c:invertIfNegative val="0"/>
          <c:cat>
            <c:strRef>
              <c:f>'Monthly Opening Stock_2022'!$L$422:$L$429</c:f>
              <c:strCache>
                <c:ptCount val="8"/>
                <c:pt idx="0">
                  <c:v>Gasoline</c:v>
                </c:pt>
                <c:pt idx="1">
                  <c:v>Gasoil</c:v>
                </c:pt>
                <c:pt idx="2">
                  <c:v>ATK</c:v>
                </c:pt>
                <c:pt idx="3">
                  <c:v>LPG</c:v>
                </c:pt>
                <c:pt idx="4">
                  <c:v>Kerosene</c:v>
                </c:pt>
                <c:pt idx="5">
                  <c:v>RFO</c:v>
                </c:pt>
                <c:pt idx="6">
                  <c:v>Naphtha</c:v>
                </c:pt>
                <c:pt idx="7">
                  <c:v>Premix</c:v>
                </c:pt>
              </c:strCache>
            </c:strRef>
          </c:cat>
          <c:val>
            <c:numRef>
              <c:f>'Monthly Opening Stock_2022'!$N$422:$N$429</c:f>
              <c:numCache>
                <c:formatCode>_-* #,##0_-;\-* #,##0_-;_-* "-"??_-;_-@_-</c:formatCode>
                <c:ptCount val="8"/>
                <c:pt idx="0">
                  <c:v>191391.27997734994</c:v>
                </c:pt>
                <c:pt idx="1">
                  <c:v>128337.91807101543</c:v>
                </c:pt>
                <c:pt idx="2">
                  <c:v>20295.019465723763</c:v>
                </c:pt>
                <c:pt idx="3">
                  <c:v>18210.30644</c:v>
                </c:pt>
                <c:pt idx="4">
                  <c:v>8127.8647428663553</c:v>
                </c:pt>
                <c:pt idx="5">
                  <c:v>2304.4109485868316</c:v>
                </c:pt>
                <c:pt idx="6">
                  <c:v>1026.6470366175915</c:v>
                </c:pt>
                <c:pt idx="7">
                  <c:v>746.44167610419026</c:v>
                </c:pt>
              </c:numCache>
            </c:numRef>
          </c:val>
          <c:extLst>
            <c:ext xmlns:c16="http://schemas.microsoft.com/office/drawing/2014/chart" uri="{C3380CC4-5D6E-409C-BE32-E72D297353CC}">
              <c16:uniqueId val="{00000000-02CA-46B7-A4E8-5C4A53AEA5B5}"/>
            </c:ext>
          </c:extLst>
        </c:ser>
        <c:dLbls>
          <c:showLegendKey val="0"/>
          <c:showVal val="0"/>
          <c:showCatName val="0"/>
          <c:showSerName val="0"/>
          <c:showPercent val="0"/>
          <c:showBubbleSize val="0"/>
        </c:dLbls>
        <c:gapWidth val="219"/>
        <c:overlap val="-27"/>
        <c:axId val="425688816"/>
        <c:axId val="617671600"/>
      </c:barChart>
      <c:catAx>
        <c:axId val="425688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71600"/>
        <c:crosses val="autoZero"/>
        <c:auto val="1"/>
        <c:lblAlgn val="ctr"/>
        <c:lblOffset val="100"/>
        <c:noMultiLvlLbl val="0"/>
      </c:catAx>
      <c:valAx>
        <c:axId val="617671600"/>
        <c:scaling>
          <c:orientation val="minMax"/>
          <c:max val="200000"/>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68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'National Supply 2022'!$C$64</c:f>
              <c:strCache>
                <c:ptCount val="1"/>
                <c:pt idx="0">
                  <c:v>Q4-22</c:v>
                </c:pt>
              </c:strCache>
            </c:strRef>
          </c:tx>
          <c:spPr>
            <a:solidFill>
              <a:schemeClr val="accent1"/>
            </a:solidFill>
            <a:ln>
              <a:noFill/>
            </a:ln>
            <a:effectLst/>
          </c:spPr>
          <c:invertIfNegative val="0"/>
          <c:cat>
            <c:strRef>
              <c:f>'National Supply 2022'!$B$65:$B$77</c:f>
              <c:strCache>
                <c:ptCount val="13"/>
                <c:pt idx="0">
                  <c:v>Gasoil (Diesel)</c:v>
                </c:pt>
                <c:pt idx="1">
                  <c:v>Gasoline (Petrol) </c:v>
                </c:pt>
                <c:pt idx="2">
                  <c:v>Gasoil (Mines) </c:v>
                </c:pt>
                <c:pt idx="3">
                  <c:v>LPG - Butane </c:v>
                </c:pt>
                <c:pt idx="4">
                  <c:v>ATK </c:v>
                </c:pt>
                <c:pt idx="5">
                  <c:v>Residual Fuel oil (Industrial)</c:v>
                </c:pt>
                <c:pt idx="6">
                  <c:v>Marine Gasoil (Local) </c:v>
                </c:pt>
                <c:pt idx="7">
                  <c:v> Gasoil (Rig)</c:v>
                </c:pt>
                <c:pt idx="8">
                  <c:v> Gasoil (Cell Site)</c:v>
                </c:pt>
                <c:pt idx="9">
                  <c:v>Premix </c:v>
                </c:pt>
                <c:pt idx="10">
                  <c:v>Marine Gasoil (Foreign)</c:v>
                </c:pt>
                <c:pt idx="11">
                  <c:v>Kerosene </c:v>
                </c:pt>
                <c:pt idx="12">
                  <c:v>Naphtha</c:v>
                </c:pt>
              </c:strCache>
            </c:strRef>
          </c:cat>
          <c:val>
            <c:numRef>
              <c:f>'National Supply 2022'!$C$65:$C$77</c:f>
              <c:numCache>
                <c:formatCode>_-* #,##0_-;\-* #,##0_-;_-* "-"??_-;_-@_-</c:formatCode>
                <c:ptCount val="13"/>
                <c:pt idx="0">
                  <c:v>365903.17974024656</c:v>
                </c:pt>
                <c:pt idx="1">
                  <c:v>384565.26991317479</c:v>
                </c:pt>
                <c:pt idx="2">
                  <c:v>76606.136400125048</c:v>
                </c:pt>
                <c:pt idx="3">
                  <c:v>74291.064000000013</c:v>
                </c:pt>
                <c:pt idx="4">
                  <c:v>48956.230856037408</c:v>
                </c:pt>
                <c:pt idx="5">
                  <c:v>11874.182423593767</c:v>
                </c:pt>
                <c:pt idx="6">
                  <c:v>6440.2381213929002</c:v>
                </c:pt>
                <c:pt idx="7">
                  <c:v>19066.138259128129</c:v>
                </c:pt>
                <c:pt idx="8">
                  <c:v>4984.4942244154699</c:v>
                </c:pt>
                <c:pt idx="9">
                  <c:v>448.47112117780296</c:v>
                </c:pt>
                <c:pt idx="10">
                  <c:v>556.26441783628934</c:v>
                </c:pt>
                <c:pt idx="11">
                  <c:v>432.85507012735775</c:v>
                </c:pt>
                <c:pt idx="12">
                  <c:v>163.08040770101925</c:v>
                </c:pt>
              </c:numCache>
            </c:numRef>
          </c:val>
          <c:extLst>
            <c:ext xmlns:c16="http://schemas.microsoft.com/office/drawing/2014/chart" uri="{C3380CC4-5D6E-409C-BE32-E72D297353CC}">
              <c16:uniqueId val="{00000000-BEF6-496C-8902-C4051B74BBCB}"/>
            </c:ext>
          </c:extLst>
        </c:ser>
        <c:ser>
          <c:idx val="1"/>
          <c:order val="1"/>
          <c:tx>
            <c:strRef>
              <c:f>'National Supply 2022'!$D$64</c:f>
              <c:strCache>
                <c:ptCount val="1"/>
                <c:pt idx="0">
                  <c:v>Q1-23</c:v>
                </c:pt>
              </c:strCache>
            </c:strRef>
          </c:tx>
          <c:spPr>
            <a:solidFill>
              <a:schemeClr val="accent2"/>
            </a:solidFill>
            <a:ln>
              <a:noFill/>
            </a:ln>
            <a:effectLst/>
          </c:spPr>
          <c:invertIfNegative val="0"/>
          <c:cat>
            <c:strRef>
              <c:f>'National Supply 2022'!$B$65:$B$77</c:f>
              <c:strCache>
                <c:ptCount val="13"/>
                <c:pt idx="0">
                  <c:v>Gasoil (Diesel)</c:v>
                </c:pt>
                <c:pt idx="1">
                  <c:v>Gasoline (Petrol) </c:v>
                </c:pt>
                <c:pt idx="2">
                  <c:v>Gasoil (Mines) </c:v>
                </c:pt>
                <c:pt idx="3">
                  <c:v>LPG - Butane </c:v>
                </c:pt>
                <c:pt idx="4">
                  <c:v>ATK </c:v>
                </c:pt>
                <c:pt idx="5">
                  <c:v>Residual Fuel oil (Industrial)</c:v>
                </c:pt>
                <c:pt idx="6">
                  <c:v>Marine Gasoil (Local) </c:v>
                </c:pt>
                <c:pt idx="7">
                  <c:v> Gasoil (Rig)</c:v>
                </c:pt>
                <c:pt idx="8">
                  <c:v> Gasoil (Cell Site)</c:v>
                </c:pt>
                <c:pt idx="9">
                  <c:v>Premix </c:v>
                </c:pt>
                <c:pt idx="10">
                  <c:v>Marine Gasoil (Foreign)</c:v>
                </c:pt>
                <c:pt idx="11">
                  <c:v>Kerosene </c:v>
                </c:pt>
                <c:pt idx="12">
                  <c:v>Naphtha</c:v>
                </c:pt>
              </c:strCache>
            </c:strRef>
          </c:cat>
          <c:val>
            <c:numRef>
              <c:f>'National Supply 2022'!$D$65:$D$77</c:f>
              <c:numCache>
                <c:formatCode>_-* #,##0_-;\-* #,##0_-;_-* "-"??_-;_-@_-</c:formatCode>
                <c:ptCount val="13"/>
                <c:pt idx="0">
                  <c:v>414626.21363325248</c:v>
                </c:pt>
                <c:pt idx="1">
                  <c:v>411242.43110607774</c:v>
                </c:pt>
                <c:pt idx="2">
                  <c:v>71868.636083249527</c:v>
                </c:pt>
                <c:pt idx="3">
                  <c:v>71027.839999999997</c:v>
                </c:pt>
                <c:pt idx="4">
                  <c:v>49004.43333870708</c:v>
                </c:pt>
                <c:pt idx="5">
                  <c:v>15368.454433741626</c:v>
                </c:pt>
                <c:pt idx="6">
                  <c:v>10116.834962777688</c:v>
                </c:pt>
                <c:pt idx="7">
                  <c:v>8650.6341735463866</c:v>
                </c:pt>
                <c:pt idx="8">
                  <c:v>6121.4436003819401</c:v>
                </c:pt>
                <c:pt idx="9">
                  <c:v>3465.4586636466593</c:v>
                </c:pt>
                <c:pt idx="10">
                  <c:v>888.09646535916772</c:v>
                </c:pt>
                <c:pt idx="11">
                  <c:v>687.16749959696926</c:v>
                </c:pt>
                <c:pt idx="12">
                  <c:v>40.770101925254814</c:v>
                </c:pt>
              </c:numCache>
            </c:numRef>
          </c:val>
          <c:extLst>
            <c:ext xmlns:c16="http://schemas.microsoft.com/office/drawing/2014/chart" uri="{C3380CC4-5D6E-409C-BE32-E72D297353CC}">
              <c16:uniqueId val="{00000001-BEF6-496C-8902-C4051B74BBCB}"/>
            </c:ext>
          </c:extLst>
        </c:ser>
        <c:dLbls>
          <c:showLegendKey val="0"/>
          <c:showVal val="0"/>
          <c:showCatName val="0"/>
          <c:showSerName val="0"/>
          <c:showPercent val="0"/>
          <c:showBubbleSize val="0"/>
        </c:dLbls>
        <c:gapWidth val="219"/>
        <c:overlap val="-27"/>
        <c:axId val="617668464"/>
        <c:axId val="617668856"/>
      </c:barChart>
      <c:catAx>
        <c:axId val="61766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68856"/>
        <c:crosses val="autoZero"/>
        <c:auto val="1"/>
        <c:lblAlgn val="ctr"/>
        <c:lblOffset val="100"/>
        <c:noMultiLvlLbl val="0"/>
      </c:catAx>
      <c:valAx>
        <c:axId val="617668856"/>
        <c:scaling>
          <c:orientation val="minMax"/>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6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69025434832102"/>
          <c:y val="4.3492692106854997E-2"/>
          <c:w val="0.83430966745023261"/>
          <c:h val="0.78458396090319216"/>
        </c:manualLayout>
      </c:layout>
      <c:barChart>
        <c:barDir val="col"/>
        <c:grouping val="clustered"/>
        <c:varyColors val="0"/>
        <c:ser>
          <c:idx val="0"/>
          <c:order val="0"/>
          <c:spPr>
            <a:solidFill>
              <a:schemeClr val="accent1"/>
            </a:solidFill>
            <a:ln>
              <a:noFill/>
            </a:ln>
            <a:effectLst/>
          </c:spPr>
          <c:invertIfNegative val="0"/>
          <c:cat>
            <c:strRef>
              <c:f>'Regional Consumption'!$A$439:$A$448</c:f>
              <c:strCache>
                <c:ptCount val="10"/>
                <c:pt idx="0">
                  <c:v>Greater Accra</c:v>
                </c:pt>
                <c:pt idx="1">
                  <c:v>Ashanti</c:v>
                </c:pt>
                <c:pt idx="2">
                  <c:v>Western</c:v>
                </c:pt>
                <c:pt idx="3">
                  <c:v>Eastern</c:v>
                </c:pt>
                <c:pt idx="4">
                  <c:v>Central</c:v>
                </c:pt>
                <c:pt idx="5">
                  <c:v>Brong Ahafo</c:v>
                </c:pt>
                <c:pt idx="6">
                  <c:v>Northern</c:v>
                </c:pt>
                <c:pt idx="7">
                  <c:v>Volta</c:v>
                </c:pt>
                <c:pt idx="8">
                  <c:v>Upper East</c:v>
                </c:pt>
                <c:pt idx="9">
                  <c:v>Upper West</c:v>
                </c:pt>
              </c:strCache>
            </c:strRef>
          </c:cat>
          <c:val>
            <c:numRef>
              <c:f>'Regional Consumption'!$B$439:$B$448</c:f>
              <c:numCache>
                <c:formatCode>_-* #,##0_-;\-* #,##0_-;_-* "-"??_-;_-@_-</c:formatCode>
                <c:ptCount val="10"/>
                <c:pt idx="0">
                  <c:v>352874.94716037245</c:v>
                </c:pt>
                <c:pt idx="1">
                  <c:v>195271.84567679494</c:v>
                </c:pt>
                <c:pt idx="2">
                  <c:v>176074.44030804356</c:v>
                </c:pt>
                <c:pt idx="3">
                  <c:v>76951.564093086738</c:v>
                </c:pt>
                <c:pt idx="4">
                  <c:v>74667.980179204038</c:v>
                </c:pt>
                <c:pt idx="5">
                  <c:v>65883.424371334811</c:v>
                </c:pt>
                <c:pt idx="6">
                  <c:v>45030.097763187441</c:v>
                </c:pt>
                <c:pt idx="7">
                  <c:v>39321.765138032119</c:v>
                </c:pt>
                <c:pt idx="8">
                  <c:v>23574.055527380773</c:v>
                </c:pt>
                <c:pt idx="9">
                  <c:v>13458.293844825776</c:v>
                </c:pt>
              </c:numCache>
            </c:numRef>
          </c:val>
          <c:extLst>
            <c:ext xmlns:c16="http://schemas.microsoft.com/office/drawing/2014/chart" uri="{C3380CC4-5D6E-409C-BE32-E72D297353CC}">
              <c16:uniqueId val="{00000000-5E21-4B2C-B5AC-46407230637C}"/>
            </c:ext>
          </c:extLst>
        </c:ser>
        <c:dLbls>
          <c:showLegendKey val="0"/>
          <c:showVal val="0"/>
          <c:showCatName val="0"/>
          <c:showSerName val="0"/>
          <c:showPercent val="0"/>
          <c:showBubbleSize val="0"/>
        </c:dLbls>
        <c:gapWidth val="219"/>
        <c:overlap val="-27"/>
        <c:axId val="617671208"/>
        <c:axId val="617669248"/>
      </c:barChart>
      <c:catAx>
        <c:axId val="617671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69248"/>
        <c:crosses val="autoZero"/>
        <c:auto val="1"/>
        <c:lblAlgn val="ctr"/>
        <c:lblOffset val="100"/>
        <c:noMultiLvlLbl val="0"/>
      </c:catAx>
      <c:valAx>
        <c:axId val="617669248"/>
        <c:scaling>
          <c:orientation val="minMax"/>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7671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'Regional Consumption'!$B$453</c:f>
              <c:strCache>
                <c:ptCount val="1"/>
                <c:pt idx="0">
                  <c:v>Q4-22</c:v>
                </c:pt>
              </c:strCache>
            </c:strRef>
          </c:tx>
          <c:spPr>
            <a:solidFill>
              <a:schemeClr val="accent1"/>
            </a:solidFill>
            <a:ln>
              <a:noFill/>
            </a:ln>
            <a:effectLst/>
          </c:spPr>
          <c:invertIfNegative val="0"/>
          <c:cat>
            <c:strRef>
              <c:f>'Regional Consumption'!$A$454:$A$463</c:f>
              <c:strCache>
                <c:ptCount val="10"/>
                <c:pt idx="0">
                  <c:v>Greater Accra</c:v>
                </c:pt>
                <c:pt idx="1">
                  <c:v>Ashanti</c:v>
                </c:pt>
                <c:pt idx="2">
                  <c:v>Western</c:v>
                </c:pt>
                <c:pt idx="3">
                  <c:v>Eastern</c:v>
                </c:pt>
                <c:pt idx="4">
                  <c:v>Central</c:v>
                </c:pt>
                <c:pt idx="5">
                  <c:v>Brong Ahafo</c:v>
                </c:pt>
                <c:pt idx="6">
                  <c:v>Northern</c:v>
                </c:pt>
                <c:pt idx="7">
                  <c:v>Volta</c:v>
                </c:pt>
                <c:pt idx="8">
                  <c:v>Upper East</c:v>
                </c:pt>
                <c:pt idx="9">
                  <c:v>Upper West</c:v>
                </c:pt>
              </c:strCache>
            </c:strRef>
          </c:cat>
          <c:val>
            <c:numRef>
              <c:f>'Regional Consumption'!$B$454:$B$463</c:f>
              <c:numCache>
                <c:formatCode>0.0%</c:formatCode>
                <c:ptCount val="10"/>
                <c:pt idx="0">
                  <c:v>0.34659974578115837</c:v>
                </c:pt>
                <c:pt idx="1">
                  <c:v>0.17493839516400264</c:v>
                </c:pt>
                <c:pt idx="2">
                  <c:v>0.17775830914859606</c:v>
                </c:pt>
                <c:pt idx="3">
                  <c:v>7.5009067871416063E-2</c:v>
                </c:pt>
                <c:pt idx="4">
                  <c:v>7.1455090709816038E-2</c:v>
                </c:pt>
                <c:pt idx="5">
                  <c:v>5.8382127543669858E-2</c:v>
                </c:pt>
                <c:pt idx="6">
                  <c:v>3.5040856683517349E-2</c:v>
                </c:pt>
                <c:pt idx="7">
                  <c:v>3.4117153283983931E-2</c:v>
                </c:pt>
                <c:pt idx="8">
                  <c:v>1.6265899683634018E-2</c:v>
                </c:pt>
                <c:pt idx="9">
                  <c:v>1.0433354130205661E-2</c:v>
                </c:pt>
              </c:numCache>
            </c:numRef>
          </c:val>
          <c:extLst>
            <c:ext xmlns:c16="http://schemas.microsoft.com/office/drawing/2014/chart" uri="{C3380CC4-5D6E-409C-BE32-E72D297353CC}">
              <c16:uniqueId val="{00000000-74BC-414A-A6F8-DE37FBD5D6FC}"/>
            </c:ext>
          </c:extLst>
        </c:ser>
        <c:ser>
          <c:idx val="1"/>
          <c:order val="1"/>
          <c:tx>
            <c:strRef>
              <c:f>'Regional Consumption'!$C$453</c:f>
              <c:strCache>
                <c:ptCount val="1"/>
                <c:pt idx="0">
                  <c:v>Q1-23</c:v>
                </c:pt>
              </c:strCache>
            </c:strRef>
          </c:tx>
          <c:spPr>
            <a:solidFill>
              <a:schemeClr val="accent2"/>
            </a:solidFill>
            <a:ln>
              <a:noFill/>
            </a:ln>
            <a:effectLst/>
          </c:spPr>
          <c:invertIfNegative val="0"/>
          <c:cat>
            <c:strRef>
              <c:f>'Regional Consumption'!$A$454:$A$463</c:f>
              <c:strCache>
                <c:ptCount val="10"/>
                <c:pt idx="0">
                  <c:v>Greater Accra</c:v>
                </c:pt>
                <c:pt idx="1">
                  <c:v>Ashanti</c:v>
                </c:pt>
                <c:pt idx="2">
                  <c:v>Western</c:v>
                </c:pt>
                <c:pt idx="3">
                  <c:v>Eastern</c:v>
                </c:pt>
                <c:pt idx="4">
                  <c:v>Central</c:v>
                </c:pt>
                <c:pt idx="5">
                  <c:v>Brong Ahafo</c:v>
                </c:pt>
                <c:pt idx="6">
                  <c:v>Northern</c:v>
                </c:pt>
                <c:pt idx="7">
                  <c:v>Volta</c:v>
                </c:pt>
                <c:pt idx="8">
                  <c:v>Upper East</c:v>
                </c:pt>
                <c:pt idx="9">
                  <c:v>Upper West</c:v>
                </c:pt>
              </c:strCache>
            </c:strRef>
          </c:cat>
          <c:val>
            <c:numRef>
              <c:f>'Regional Consumption'!$C$454:$C$463</c:f>
              <c:numCache>
                <c:formatCode>0.0%</c:formatCode>
                <c:ptCount val="10"/>
                <c:pt idx="0">
                  <c:v>0.33192752732714864</c:v>
                </c:pt>
                <c:pt idx="1">
                  <c:v>0.18368008670972574</c:v>
                </c:pt>
                <c:pt idx="2">
                  <c:v>0.16562228083139968</c:v>
                </c:pt>
                <c:pt idx="3">
                  <c:v>7.2383552867431394E-2</c:v>
                </c:pt>
                <c:pt idx="4">
                  <c:v>7.0235527432135611E-2</c:v>
                </c:pt>
                <c:pt idx="5">
                  <c:v>6.1972441850579138E-2</c:v>
                </c:pt>
                <c:pt idx="6">
                  <c:v>4.2357013797983442E-2</c:v>
                </c:pt>
                <c:pt idx="7">
                  <c:v>3.6987540139748414E-2</c:v>
                </c:pt>
                <c:pt idx="8">
                  <c:v>2.2174648620549985E-2</c:v>
                </c:pt>
                <c:pt idx="9">
                  <c:v>1.2659380423300462E-2</c:v>
                </c:pt>
              </c:numCache>
            </c:numRef>
          </c:val>
          <c:extLst>
            <c:ext xmlns:c16="http://schemas.microsoft.com/office/drawing/2014/chart" uri="{C3380CC4-5D6E-409C-BE32-E72D297353CC}">
              <c16:uniqueId val="{00000001-74BC-414A-A6F8-DE37FBD5D6FC}"/>
            </c:ext>
          </c:extLst>
        </c:ser>
        <c:dLbls>
          <c:showLegendKey val="0"/>
          <c:showVal val="0"/>
          <c:showCatName val="0"/>
          <c:showSerName val="0"/>
          <c:showPercent val="0"/>
          <c:showBubbleSize val="0"/>
        </c:dLbls>
        <c:gapWidth val="219"/>
        <c:overlap val="-27"/>
        <c:axId val="412562576"/>
        <c:axId val="412569240"/>
      </c:barChart>
      <c:catAx>
        <c:axId val="412562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69240"/>
        <c:crosses val="autoZero"/>
        <c:auto val="1"/>
        <c:lblAlgn val="ctr"/>
        <c:lblOffset val="100"/>
        <c:noMultiLvlLbl val="0"/>
      </c:catAx>
      <c:valAx>
        <c:axId val="4125692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62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6617-099A-4A57-9706-53236AC2A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5541</Words>
  <Characters>31589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Wilson</dc:creator>
  <cp:keywords/>
  <dc:description/>
  <cp:lastModifiedBy>Joseph Wilson</cp:lastModifiedBy>
  <cp:revision>2</cp:revision>
  <cp:lastPrinted>2020-04-27T14:30:00Z</cp:lastPrinted>
  <dcterms:created xsi:type="dcterms:W3CDTF">2023-08-01T13:37:00Z</dcterms:created>
  <dcterms:modified xsi:type="dcterms:W3CDTF">2023-08-01T13:37:00Z</dcterms:modified>
</cp:coreProperties>
</file>