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RELATÓRIO DE INTELIGÊNCIA DE NEGÓCIO: DIAGNÓSTICO E PREDIÇÃO DE CHURN</w:t>
      </w:r>
    </w:p>
    <w:p>
      <w:pPr>
        <w:jc w:val="center"/>
      </w:pPr>
      <w:r>
        <w:t>Foco: Gestão Estratégica e Tomada de Decisão</w:t>
      </w:r>
    </w:p>
    <w:p>
      <w:pPr>
        <w:jc w:val="center"/>
      </w:pPr>
      <w:r>
        <w:t>Fonte: Modelo Preditivo de Regressão Logística (Dados Operacionais)</w:t>
      </w:r>
    </w:p>
    <w:p>
      <w:pPr>
        <w:jc w:val="center"/>
      </w:pPr>
      <w:r>
        <w:t>------------------------------------------------------------------------------------------------------------------------</w:t>
      </w:r>
    </w:p>
    <w:p>
      <w:pPr>
        <w:jc w:val="left"/>
      </w:pPr>
      <w:r>
        <w:t>1. RESUMO EXECUTIVO</w:t>
      </w:r>
    </w:p>
    <w:p>
      <w:pPr>
        <w:jc w:val="left"/>
      </w:pPr>
      <w:r>
        <w:t>Este relatório apresenta o diagnóstico definitivo dos fatores que levam os nossos clientes ao cancelamento (churn), utilizando um modelo matemático de alta precisão calibrado com o histórico recente da operação. O objetivo deste documento é munir a diretoria de fatos estatísticos para direcionar as ações das equipes de Sucesso do Cliente (CS), Suporte e Produto, substituindo intuições por decisões baseadas em dados.</w:t>
      </w:r>
    </w:p>
    <w:p>
      <w:pPr>
        <w:jc w:val="left"/>
      </w:pPr>
      <w:r>
        <w:t>2. CAPACIDADE PREDITIVA DO MODELO</w:t>
      </w:r>
    </w:p>
    <w:p>
      <w:pPr>
        <w:jc w:val="left"/>
      </w:pPr>
      <w:r>
        <w:t>O modelo desenvolvido atingiu um índice de assertividade geral de 82%, com uma pontuação de assertividade global (ROC AUC) de 0.90, o que o consolida como uma ferramenta altamente confiável para a nossa estratégia de retenção. Ao testarmos a ferramenta em um grupo de 1.167 clientes, os resultados práticos foram:</w:t>
      </w:r>
    </w:p>
    <w:p>
      <w:pPr>
        <w:jc w:val="left"/>
      </w:pPr>
      <w:r>
        <w:rPr>
          <w:b/>
        </w:rPr>
        <w:t>- Identificação Antecipada (Sensibilidade):</w:t>
      </w:r>
      <w:r>
        <w:t xml:space="preserve"> De todos os clientes que iriam efetivamente cancelar, o modelo foi capaz de mapear e apontar o dedo para 90% deles (600 clientes em risco) antes que o cancelamento ocorresse, garantindo tempo hábil de reação para o time de CS.</w:t>
      </w:r>
    </w:p>
    <w:p>
      <w:pPr>
        <w:jc w:val="left"/>
      </w:pPr>
      <w:r>
        <w:rPr>
          <w:b/>
        </w:rPr>
        <w:t>- Confiança do Alerta (Precisão):</w:t>
      </w:r>
      <w:r>
        <w:t xml:space="preserve"> Quando o modelo dispara um alerta de risco, ele está correto em 81% das vezes. Nos outros 19% dos casos, trata-se de um 'alarme falso' (142 clientes). Para o negócio, o custo de um alarme falso é baixíssimo, pois significa apenas que faremos um contato proativo de melhoria com um cliente que ainda está ativo.</w:t>
      </w:r>
    </w:p>
    <w:p>
      <w:pPr>
        <w:jc w:val="left"/>
      </w:pPr>
      <w:r>
        <w:rPr>
          <w:b/>
        </w:rPr>
        <w:t>- Churns Invisíveis (Falsos Negativos):</w:t>
      </w:r>
      <w:r>
        <w:t xml:space="preserve"> O modelo falhou em detectar apenas 69 cancelamentos. São os chamados 'churns invisíveis', geralmente causados por fatores externos ao sistema que a tecnologia não consegue ler, como falência do cliente, corte radical de despesas ou mudanças na diretoria da empresa compradora.</w:t>
      </w:r>
    </w:p>
    <w:p>
      <w:pPr>
        <w:jc w:val="left"/>
      </w:pPr>
      <w:r>
        <w:t>3. OS VILÕES DO CHURN: COMPORTAMENTOS QUE AUMENTAM O RISCO</w:t>
      </w:r>
    </w:p>
    <w:p>
      <w:pPr>
        <w:jc w:val="left"/>
      </w:pPr>
      <w:r>
        <w:t>O modelo identificou três grandes gatilhos que aumentam de forma agressiva a chance de um cliente cancelar o contrato:</w:t>
      </w:r>
    </w:p>
    <w:p>
      <w:pPr>
        <w:jc w:val="left"/>
      </w:pPr>
      <w:r>
        <w:rPr>
          <w:b/>
        </w:rPr>
        <w:t>- Recência de Interação (dias_ultima_tarefa):</w:t>
      </w:r>
      <w:r>
        <w:t xml:space="preserve"> É o maior indicador isolado de perigo. Quando o cliente passa a interagir menos e o tempo desde a última tarefa aberta aumenta, a chance de cancelamento multiplica por 5,42 a cada salto no desvio padrão de isolamento. Como exemplo prático, o cliente 35954, que o modelo mapeou com 98% de certeza de churn, acumulava 1.688 dias sem registrar nenhuma movimentação. Ele já havia abandonado a plataforma mentalmente anos atrás.</w:t>
      </w:r>
    </w:p>
    <w:p>
      <w:pPr>
        <w:jc w:val="left"/>
      </w:pPr>
      <w:r>
        <w:rPr>
          <w:b/>
        </w:rPr>
        <w:t>- Tempo de Casa (meses_de_casa):</w:t>
      </w:r>
      <w:r>
        <w:t xml:space="preserve"> Diferente de outros mercados onde clientes antigos são mais fiéis, na nossa base os clientes veteranos possuem uma chance de cancelamento 2,31 vezes maior do que os novos. Isso indica um forte sinal de obsolescência de produto ou fadiga no relacionamento. O cliente antigo acumula processos pesados e, se o nosso software não evoluir junto com o crescimento dele, ele se torna um alvo fácil para concorrentes mais modernos.</w:t>
      </w:r>
    </w:p>
    <w:p>
      <w:pPr>
        <w:jc w:val="left"/>
      </w:pPr>
      <w:r>
        <w:rPr>
          <w:b/>
        </w:rPr>
        <w:t>- Atrito Técnico e Comercial (qt_tarefas_bug e qt_tarefas_reducao):</w:t>
      </w:r>
      <w:r>
        <w:t xml:space="preserve"> A ocorrência de falhas técnicas (bugs) e pedidos de diminuição de escopo comercial (redução) atuam como empurrões diretos para a porta de saída, aumentando o risco de cancelamento em aproximadamente 6% e 10% respectivamente a cada nova ocorrência.</w:t>
      </w:r>
    </w:p>
    <w:p>
      <w:pPr>
        <w:jc w:val="left"/>
      </w:pPr>
      <w:r>
        <w:t>4. OS ESCUDOS DE RETENÇÃO: COMPORTAMENTOS QUE PROTEGEM O CLIENTE</w:t>
      </w:r>
    </w:p>
    <w:p>
      <w:pPr>
        <w:jc w:val="left"/>
      </w:pPr>
      <w:r>
        <w:t>Por outro lado, o modelo revelou quais comportamentos blindam o cliente contra o cancelamento:</w:t>
      </w:r>
    </w:p>
    <w:p>
      <w:pPr>
        <w:jc w:val="left"/>
      </w:pPr>
      <w:r>
        <w:rPr>
          <w:b/>
        </w:rPr>
        <w:t>- Diversidade de Uso (qtd_categorias_distintas):</w:t>
      </w:r>
      <w:r>
        <w:t xml:space="preserve"> É o maior fator de retenção do nosso negócio. Clientes que diversificam o uso e abrem tarefas em várias categorias diferentes apresentam uma redução de 86% no risco de churn. Isso reflete a aderência (stickiness) do produto: se o cliente usa o sistema apenas para uma função (ex: só abrir dúvidas), ele nos troca facilmente. Se ele utiliza para financeiro, operação, suporte e projetos, o nosso software se torna parte da cultura dele, e o custo de transição para o concorrente passa a ser doloroso demais.</w:t>
      </w:r>
    </w:p>
    <w:p>
      <w:pPr>
        <w:jc w:val="left"/>
      </w:pPr>
      <w:r>
        <w:rPr>
          <w:b/>
        </w:rPr>
        <w:t>- Histórico de Ajuste Contratual (flg_ja_sofreu_downgrade):</w:t>
      </w:r>
      <w:r>
        <w:t xml:space="preserve"> Ao contrário do que se imagina, o cliente que já passou por uma redução contratual estruturada no passado e manteve outros contratos ativos apresenta uma chance de churn total 97% menor. O downgrade funciona como uma válvula de escape financeira necessária: o cliente ajusta o bolso à sua realidade, mas toma a decisão consciente de continuar conosco. É uma base altamente resiliente.</w:t>
      </w:r>
    </w:p>
    <w:p>
      <w:pPr>
        <w:jc w:val="left"/>
      </w:pPr>
      <w:r>
        <w:rPr>
          <w:b/>
        </w:rPr>
        <w:t>- Atividade Recente (tarefas_90d):</w:t>
      </w:r>
      <w:r>
        <w:t xml:space="preserve"> Clientes com alto volume de interações nos últimos 90 dias têm o risco reduzido quase pela metade (44% de redução). É o oposto do Churn Silencioso: o cliente que interage recentemente está engajado e quer fazer o sistema funcionar.</w:t>
      </w:r>
    </w:p>
    <w:p>
      <w:pPr>
        <w:jc w:val="left"/>
      </w:pPr>
      <w:r>
        <w:rPr>
          <w:b/>
        </w:rPr>
        <w:t>- Alerta sobre Ruídos Dinâmicos:</w:t>
      </w:r>
      <w:r>
        <w:t xml:space="preserve"> Variáveis como o percentual de urgências máximas (perc_prioridade_maxima) apresentaram peso neutro (1.0). Isso prova que o cliente perigoso não é o que reclama ou abre chamados urgentes, mas sim o que para de usar a ferramenta.</w:t>
      </w:r>
    </w:p>
    <w:p>
      <w:pPr>
        <w:jc w:val="left"/>
      </w:pPr>
      <w:r>
        <w:t>5. DIRETRIZES E RECOMENDAÇÕES PARA A GESTÃO</w:t>
      </w:r>
    </w:p>
    <w:p>
      <w:pPr>
        <w:jc w:val="left"/>
      </w:pPr>
      <w:r>
        <w:t>Com base nos fatos expostos, determinamos três ações imediatas para a liderança:</w:t>
      </w:r>
    </w:p>
    <w:p>
      <w:pPr>
        <w:jc w:val="left"/>
      </w:pPr>
      <w:r>
        <w:rPr>
          <w:b/>
        </w:rPr>
        <w:t>1. Alerta de Inatividade Automatizado:</w:t>
      </w:r>
      <w:r>
        <w:t xml:space="preserve"> Implementar uma régua de automação que acione o time de CS assim que um cliente atinja o gatilho crítico de inatividade operacional (dias_ultima_tarefa), impedindo o avanço do abandono silencioso.</w:t>
      </w:r>
    </w:p>
    <w:p>
      <w:pPr>
        <w:jc w:val="left"/>
      </w:pPr>
      <w:r>
        <w:rPr>
          <w:b/>
        </w:rPr>
        <w:t>2. Plano de Expansão de Uso (Stickiness):</w:t>
      </w:r>
      <w:r>
        <w:t xml:space="preserve"> O foco das campanhas de engajamento de CS não deve ser apenas a quantidade de acessos, mas sim a diversificação de módulos. Precisamos de metas de expansão para fazer o cliente utilizar novas categorias do sistema.</w:t>
      </w:r>
    </w:p>
    <w:p>
      <w:pPr>
        <w:jc w:val="left"/>
      </w:pPr>
      <w:r>
        <w:rPr>
          <w:b/>
        </w:rPr>
        <w:t>3. Comitê de Proteção aos Veteranos:</w:t>
      </w:r>
      <w:r>
        <w:t xml:space="preserve"> Criar uma força-tarefa de auditoria e relacionamento focada exclusivamente nas contas com mais de 3 ou 4 anos de casa, revisando contratos e oferecendo atualizações de produto para mitigar a fadiga histórica detectada pelo modelo.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before="0"/>
    </w:pPr>
    <w:rPr>
      <w:rFonts w:ascii="Arial" w:hAnsi="Arial"/>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