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1F4E79"/>
          <w:sz w:val="44"/>
          <w:szCs w:val="44"/>
        </w:rPr>
        <w:t xml:space="preserve">NBR 5626:2020</w:t>
      </w:r>
    </w:p>
    <w:p>
      <w:pPr>
        <w:spacing w:after="60" w:before="0"/>
      </w:pPr>
      <w:r>
        <w:rPr>
          <w:b/>
          <w:bCs/>
          <w:color w:val="1F2933"/>
          <w:sz w:val="30"/>
          <w:szCs w:val="30"/>
        </w:rPr>
        <w:t xml:space="preserve">Sistemas prediais de água fria e água quente</w:t>
      </w:r>
    </w:p>
    <w:p>
      <w:pPr>
        <w:spacing w:after="80" w:before="0"/>
      </w:pPr>
      <w:r>
        <w:rPr>
          <w:color w:val="5B6570"/>
          <w:sz w:val="24"/>
          <w:szCs w:val="24"/>
        </w:rPr>
        <w:t xml:space="preserve">Resumo de estudo com esquemas e questões comentadas</w:t>
      </w:r>
    </w:p>
    <w:p>
      <w:pPr>
        <w:pBdr>
          <w:bottom w:val="single" w:color="1F4E79" w:sz="12" w:space="6"/>
        </w:pBdr>
        <w:spacing w:after="240" w:before="0"/>
      </w:pPr>
      <w:r>
        <w:rPr>
          <w:color w:val="5B6570"/>
          <w:sz w:val="18"/>
          <w:szCs w:val="18"/>
        </w:rPr>
        <w:t xml:space="preserve">Base: ABNT NBR 5626:2020, segunda edição (29.06.2020), versão corrigida de 30.09.2020</w:t>
      </w:r>
    </w:p>
    <w:p>
      <w:pPr>
        <w:keepNext/>
        <w:pBdr>
          <w:left w:val="single" w:color="1F4E79" w:sz="24" w:space="8"/>
        </w:pBdr>
        <w:shd w:fill="F3F6FA" w:color="auto" w:val="clear"/>
        <w:spacing w:after="0" w:before="120" w:line="270" w:lineRule="auto"/>
        <w:ind w:left="170" w:right="170"/>
      </w:pPr>
      <w:r>
        <w:rPr>
          <w:b/>
          <w:bCs/>
          <w:color w:val="1F4E79"/>
        </w:rPr>
        <w:t xml:space="preserve">Sobre este material</w:t>
      </w:r>
    </w:p>
    <w:p>
      <w:pPr>
        <w:pBdr>
          <w:left w:val="single" w:color="1F4E79" w:sz="24" w:space="8"/>
        </w:pBdr>
        <w:shd w:fill="F3F6FA" w:color="auto" w:val="clear"/>
        <w:spacing w:after="200" w:before="0" w:line="270" w:lineRule="auto"/>
        <w:ind w:left="170" w:right="170"/>
      </w:pPr>
      <w:r>
        <w:rPr>
          <w:b w:val="false"/>
          <w:bCs w:val="false"/>
        </w:rPr>
        <w:t xml:space="preserve">Resumo escrito em linguagem própria e organizado por tema. Não reproduz nem substitui o texto da norma: os números entre parênteses indicam o item da NBR 5626:2020 para você conferir na fonte. Os esquemas são desenhos didáticos simplificados, feitos para este resumo, e não as figuras originais. As seções 18 a 20 trazem as questões do seu caderno comentadas e um treino extra. </w:t>
      </w:r>
      <w:r>
        <w:rPr>
          <w:b/>
          <w:bCs/>
        </w:rPr>
        <w:t xml:space="preserve">Lacuna da cópia usada como base:</w:t>
      </w:r>
      <w:r>
        <w:rPr>
          <w:b w:val="false"/>
          <w:bCs w:val="false"/>
        </w:rPr>
        <w:t xml:space="preserve"> faltam as páginas 4, 5 e 31 da norma. Por isso ficaram de fora as definições 3.21 a 3.42, os itens 6.15.2.5 a 6.15.2.9 (parte da proteção contra refluxo) e a figura sobre ventilação de coluna de distribuição.</w:t>
      </w:r>
    </w:p>
    <w:p>
      <w:pPr>
        <w:pStyle w:val="Heading1"/>
        <w:keepNext/>
      </w:pPr>
      <w:r>
        <w:t xml:space="preserve">1. Ficha rápida: os números da norma</w:t>
      </w:r>
    </w:p>
    <w:p>
      <w:pPr>
        <w:spacing w:after="120" w:before="0" w:line="276" w:lineRule="auto"/>
      </w:pPr>
      <w:r>
        <w:rPr>
          <w:b w:val="false"/>
          <w:bCs w:val="false"/>
        </w:rPr>
        <w:t xml:space="preserve">Os valores abaixo concentram a maior parte das cobranças numéricas. As seções seguintes explicam o contexto de cada um.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138"/>
        <w:gridCol w:w="1200"/>
      </w:tblGrid>
      <w:tr>
        <w:trPr>
          <w:cantSplit/>
          <w:tblHeader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Assunto</w:t>
            </w:r>
          </w:p>
        </w:tc>
        <w:tc>
          <w:tcPr>
            <w:tcW w:type="dxa" w:w="5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Valor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Reserva mínima de água potável</w:t>
            </w:r>
          </w:p>
        </w:tc>
        <w:tc>
          <w:tcPr>
            <w:tcW w:type="dxa" w:w="5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Pelo menos 24 h de consumo normal do edifício, somando o volume de incêndio quando armazenado junto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6.5.6.2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Reserva máxima (recomendação, em nota)</w:t>
            </w:r>
          </w:p>
        </w:tc>
        <w:tc>
          <w:tcPr>
            <w:tcW w:type="dxa" w:w="5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 dias de consumo diário, quando não for possível determinar o volume máximo, ou meios que preservem a água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6.5.6.3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Reposição do reservatório</w:t>
            </w:r>
          </w:p>
        </w:tc>
        <w:tc>
          <w:tcPr>
            <w:tcW w:type="dxa" w:w="5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Volume de consumo diário reposto em até 6 h; em residência unifamiliar, até 3 h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6.7.2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Bombas de recalque ou pressurização</w:t>
            </w:r>
          </w:p>
        </w:tc>
        <w:tc>
          <w:tcPr>
            <w:tcW w:type="dxa" w:w="5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 mínimo 2, com funcionamento independente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6.5.11.2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Pressão dinâmica mínima no ponto de utilização</w:t>
            </w:r>
          </w:p>
        </w:tc>
        <w:tc>
          <w:tcPr>
            <w:tcW w:type="dxa" w:w="5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 kPa (1 mca), em qualquer caso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6.9.2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Pressão dinâmica mínima em qualquer ponto da rede</w:t>
            </w:r>
          </w:p>
        </w:tc>
        <w:tc>
          <w:tcPr>
            <w:tcW w:type="dxa" w:w="5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 kPa (0,5 mca), exceto trechos verticais de saída de reservatório elevado para o barrilete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6.9.3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Pressão estática máxima no ponto de utilização</w:t>
            </w:r>
          </w:p>
        </w:tc>
        <w:tc>
          <w:tcPr>
            <w:tcW w:type="dxa" w:w="5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400 kPa (40 mca)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6.9.4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Sobrepressão por transientes</w:t>
            </w:r>
          </w:p>
        </w:tc>
        <w:tc>
          <w:tcPr>
            <w:tcW w:type="dxa" w:w="5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Até 200 kPa (20 mca) acima da pressão dinâmica de projeto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6.9.6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Velocidade da água</w:t>
            </w:r>
          </w:p>
        </w:tc>
        <w:tc>
          <w:tcPr>
            <w:tcW w:type="dxa" w:w="5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Sem limite numérico obrigatório; 3 m/s aparece só em nota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6.8.3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Estação redutora de pressão</w:t>
            </w:r>
          </w:p>
        </w:tc>
        <w:tc>
          <w:tcPr>
            <w:tcW w:type="dxa" w:w="5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Pelo menos 2 válvulas em paralelo (uma sobressalente); uma estação por zona de pressão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6.9.7 e 6.9.11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Água quente para uso corporal</w:t>
            </w:r>
          </w:p>
        </w:tc>
        <w:tc>
          <w:tcPr>
            <w:tcW w:type="dxa" w:w="5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Acima de 45 °C, limitador automático obrigatório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6.10.4.3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Água quente em ambiente sanitário com misturador convencional</w:t>
            </w:r>
          </w:p>
        </w:tc>
        <w:tc>
          <w:tcPr>
            <w:tcW w:type="dxa" w:w="5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Limite de 70 °C na tubulação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6.10.3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Temperatura máxima recomendada (nota)</w:t>
            </w:r>
          </w:p>
        </w:tc>
        <w:tc>
          <w:tcPr>
            <w:tcW w:type="dxa" w:w="5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38 °C para duchas higiênicas, jardins de infância e certas clínicas e hospitais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6.10.4.4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Medidas extras de segurança</w:t>
            </w:r>
          </w:p>
        </w:tc>
        <w:tc>
          <w:tcPr>
            <w:tcW w:type="dxa" w:w="5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Precauções acima de 90 °C no sistema; controles na geração acima de 95 °C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6.10.7.1 e 6.13.2.1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Separação atmosférica</w:t>
            </w:r>
          </w:p>
        </w:tc>
        <w:tc>
          <w:tcPr>
            <w:tcW w:type="dxa" w:w="5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Afastamento lateral L ≥ 3d; altura S conforme o diâmetro (ver seção 12)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6.15.2.3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Ensaio de estanqueidade das tubulações</w:t>
            </w:r>
          </w:p>
        </w:tc>
        <w:tc>
          <w:tcPr>
            <w:tcW w:type="dxa" w:w="5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600 kPa ou 1,5 vez a máxima pressão de trabalho, o que for menor; sem queda de pressão por 1 h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7.3.1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Ensaio em tubulação de água quente</w:t>
            </w:r>
          </w:p>
        </w:tc>
        <w:tc>
          <w:tcPr>
            <w:tcW w:type="dxa" w:w="5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Água a no mínimo 80 °C, antes do isolamento ou do recobrimento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7.3.1.3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Ensaio de estanqueidade de reservatório</w:t>
            </w:r>
          </w:p>
        </w:tc>
        <w:tc>
          <w:tcPr>
            <w:tcW w:type="dxa" w:w="5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72 h sem vazamento nem extravasamento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7.3.3.3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Desinfecção química (Anexo F)</w:t>
            </w:r>
          </w:p>
        </w:tc>
        <w:tc>
          <w:tcPr>
            <w:tcW w:type="dxa" w:w="5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Cloro livre de no mínimo 20 mg/L, com repouso mínimo de 2 h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F.3.3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Desinfecção térmica (Anexo F)</w:t>
            </w:r>
          </w:p>
        </w:tc>
        <w:tc>
          <w:tcPr>
            <w:tcW w:type="dxa" w:w="5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 mínimo 70 °C, com fluxo de pelo menos 30 min em cada peça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F.3.4</w:t>
            </w:r>
          </w:p>
        </w:tc>
      </w:tr>
    </w:tbl>
    <w:p>
      <w:pPr>
        <w:spacing w:after="160" w:before="0"/>
      </w:pP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1809750"/>
            <wp:effectExtent t="0" r="0" b="0" l="0"/>
            <wp:docPr id="1" name="e4_pressoes.png" descr="Esquema 1. Limites de pressão da norma (elaboração própria)." title="Esquema 1. Limites de pressão da norma (elaboração própri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5B6570"/>
          <w:sz w:val="18"/>
          <w:szCs w:val="18"/>
        </w:rPr>
        <w:t xml:space="preserve">Esquema 1. Limites de pressão da norma (elaboração própria).</w:t>
      </w:r>
    </w:p>
    <w:p>
      <w:pPr>
        <w:pStyle w:val="Heading1"/>
        <w:keepNext/>
      </w:pPr>
      <w:r>
        <w:t xml:space="preserve">2. O que é a norma e onde se aplica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/>
          <w:bCs/>
        </w:rPr>
        <w:t xml:space="preserve">Objeto:</w:t>
      </w:r>
      <w:r>
        <w:rPr>
          <w:b w:val="false"/>
          <w:bCs w:val="false"/>
        </w:rPr>
        <w:t xml:space="preserve"> requisitos de projeto, execução, operação e manutenção dos sistemas prediais de água fria e água quente, abreviados na norma como </w:t>
      </w:r>
      <w:r>
        <w:rPr>
          <w:b/>
          <w:bCs/>
        </w:rPr>
        <w:t xml:space="preserve">SPAFAQ</w:t>
      </w:r>
      <w:r>
        <w:rPr>
          <w:b w:val="false"/>
          <w:bCs w:val="false"/>
        </w:rPr>
        <w:t xml:space="preserve"> (seção 1).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/>
          <w:bCs/>
        </w:rPr>
        <w:t xml:space="preserve">Só água potável.</w:t>
      </w:r>
      <w:r>
        <w:rPr>
          <w:b w:val="false"/>
          <w:bCs w:val="false"/>
        </w:rPr>
        <w:t xml:space="preserve"> Vale para qualquer tipo de edifício, residencial ou não. Não se aplica a água não potável, a água de processos industriais nem a processos internos de equipamentos específicos.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/>
          <w:bCs/>
        </w:rPr>
        <w:t xml:space="preserve">Preocupações centrais:</w:t>
      </w:r>
      <w:r>
        <w:rPr>
          <w:b w:val="false"/>
          <w:bCs w:val="false"/>
        </w:rPr>
        <w:t xml:space="preserve"> bom desempenho do sistema, uso racional de água e energia, preservação da potabilidade e segurança sanitária.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/>
          <w:bCs/>
        </w:rPr>
        <w:t xml:space="preserve">Histórico:</w:t>
      </w:r>
      <w:r>
        <w:rPr>
          <w:b w:val="false"/>
          <w:bCs w:val="false"/>
        </w:rPr>
        <w:t xml:space="preserve"> é a segunda edição, de 29.06.2020, com versão corrigida em 30.09.2020 (Errata 1). Cancela e substitui a NBR 5626:1998 e também a NBR 7198:1993, de água quente. A partir de 2020, água fria e água quente estão na mesma norma.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/>
          <w:bCs/>
        </w:rPr>
        <w:t xml:space="preserve">Transição:</w:t>
      </w:r>
      <w:r>
        <w:rPr>
          <w:b w:val="false"/>
          <w:bCs w:val="false"/>
        </w:rPr>
        <w:t xml:space="preserve"> a edição de 2020 não se aplica a projetos protocolados para aprovação antes da publicação, nem aos protocolados até 180 dias depois dela. Nesses casos vale a edição de 1998.</w:t>
      </w:r>
    </w:p>
    <w:p>
      <w:pPr>
        <w:pStyle w:val="ListParagraph"/>
        <w:numPr>
          <w:ilvl w:val="0"/>
          <w:numId w:val="2"/>
        </w:numPr>
        <w:spacing w:after="140" w:before="0" w:line="270" w:lineRule="auto"/>
      </w:pPr>
      <w:r>
        <w:rPr>
          <w:b/>
          <w:bCs/>
        </w:rPr>
        <w:t xml:space="preserve">Normas citadas que costumam aparecer junto:</w:t>
      </w:r>
      <w:r>
        <w:rPr>
          <w:b w:val="false"/>
          <w:bCs w:val="false"/>
        </w:rPr>
        <w:t xml:space="preserve"> NBR 5674 (gestão da manutenção), NBR 14037 (manual de uso, operação e manutenção), NBR 6493 (cores de tubulações), NBR 10152 (níveis de ruído), NBR 15575-6 (desempenho, sistemas hidrossanitários), NBR 15932 (instalador hidráulico), NBR 16280 (reformas), NBR 16792 (conservação de água) e NBR 16824 (prevenção de legionelose).</w:t>
      </w:r>
    </w:p>
    <w:p>
      <w:pPr>
        <w:pStyle w:val="Heading1"/>
        <w:keepNext/>
      </w:pPr>
      <w:r>
        <w:t xml:space="preserve">3. Vocabulário essencial</w:t>
      </w:r>
    </w:p>
    <w:p>
      <w:pPr>
        <w:spacing w:after="120" w:before="0" w:line="276" w:lineRule="auto"/>
      </w:pPr>
      <w:r>
        <w:rPr>
          <w:b w:val="false"/>
          <w:bCs w:val="false"/>
        </w:rPr>
        <w:t xml:space="preserve">Definições reescritas de forma resumida, a partir da seção 3. A ordem segue o caminho da água, da rua até o ponto de uso.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334000" cy="3848100"/>
            <wp:effectExtent t="0" r="0" b="0" l="0"/>
            <wp:docPr id="1" name="e1_sistema.png" descr="Esquema 2. Partes de um sistema com abastecimento indireto (elaboração própria)." title="Esquema 2. Partes de um sistema com abastecimento indireto (elaboração própri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5B6570"/>
          <w:sz w:val="18"/>
          <w:szCs w:val="18"/>
        </w:rPr>
        <w:t xml:space="preserve">Esquema 2. Partes de um sistema com abastecimento indireto (elaboração própria).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  <w:tblHeader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Termo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Ideia central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Água fria / água quente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Água potável à temperatura ambiente / água potável acima da temperatura ambiente por aquecimento artificial.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Ramal predial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Trecho entre a rede pública e o início do alimentador predial (ou da rede predial de distribuição). O ponto onde termina é convencionado pela concessionária.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Alimentador predial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Liga a fonte de abastecimento a um reservatório ou à rede predial de distribuição.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Sistema direto / indireto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Direto: a água vem diretamente da fonte de abastecimento. Indireto: a água vem de um reservatório do edifício.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Barrilete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Tubulação da qual saem as colunas de distribuição.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Coluna de distribuição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Sai do barrilete e alimenta os ramais.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Ramal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Sai da coluna (ou direto do barrilete) e alimenta os sub-ramais.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Sub-ramal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Liga o ramal ao ponto de utilização.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Aquecimento individual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Aquecedor a jusante do ponto de água fria; dispensa rede de distribuição de água quente.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Aquecimento central privado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Aquecedor remoto que atende pontos de uma mesma unidade.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Aquecimento central coletivo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Aquecedor remoto que atende pontos de mais de uma unidade.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Conexão cruzada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Qualquer contato entre a água potável do sistema e água não potável ou de qualidade desconhecida.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Refluxo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Entrada, na tubulação, de água vinda de outra origem que não a fonte prevista. Inclui a retrossifonagem e o refluxo por vasos comunicantes.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Retrossifonagem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Refluxo de água usada para dentro da tubulação porque a pressão nela ficou abaixo da atmosférica.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Separação atmosférica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Espaço preenchido por ar entre a saída do ponto de suprimento (ou da peça de utilização) e o nível de transbordamento do reservatório ou aparelho.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Quebrador de vácuo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Componente que impede o refluxo causado por queda transitória da pressão a montante.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Pressão estática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Carga de pressão em uma seção da tubulação cheia, mas sem escoamento.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Válvula redutora de pressão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Reduz a pressão dinâmica a jusante e impede a transmissão da pressão estática de montante quando não há escoamento.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Relação de redução de pressões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Quanto a pressão de entrada pode superar a de saída sem cavitação, ruído e desgaste. Em uma relação 4:1, a de montante pode ser até quatro vezes a de jusante.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Zona de pressão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Pavimentos ou setores atendidos diretamente por uma mesma estação redutora de pressão.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Tubo respiro / tubo ventilador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Respiro: deixa sair ar ou vapor. Ventilador: deixa entrar ar na tubulação no esvaziamento ou em pressão negativa, servindo de proteção não localizada contra refluxo.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Extravasão, aviso e limpeza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Extravasão: escoa o excesso acima do nível de transbordamento. Aviso: leva parte do excesso a local visível, como alerta de falha. Limpeza: esvazia o reservatório.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Sifão térmico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Trecho vertical em U (invertido ou não) que dificulta a passagem de calor por convecção natural.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Tubulação de retorno / recirculação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 retorno leva a água quente de volta ao reservatório ou aquecedor; a recirculação mantém a água quente em movimento para que chegue mais rápido ao ponto.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Tubulação aparente / recoberta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Aparente: externa ao elemento construtivo, sem cobertura. Recoberta: em espaço projetado para isso, com acesso pela remoção do cobrimento.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Diâmetro nominal (DN)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Número que classifica os componentes. Não é medido nem usado em cálculo.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Vida útil de projeto (VUP)</w:t>
            </w:r>
          </w:p>
        </w:tc>
        <w:tc>
          <w:tcPr>
            <w:tcW w:type="dxa" w:w="6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Período para o qual o sistema é projetado, supondo manutenção correta. Não se confunde com vida útil, durabilidade ou prazo de garantia.</w:t>
            </w:r>
          </w:p>
        </w:tc>
      </w:tr>
    </w:tbl>
    <w:p>
      <w:pPr>
        <w:spacing w:after="160" w:before="0"/>
      </w:pPr>
    </w:p>
    <w:p>
      <w:pPr>
        <w:keepNext/>
        <w:pBdr>
          <w:left w:val="single" w:color="1F4E79" w:sz="24" w:space="8"/>
        </w:pBdr>
        <w:shd w:fill="F3F6FA" w:color="auto" w:val="clear"/>
        <w:spacing w:after="0" w:before="120" w:line="270" w:lineRule="auto"/>
        <w:ind w:left="170" w:right="170"/>
      </w:pPr>
      <w:r>
        <w:rPr>
          <w:b/>
          <w:bCs/>
          <w:color w:val="1F4E79"/>
        </w:rPr>
        <w:t xml:space="preserve">Três tipos de profissional</w:t>
      </w:r>
    </w:p>
    <w:p>
      <w:pPr>
        <w:pBdr>
          <w:left w:val="single" w:color="1F4E79" w:sz="24" w:space="8"/>
        </w:pBdr>
        <w:shd w:fill="F3F6FA" w:color="auto" w:val="clear"/>
        <w:spacing w:after="200" w:before="0" w:line="270" w:lineRule="auto"/>
        <w:ind w:left="170" w:right="170"/>
      </w:pPr>
      <w:r>
        <w:rPr>
          <w:b/>
          <w:bCs/>
        </w:rPr>
        <w:t xml:space="preserve">Habilitado:</w:t>
      </w:r>
      <w:r>
        <w:rPr>
          <w:b w:val="false"/>
          <w:bCs w:val="false"/>
        </w:rPr>
        <w:t xml:space="preserve"> graduado e registrado no órgão de classe; elabora projetos e assume responsabilidade técnica (3.46). </w:t>
      </w:r>
      <w:r>
        <w:rPr>
          <w:b/>
          <w:bCs/>
        </w:rPr>
        <w:t xml:space="preserve">Qualificado:</w:t>
      </w:r>
      <w:r>
        <w:rPr>
          <w:b w:val="false"/>
          <w:bCs w:val="false"/>
        </w:rPr>
        <w:t xml:space="preserve"> tem treinamento comprovado por entidade reconhecida para montagens, manutenções e ensaios (3.47). </w:t>
      </w:r>
      <w:r>
        <w:rPr>
          <w:b/>
          <w:bCs/>
        </w:rPr>
        <w:t xml:space="preserve">Capacitado:</w:t>
      </w:r>
      <w:r>
        <w:rPr>
          <w:b w:val="false"/>
          <w:bCs w:val="false"/>
        </w:rPr>
        <w:t xml:space="preserve"> trabalha sob orientação e responsabilidade de um profissional habilitado (3.45).</w:t>
      </w:r>
    </w:p>
    <w:p>
      <w:pPr>
        <w:pStyle w:val="Heading1"/>
        <w:keepNext/>
      </w:pPr>
      <w:r>
        <w:t xml:space="preserve">4. Documentação e materiais</w:t>
      </w:r>
    </w:p>
    <w:p>
      <w:pPr>
        <w:pStyle w:val="Heading2"/>
        <w:keepNext/>
      </w:pPr>
      <w:r>
        <w:t xml:space="preserve">Documentação (seção 4)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O projeto deve trazer, entre outros elementos: premissas e método de dimensionamento, memorial descritivo, volumes de armazenamento, pressões de trabalho, simultaneidade de uso e vazões de projeto, fontes de abastecimento, dispositivos de segurança, desenhos e diagrama vertical, especificações de componentes e a vida útil de projeto com as manutenções necessárias para atingi-la (4.1).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O projeto fornece subsídios para o manual de operação, uso e manutenção (NBR 14037) e para o programa de manutenção preventiva (NBR 5674) (4.2).</w:t>
      </w:r>
    </w:p>
    <w:p>
      <w:pPr>
        <w:pStyle w:val="ListParagraph"/>
        <w:numPr>
          <w:ilvl w:val="0"/>
          <w:numId w:val="2"/>
        </w:numPr>
        <w:spacing w:after="140" w:before="0" w:line="270" w:lineRule="auto"/>
      </w:pPr>
      <w:r>
        <w:rPr>
          <w:b w:val="false"/>
          <w:bCs w:val="false"/>
        </w:rPr>
        <w:t xml:space="preserve">Os documentos do sistema ficam em posse do </w:t>
      </w:r>
      <w:r>
        <w:rPr>
          <w:b/>
          <w:bCs/>
        </w:rPr>
        <w:t xml:space="preserve">responsável legal pela edificação</w:t>
      </w:r>
      <w:r>
        <w:rPr>
          <w:b w:val="false"/>
          <w:bCs w:val="false"/>
        </w:rPr>
        <w:t xml:space="preserve"> (4.3).</w:t>
      </w:r>
    </w:p>
    <w:p>
      <w:pPr>
        <w:pStyle w:val="Heading2"/>
        <w:keepNext/>
      </w:pPr>
      <w:r>
        <w:t xml:space="preserve">Materiais e componentes (seção 5)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Não podem afetar a potabilidade, não podem ter o desempenho comprometido pela água ou pelo meio e devem resistir às solicitações de uso (5.1).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O que fica em contato permanente com a água não pode transmitir gosto, cor, odor ou toxicidade, nem favorecer micro-organismos (5.2).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Superfícies em contato com a água potável devem resistir à corrosão (5.4).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Se for inevitável usar material que favoreça biofilme (poroso, rugoso, com microfissuras), a manutenção deve ser avisada da necessidade de limpezas programadas (5.3).</w:t>
      </w:r>
    </w:p>
    <w:p>
      <w:pPr>
        <w:pStyle w:val="ListParagraph"/>
        <w:numPr>
          <w:ilvl w:val="0"/>
          <w:numId w:val="2"/>
        </w:numPr>
        <w:spacing w:after="140" w:before="0" w:line="270" w:lineRule="auto"/>
      </w:pPr>
      <w:r>
        <w:rPr>
          <w:b w:val="false"/>
          <w:bCs w:val="false"/>
        </w:rPr>
        <w:t xml:space="preserve">A norma não pretende barrar novos materiais e tecnologias; o Anexo E orienta como avaliá-los (5.1, nota).</w:t>
      </w:r>
    </w:p>
    <w:p>
      <w:pPr>
        <w:pStyle w:val="Heading1"/>
        <w:keepNext/>
      </w:pPr>
      <w:r>
        <w:t xml:space="preserve">5. Projeto: regras gerais e abastecimento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O projeto é feito por </w:t>
      </w:r>
      <w:r>
        <w:rPr>
          <w:b/>
          <w:bCs/>
        </w:rPr>
        <w:t xml:space="preserve">profissional habilitado</w:t>
      </w:r>
      <w:r>
        <w:rPr>
          <w:b w:val="false"/>
          <w:bCs w:val="false"/>
        </w:rPr>
        <w:t xml:space="preserve">, com os dados de registro em todos os elementos, em qualquer etapa (6.1.1).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Requisitos de projeto durante a vida útil: preservar a potabilidade; fornecer água de forma contínua, em quantidade, pressão, vazão e temperatura adequadas; prever acesso para verificação e manutenção; setorizar a distribuição; evitar ruído inadequado; posicionar bem as peças de utilização; minimizar patologias; considerar a manutenibilidade; equilibrar as pressões de água fria e quente a montante de misturadores convencionais (6.2).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Onde há rede pública, é obrigatória a </w:t>
      </w:r>
      <w:r>
        <w:rPr>
          <w:b/>
          <w:bCs/>
        </w:rPr>
        <w:t xml:space="preserve">consulta prévia à concessionária</w:t>
      </w:r>
      <w:r>
        <w:rPr>
          <w:b w:val="false"/>
          <w:bCs w:val="false"/>
        </w:rPr>
        <w:t xml:space="preserve"> sobre vazões, pressões, características da água e constância do abastecimento (6.3.1).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Para água de poço, consulta prévia ao órgão gestor de recursos hídricos e verificação do padrão de potabilidade (6.3.2).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Usando água da concessionária e de outra fonte ao mesmo tempo, é preciso impedir o refluxo dessa outra fonte para a rede pública (6.3.3).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Sistema de água não potável, quando existir, é </w:t>
      </w:r>
      <w:r>
        <w:rPr>
          <w:b/>
          <w:bCs/>
        </w:rPr>
        <w:t xml:space="preserve">totalmente independente</w:t>
      </w:r>
      <w:r>
        <w:rPr>
          <w:b w:val="false"/>
          <w:bCs w:val="false"/>
        </w:rPr>
        <w:t xml:space="preserve">. Conexão cruzada é vedada (6.5.1.2).</w:t>
      </w:r>
    </w:p>
    <w:p>
      <w:pPr>
        <w:pStyle w:val="ListParagraph"/>
        <w:numPr>
          <w:ilvl w:val="0"/>
          <w:numId w:val="2"/>
        </w:numPr>
        <w:spacing w:after="140" w:before="0" w:line="270" w:lineRule="auto"/>
      </w:pPr>
      <w:r>
        <w:rPr>
          <w:b w:val="false"/>
          <w:bCs w:val="false"/>
        </w:rPr>
        <w:t xml:space="preserve">O abastecimento pode ser direto ou indireto, conforme as informações preliminares e as exigências da concessionária (6.5.2.1).</w:t>
      </w:r>
    </w:p>
    <w:p>
      <w:pPr>
        <w:pStyle w:val="Heading2"/>
        <w:keepNext/>
      </w:pPr>
      <w:r>
        <w:t xml:space="preserve">Alimentador predial (6.5.3)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Resiste à pressão máxima da fonte e tem capacidade de vazão para abastecer o reservatório na pressão mínima. Essas pressões são informadas pela concessionária.</w:t>
      </w:r>
    </w:p>
    <w:p>
      <w:pPr>
        <w:pStyle w:val="ListParagraph"/>
        <w:numPr>
          <w:ilvl w:val="0"/>
          <w:numId w:val="2"/>
        </w:numPr>
        <w:spacing w:after="140" w:before="0" w:line="270" w:lineRule="auto"/>
      </w:pPr>
      <w:r>
        <w:rPr>
          <w:b w:val="false"/>
          <w:bCs w:val="false"/>
        </w:rPr>
        <w:t xml:space="preserve">Enterrado, guarda afastamento horizontal de fontes potencialmente poluidoras. Se ficar na mesma vala de uma tubulação poluidora, deve passar </w:t>
      </w:r>
      <w:r>
        <w:rPr>
          <w:b/>
          <w:bCs/>
        </w:rPr>
        <w:t xml:space="preserve">por cima</w:t>
      </w:r>
      <w:r>
        <w:rPr>
          <w:b w:val="false"/>
          <w:bCs w:val="false"/>
        </w:rPr>
        <w:t xml:space="preserve">: a geratriz inferior externa do alimentador fica acima da geratriz superior externa da outra tubulação (6.5.3.2).</w:t>
      </w:r>
    </w:p>
    <w:p>
      <w:pPr>
        <w:pStyle w:val="Heading1"/>
        <w:keepNext/>
      </w:pPr>
      <w:r>
        <w:t xml:space="preserve">6. Reservatórios de água fria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524500" cy="3057525"/>
            <wp:effectExtent t="0" r="0" b="0" l="0"/>
            <wp:docPr id="1" name="e2_reservatorio.png" descr="Esquema 3. Elementos de um reservatório de água potável (elaboração própria)." title="Esquema 3. Elementos de um reservatório de água potável (elaboração própri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5B6570"/>
          <w:sz w:val="18"/>
          <w:szCs w:val="18"/>
        </w:rPr>
        <w:t xml:space="preserve">Esquema 3. Elementos de um reservatório de água potável (elaboração própria).</w:t>
      </w:r>
    </w:p>
    <w:p>
      <w:pPr>
        <w:pStyle w:val="Heading2"/>
        <w:keepNext/>
      </w:pPr>
      <w:r>
        <w:t xml:space="preserve">Proteção sanitária (6.5.5)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Opaco ou protegido contra a luz; estanque; com tampa ou porta de acesso opaca e firmemente presa.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Deve permitir ver e reparar vazamentos e impedir contaminação por agente externo.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Toda abertura que se comunique com o exterior é protegida contra a entrada de líquidos, poeira, insetos e outros animais.</w:t>
      </w:r>
    </w:p>
    <w:p>
      <w:pPr>
        <w:pStyle w:val="ListParagraph"/>
        <w:numPr>
          <w:ilvl w:val="0"/>
          <w:numId w:val="2"/>
        </w:numPr>
        <w:spacing w:after="140" w:before="0" w:line="270" w:lineRule="auto"/>
      </w:pPr>
      <w:r>
        <w:rPr>
          <w:b w:val="false"/>
          <w:bCs w:val="false"/>
        </w:rPr>
        <w:t xml:space="preserve">Resistente à corrosão ou com revestimento interno protetor. As superfícies acima do nível da água também não podem liberar substâncias nem favorecer biofilme, por causa da condensação.</w:t>
      </w:r>
    </w:p>
    <w:p>
      <w:pPr>
        <w:pStyle w:val="Heading2"/>
        <w:keepNext/>
      </w:pPr>
      <w:r>
        <w:t xml:space="preserve">Capacidade e forma (6.5.6)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/>
          <w:bCs/>
        </w:rPr>
        <w:t xml:space="preserve">Mínimo:</w:t>
      </w:r>
      <w:r>
        <w:rPr>
          <w:b w:val="false"/>
          <w:bCs w:val="false"/>
        </w:rPr>
        <w:t xml:space="preserve"> 24 h de consumo normal, somado ao volume de incêndio quando armazenado junto (6.5.6.2).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/>
          <w:bCs/>
        </w:rPr>
        <w:t xml:space="preserve">Máximo:</w:t>
      </w:r>
      <w:r>
        <w:rPr>
          <w:b w:val="false"/>
          <w:bCs w:val="false"/>
        </w:rPr>
        <w:t xml:space="preserve"> o volume deve preservar a potabilidade durante o tempo de detenção, para não perder o efeito residual do desinfetante. Se não for possível calcular, a nota recomenda limitar a 3 dias de consumo diário ou prever meios de preservação (6.5.6.3).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Reservatórios elevados são divididos em </w:t>
      </w:r>
      <w:r>
        <w:rPr>
          <w:b/>
          <w:bCs/>
        </w:rPr>
        <w:t xml:space="preserve">dois ou mais compartimentos</w:t>
      </w:r>
      <w:r>
        <w:rPr>
          <w:b w:val="false"/>
          <w:bCs w:val="false"/>
        </w:rPr>
        <w:t xml:space="preserve">, para permitir manutenção sem interromper a distribuição. A exceção são as </w:t>
      </w:r>
      <w:r>
        <w:rPr>
          <w:b/>
          <w:bCs/>
        </w:rPr>
        <w:t xml:space="preserve">residências unifamiliares isoladas</w:t>
      </w:r>
      <w:r>
        <w:rPr>
          <w:b w:val="false"/>
          <w:bCs w:val="false"/>
        </w:rPr>
        <w:t xml:space="preserve">. O menor compartimento deve cobrir o pico de consumo durante uma manutenção normal, e cada um opera de forma autônoma (6.5.6.5).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O reservatório inferior pode ter compartimento único quando o volume do superior for suficiente para o período de limpeza do inferior (6.5.6.7).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Forma, posição de entrada e saída e tomada de água devem evitar zonas de estagnação (6.5.6.6).</w:t>
      </w:r>
    </w:p>
    <w:p>
      <w:pPr>
        <w:pStyle w:val="ListParagraph"/>
        <w:numPr>
          <w:ilvl w:val="0"/>
          <w:numId w:val="2"/>
        </w:numPr>
        <w:spacing w:after="140" w:before="0" w:line="270" w:lineRule="auto"/>
      </w:pPr>
      <w:r>
        <w:rPr>
          <w:b w:val="false"/>
          <w:bCs w:val="false"/>
        </w:rPr>
        <w:t xml:space="preserve">Em reservatórios interligados, a água deve circular por todos. É vedado operá-los exclusivamente como vasos comunicantes (6.5.6.8).</w:t>
      </w:r>
    </w:p>
    <w:p>
      <w:pPr>
        <w:pStyle w:val="Heading2"/>
        <w:keepNext/>
      </w:pPr>
      <w:r>
        <w:t xml:space="preserve">Instalação e operação (6.5.7 e 6.5.8)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Reservatório pré-fabricado fica sobre base plana e estável, em local com escoamento para vazamentos; as tubulações ligadas a ele não podem transmitir esforços às paredes (6.5.7.2).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O alimentador predial termina em um componente de controle automático de nível, ajustável e com proteção contra refluxo (6.5.8.1).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Registro de fechamento no alimentador predial, a montante e próximo do reservatório, e na tubulação de recalque, a montante e próximo do reservatório superior (6.5.8.2).</w:t>
      </w:r>
    </w:p>
    <w:p>
      <w:pPr>
        <w:pStyle w:val="ListParagraph"/>
        <w:numPr>
          <w:ilvl w:val="0"/>
          <w:numId w:val="2"/>
        </w:numPr>
        <w:spacing w:after="140" w:before="0" w:line="270" w:lineRule="auto"/>
      </w:pPr>
      <w:r>
        <w:rPr>
          <w:b w:val="false"/>
          <w:bCs w:val="false"/>
        </w:rPr>
        <w:t xml:space="preserve">O nível máximo da água fica abaixo da geratriz inferior do extravasor e, se houver, da tubulação de aviso (6.5.8.3).</w:t>
      </w:r>
    </w:p>
    <w:p>
      <w:pPr>
        <w:pStyle w:val="Heading2"/>
        <w:keepNext/>
      </w:pPr>
      <w:r>
        <w:t xml:space="preserve">Limpeza, extravasão e aviso (6.5.9)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Reservatórios de água fria ou quente têm tubulação de limpeza, com registro de fácil acesso próximo à saída (6.5.9.1).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Reservatório moldado no local: cantos internos arredondados ou chanfrados e fundo com leve declividade para a limpeza (6.5.9.2).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Reservatórios atmosféricos de água fria têm extravasor, dimensionado para escoamento livre e sem risco de bloqueio por partículas flutuantes (6.5.9.3 e 6.5.9.4).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Deve haver um meio de alerta de falha no controle de nível, como a tubulação de aviso de extravasão (6.5.9.5). Quando adotada, ela descarrega imediatamente, em local adequado e de fácil constatação (6.5.9.7), e é derivada do extravasor de modo a não receber a água da limpeza (6.5.9.8).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As extremidades do extravasor e do aviso recebem tela ou malha contra vetores. A área de passagem das frestas deve ser </w:t>
      </w:r>
      <w:r>
        <w:rPr>
          <w:b/>
          <w:bCs/>
        </w:rPr>
        <w:t xml:space="preserve">maior</w:t>
      </w:r>
      <w:r>
        <w:rPr>
          <w:b w:val="false"/>
          <w:bCs w:val="false"/>
        </w:rPr>
        <w:t xml:space="preserve"> que a seção interna do tubo (6.5.9.6).</w:t>
      </w:r>
    </w:p>
    <w:p>
      <w:pPr>
        <w:pStyle w:val="ListParagraph"/>
        <w:numPr>
          <w:ilvl w:val="0"/>
          <w:numId w:val="2"/>
        </w:numPr>
        <w:spacing w:after="140" w:before="0" w:line="270" w:lineRule="auto"/>
      </w:pPr>
      <w:r>
        <w:rPr>
          <w:b w:val="false"/>
          <w:bCs w:val="false"/>
        </w:rPr>
        <w:t xml:space="preserve">A descarga de extravasão, limpeza e aviso não pode permitir refluxo, conexão cruzada nem entrada de gases. </w:t>
      </w:r>
      <w:r>
        <w:rPr>
          <w:b/>
          <w:bCs/>
        </w:rPr>
        <w:t xml:space="preserve">É vedada a ligação direta com esgoto sanitário e com águas pluviais</w:t>
      </w:r>
      <w:r>
        <w:rPr>
          <w:b w:val="false"/>
          <w:bCs w:val="false"/>
        </w:rPr>
        <w:t xml:space="preserve"> (6.5.9.10).</w:t>
      </w:r>
    </w:p>
    <w:p>
      <w:pPr>
        <w:spacing w:after="120" w:before="0" w:line="276" w:lineRule="auto"/>
      </w:pPr>
      <w:r>
        <w:rPr>
          <w:b w:val="false"/>
          <w:bCs w:val="false"/>
        </w:rPr>
        <w:t xml:space="preserve">O reservatório deve ter abertura e espaço ao redor suficientes para inspeção, manutenção e limpeza com segurança (6.5.10).</w:t>
      </w:r>
    </w:p>
    <w:p>
      <w:pPr>
        <w:pStyle w:val="Heading1"/>
        <w:keepNext/>
      </w:pPr>
      <w:r>
        <w:t xml:space="preserve">7. Recalque e pressurização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/>
          <w:bCs/>
        </w:rPr>
        <w:t xml:space="preserve">No mínimo duas bombas independentes</w:t>
      </w:r>
      <w:r>
        <w:rPr>
          <w:b w:val="false"/>
          <w:bCs w:val="false"/>
        </w:rPr>
        <w:t xml:space="preserve">, para manter o abastecimento na falha ou manutenção de uma delas (6.5.11.2). O sistema deve permitir o funcionamento simulado de qualquer bomba para teste (6.5.11.3).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/>
          <w:bCs/>
        </w:rPr>
        <w:t xml:space="preserve">Alternância automática</w:t>
      </w:r>
      <w:r>
        <w:rPr>
          <w:b w:val="false"/>
          <w:bCs w:val="false"/>
        </w:rPr>
        <w:t xml:space="preserve"> entre partidas consecutivas, para não deixar água parada em bomba inoperante (6.5.11.9).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Local com baixa transmissão de ruído e vibração, espaço e acesso para manutenção, ventilação para dissipar calor e drenagem (6.5.11.4). Ruído e vibração dentro dos limites da NBR 10152 (6.5.11.11).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Sucção: evitar vórtice e entrada de ar, proteger contra detritos (6.5.11.5) e posicionar a tomada elevada em relação ao fundo (6.5.11.8). A perda de carga do dispositivo de proteção entra na verificação do NPSH disponível (6.5.11.7).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Bombas selecionadas para não cavitar e para o maior rendimento possível (6.5.11.6 e 6.5.11.12).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Comandos automáticos condicionados ao nível dos reservatórios (6.5.11.16). O sistema não pode ser acionado com o reservatório que o abastece no nível mínimo operacional (6.5.11.17).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/>
          <w:bCs/>
        </w:rPr>
        <w:t xml:space="preserve">Recalque comum a duas ou mais torres:</w:t>
      </w:r>
      <w:r>
        <w:rPr>
          <w:b w:val="false"/>
          <w:bCs w:val="false"/>
        </w:rPr>
        <w:t xml:space="preserve"> partidas e paradas com variação gradual de rotação (6.5.11.13); alternância automática da primeira bomba, uma bomba reserva e isolamento automático da defeituosa, com alarme sonoro ou visual (6.5.11.14).</w:t>
      </w:r>
    </w:p>
    <w:p>
      <w:pPr>
        <w:pStyle w:val="ListParagraph"/>
        <w:numPr>
          <w:ilvl w:val="0"/>
          <w:numId w:val="2"/>
        </w:numPr>
        <w:spacing w:after="140" w:before="0" w:line="270" w:lineRule="auto"/>
      </w:pPr>
      <w:r>
        <w:rPr>
          <w:b/>
          <w:bCs/>
        </w:rPr>
        <w:t xml:space="preserve">Pressurização:</w:t>
      </w:r>
      <w:r>
        <w:rPr>
          <w:b w:val="false"/>
          <w:bCs w:val="false"/>
        </w:rPr>
        <w:t xml:space="preserve"> deve garantir a continuidade do abastecimento, com desvio (by-pass) dotado de válvula de retenção e </w:t>
      </w:r>
      <w:r>
        <w:rPr>
          <w:b/>
          <w:bCs/>
        </w:rPr>
        <w:t xml:space="preserve">sem</w:t>
      </w:r>
      <w:r>
        <w:rPr>
          <w:b w:val="false"/>
          <w:bCs w:val="false"/>
        </w:rPr>
        <w:t xml:space="preserve"> válvula de bloqueio, para que o abastecimento por gravidade seja automático quando a bomba parar (6.5.11.18). Precisa de dispositivo que admita ar no esvaziamento, expulse ar no enchimento e elimine bolhas em operação (6.5.11.20).</w:t>
      </w:r>
    </w:p>
    <w:p>
      <w:pPr>
        <w:pStyle w:val="Heading1"/>
        <w:keepNext/>
      </w:pPr>
      <w:r>
        <w:t xml:space="preserve">8. Distribuição e tubulações</w:t>
      </w:r>
    </w:p>
    <w:p>
      <w:pPr>
        <w:pStyle w:val="Heading2"/>
        <w:keepNext/>
      </w:pPr>
      <w:r>
        <w:t xml:space="preserve">Setorização (6.5.12)</w:t>
      </w:r>
    </w:p>
    <w:p>
      <w:pPr>
        <w:spacing w:after="120" w:before="0" w:line="276" w:lineRule="auto"/>
      </w:pPr>
      <w:r>
        <w:rPr>
          <w:b w:val="false"/>
          <w:bCs w:val="false"/>
        </w:rPr>
        <w:t xml:space="preserve">A distribuição deve permitir manutenção em partes, com registros de fechamento ou dispositivos equivalentes, em especial (6.5.12.4):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no barrilete, no trecho que o alimenta; no abastecimento indireto, em cada trecho que liga o barrilete ao reservatório;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na coluna de distribuição, a montante do primeiro ramal;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no ramal, a montante do primeiro sub-ramal, em ao menos um dos ambientes sanitários da unidade;</w:t>
      </w:r>
    </w:p>
    <w:p>
      <w:pPr>
        <w:pStyle w:val="ListParagraph"/>
        <w:numPr>
          <w:ilvl w:val="0"/>
          <w:numId w:val="2"/>
        </w:numPr>
        <w:spacing w:after="140" w:before="0" w:line="270" w:lineRule="auto"/>
      </w:pPr>
      <w:r>
        <w:rPr>
          <w:b w:val="false"/>
          <w:bCs w:val="false"/>
        </w:rPr>
        <w:t xml:space="preserve">a montante do hidrômetro, quando houver medição individualizada.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Em sanitários de uso público, ao menos um ponto de cada tipo de aparelho tem registro exclusivo, para não interditar o ambiente por causa de uma avaria (6.5.12.6).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Medidores de consumo em local de fácil acesso e facilmente removíveis. Se a instalação for futura, o projeto prevê um espaçador de fácil remoção (6.5.12.7).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Água fria e água quente são protegidas uma contra a entrada da outra. </w:t>
      </w:r>
      <w:r>
        <w:rPr>
          <w:b/>
          <w:bCs/>
        </w:rPr>
        <w:t xml:space="preserve">Duchas higiênicas e torneiras com gatilho de ponta</w:t>
      </w:r>
      <w:r>
        <w:rPr>
          <w:b w:val="false"/>
          <w:bCs w:val="false"/>
        </w:rPr>
        <w:t xml:space="preserve"> exigem válvula de retenção, no aparelho ou no ponto de utilização (6.5.12.8).</w:t>
      </w:r>
    </w:p>
    <w:p>
      <w:pPr>
        <w:pStyle w:val="ListParagraph"/>
        <w:numPr>
          <w:ilvl w:val="0"/>
          <w:numId w:val="2"/>
        </w:numPr>
        <w:spacing w:after="140" w:before="0" w:line="270" w:lineRule="auto"/>
      </w:pPr>
      <w:r>
        <w:rPr>
          <w:b w:val="false"/>
          <w:bCs w:val="false"/>
        </w:rPr>
        <w:t xml:space="preserve">Minimizar a transferência de calor da água quente para a água fria (6.5.12.9) e o tempo de chegada da água quente ao ponto mais distante (6.5.12.10).</w:t>
      </w:r>
    </w:p>
    <w:p>
      <w:pPr>
        <w:pStyle w:val="Heading2"/>
        <w:keepNext/>
      </w:pPr>
      <w:r>
        <w:t xml:space="preserve">Tubulações (6.6)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Projetar para minimizar o acúmulo de ar ou vapor. Onde um trecho em forma de sifão for inevitável, o ponto mais alto a jusante recebe meio de eliminação de ar (6.6.2).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Trechos horizontais com apoios que evitem flechas, considerando o tubo cheio de água (6.6.3).</w:t>
      </w:r>
    </w:p>
    <w:p>
      <w:pPr>
        <w:pStyle w:val="ListParagraph"/>
        <w:numPr>
          <w:ilvl w:val="0"/>
          <w:numId w:val="2"/>
        </w:numPr>
        <w:spacing w:after="140" w:before="0" w:line="270" w:lineRule="auto"/>
      </w:pPr>
      <w:r>
        <w:rPr>
          <w:b w:val="false"/>
          <w:bCs w:val="false"/>
        </w:rPr>
        <w:t xml:space="preserve">O retorno de água quente pode ter dispositivo de recirculação, cujo acionamento não pode causar variações de pressão e vazão que provoquem escaldamento (6.6.4). Com dois ou mais ramais no retorno, as vazões são balanceadas hidraulicamente (6.6.5).</w:t>
      </w:r>
    </w:p>
    <w:p>
      <w:pPr>
        <w:pStyle w:val="Heading1"/>
        <w:keepNext/>
      </w:pPr>
      <w:r>
        <w:t xml:space="preserve">9. Vazões, velocidades e pressões</w:t>
      </w:r>
    </w:p>
    <w:p>
      <w:pPr>
        <w:pStyle w:val="Heading2"/>
        <w:keepNext/>
      </w:pPr>
      <w:r>
        <w:t xml:space="preserve">Vazões (6.7)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O projeto explicita as vazões consideradas nos pontos de utilização, inclusive as máximas (6.7.1.1 e 6.7.1.2).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O projeto informa expressamente que usar aparelhos de consumo superior ao previsto é responsabilidade do usuário. A informação vai para o manual entregue ao usuário final (6.7.1.3).</w:t>
      </w:r>
    </w:p>
    <w:p>
      <w:pPr>
        <w:pStyle w:val="ListParagraph"/>
        <w:numPr>
          <w:ilvl w:val="0"/>
          <w:numId w:val="2"/>
        </w:numPr>
        <w:spacing w:after="140" w:before="0" w:line="270" w:lineRule="auto"/>
      </w:pPr>
      <w:r>
        <w:rPr>
          <w:b w:val="false"/>
          <w:bCs w:val="false"/>
        </w:rPr>
        <w:t xml:space="preserve">Abastecimento do reservatório: repor o volume de consumo diário em até </w:t>
      </w:r>
      <w:r>
        <w:rPr>
          <w:b/>
          <w:bCs/>
        </w:rPr>
        <w:t xml:space="preserve">6 h</w:t>
      </w:r>
      <w:r>
        <w:rPr>
          <w:b w:val="false"/>
          <w:bCs w:val="false"/>
        </w:rPr>
        <w:t xml:space="preserve">; em residências unifamiliares, até </w:t>
      </w:r>
      <w:r>
        <w:rPr>
          <w:b/>
          <w:bCs/>
        </w:rPr>
        <w:t xml:space="preserve">3 h</w:t>
      </w:r>
      <w:r>
        <w:rPr>
          <w:b w:val="false"/>
          <w:bCs w:val="false"/>
        </w:rPr>
        <w:t xml:space="preserve"> (6.7.2).</w:t>
      </w:r>
    </w:p>
    <w:p>
      <w:pPr>
        <w:pStyle w:val="Heading2"/>
        <w:keepNext/>
      </w:pPr>
      <w:r>
        <w:t xml:space="preserve">Velocidades (6.8)</w:t>
      </w:r>
    </w:p>
    <w:p>
      <w:pPr>
        <w:spacing w:after="120" w:before="0" w:line="276" w:lineRule="auto"/>
      </w:pPr>
      <w:r>
        <w:rPr>
          <w:b w:val="false"/>
          <w:bCs w:val="false"/>
        </w:rPr>
        <w:t xml:space="preserve">A norma trata a velocidade por critério de desempenho, sem fixar um teto obrigatório. O dimensionamento deve limitar a velocidade para evitar: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ruído acima dos níveis da NBR 10152 (6.8.1);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golpes de aríete prejudiciais aos componentes (6.8.3);</w:t>
      </w:r>
    </w:p>
    <w:p>
      <w:pPr>
        <w:pStyle w:val="ListParagraph"/>
        <w:numPr>
          <w:ilvl w:val="0"/>
          <w:numId w:val="2"/>
        </w:numPr>
        <w:spacing w:after="140" w:before="0" w:line="270" w:lineRule="auto"/>
      </w:pPr>
      <w:r>
        <w:rPr>
          <w:b w:val="false"/>
          <w:bCs w:val="false"/>
        </w:rPr>
        <w:t xml:space="preserve">cavitação, sobretudo em mudanças bruscas de direção e em componentes com restrição de seção, como válvulas redutoras e torneiras de boia (6.8.5).</w:t>
      </w:r>
    </w:p>
    <w:p>
      <w:pPr>
        <w:keepNext/>
        <w:pBdr>
          <w:left w:val="single" w:color="1F4E79" w:sz="24" w:space="8"/>
        </w:pBdr>
        <w:shd w:fill="F3F6FA" w:color="auto" w:val="clear"/>
        <w:spacing w:after="0" w:before="120" w:line="270" w:lineRule="auto"/>
        <w:ind w:left="170" w:right="170"/>
      </w:pPr>
      <w:r>
        <w:rPr>
          <w:b/>
          <w:bCs/>
          <w:color w:val="1F4E79"/>
        </w:rPr>
        <w:t xml:space="preserve">Atenção</w:t>
      </w:r>
    </w:p>
    <w:p>
      <w:pPr>
        <w:pBdr>
          <w:left w:val="single" w:color="1F4E79" w:sz="24" w:space="8"/>
        </w:pBdr>
        <w:shd w:fill="F3F6FA" w:color="auto" w:val="clear"/>
        <w:spacing w:after="200" w:before="0" w:line="270" w:lineRule="auto"/>
        <w:ind w:left="170" w:right="170"/>
      </w:pPr>
      <w:r>
        <w:rPr>
          <w:b w:val="false"/>
          <w:bCs w:val="false"/>
        </w:rPr>
        <w:t xml:space="preserve">O valor de </w:t>
      </w:r>
      <w:r>
        <w:rPr>
          <w:b/>
          <w:bCs/>
        </w:rPr>
        <w:t xml:space="preserve">3 m/s</w:t>
      </w:r>
      <w:r>
        <w:rPr>
          <w:b w:val="false"/>
          <w:bCs w:val="false"/>
        </w:rPr>
        <w:t xml:space="preserve"> aparece apenas em nota: adotá-lo como velocidade média máxima limita os picos de sobrepressão, mas </w:t>
      </w:r>
      <w:r>
        <w:rPr>
          <w:b/>
          <w:bCs/>
        </w:rPr>
        <w:t xml:space="preserve">não evita</w:t>
      </w:r>
      <w:r>
        <w:rPr>
          <w:b w:val="false"/>
          <w:bCs w:val="false"/>
        </w:rPr>
        <w:t xml:space="preserve"> o golpe de aríete (6.8.3). A limitação de velocidade não se aplica a trechos comprovadamente livres de golpe de aríete e com isolação acústica adequada (6.8.4).</w:t>
      </w:r>
    </w:p>
    <w:p>
      <w:pPr>
        <w:pStyle w:val="Heading2"/>
        <w:keepNext/>
      </w:pPr>
      <w:r>
        <w:t xml:space="preserve">Pressões (6.9)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A pressão dinâmica mínima no ponto de utilização é a necessária para garantir a vazão de projeto, e nunca inferior a </w:t>
      </w:r>
      <w:r>
        <w:rPr>
          <w:b/>
          <w:bCs/>
        </w:rPr>
        <w:t xml:space="preserve">10 kPa</w:t>
      </w:r>
      <w:r>
        <w:rPr>
          <w:b w:val="false"/>
          <w:bCs w:val="false"/>
        </w:rPr>
        <w:t xml:space="preserve"> (6.9.1 e 6.9.2).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Ela pode ser obtida com o fabricante ou pelo fator de vazão da peça: Q = K·√P, com Q em L/s e P em kPa (6.9.2).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Em qualquer ponto da rede de distribuição, pressão dinâmica mínima de </w:t>
      </w:r>
      <w:r>
        <w:rPr>
          <w:b/>
          <w:bCs/>
        </w:rPr>
        <w:t xml:space="preserve">5 kPa</w:t>
      </w:r>
      <w:r>
        <w:rPr>
          <w:b w:val="false"/>
          <w:bCs w:val="false"/>
        </w:rPr>
        <w:t xml:space="preserve">. A exceção são os trechos verticais de tomada d'água na saída de reservatórios elevados para os barriletes, em sistemas indiretos (6.9.3).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Pressão </w:t>
      </w:r>
      <w:r>
        <w:rPr>
          <w:b/>
          <w:bCs/>
        </w:rPr>
        <w:t xml:space="preserve">estática</w:t>
      </w:r>
      <w:r>
        <w:rPr>
          <w:b w:val="false"/>
          <w:bCs w:val="false"/>
        </w:rPr>
        <w:t xml:space="preserve"> máxima nos pontos de utilização: </w:t>
      </w:r>
      <w:r>
        <w:rPr>
          <w:b/>
          <w:bCs/>
        </w:rPr>
        <w:t xml:space="preserve">400 kPa</w:t>
      </w:r>
      <w:r>
        <w:rPr>
          <w:b w:val="false"/>
          <w:bCs w:val="false"/>
        </w:rPr>
        <w:t xml:space="preserve"> (6.9.4).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Sobrepressões por transientes hidráulicos são admitidas até </w:t>
      </w:r>
      <w:r>
        <w:rPr>
          <w:b/>
          <w:bCs/>
        </w:rPr>
        <w:t xml:space="preserve">200 kPa</w:t>
      </w:r>
      <w:r>
        <w:rPr>
          <w:b w:val="false"/>
          <w:bCs w:val="false"/>
        </w:rPr>
        <w:t xml:space="preserve"> acima da pressão dinâmica de projeto (6.9.6).</w:t>
      </w:r>
    </w:p>
    <w:p>
      <w:pPr>
        <w:pStyle w:val="ListParagraph"/>
        <w:numPr>
          <w:ilvl w:val="0"/>
          <w:numId w:val="2"/>
        </w:numPr>
        <w:spacing w:after="140" w:before="0" w:line="270" w:lineRule="auto"/>
      </w:pPr>
      <w:r>
        <w:rPr>
          <w:b w:val="false"/>
          <w:bCs w:val="false"/>
        </w:rPr>
        <w:t xml:space="preserve">A montante de misturadores convencionais, as pressões dinâmicas de água fria e quente devem ser próximas, para evitar oscilação de temperatura (6.9.5).</w:t>
      </w:r>
    </w:p>
    <w:p>
      <w:pPr>
        <w:pStyle w:val="Heading2"/>
        <w:keepNext/>
      </w:pPr>
      <w:r>
        <w:t xml:space="preserve">Válvulas e estações redutoras de pressão (6.9.7 a 6.9.15)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Estação que atende várias unidades ou setores: </w:t>
      </w:r>
      <w:r>
        <w:rPr>
          <w:b/>
          <w:bCs/>
        </w:rPr>
        <w:t xml:space="preserve">pelo menos duas válvulas redutoras em paralelo</w:t>
      </w:r>
      <w:r>
        <w:rPr>
          <w:b w:val="false"/>
          <w:bCs w:val="false"/>
        </w:rPr>
        <w:t xml:space="preserve">, uma delas sobressalente (6.9.7).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Válvula isolada, que atende uma única unidade, um setor, um trecho ou um ponto: pode ser uma só e sem by-pass, desde que o projeto exija manter na edificação ao menos uma válvula sobressalente idêntica (6.9.8).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Cada estação abastece </w:t>
      </w:r>
      <w:r>
        <w:rPr>
          <w:b/>
          <w:bCs/>
        </w:rPr>
        <w:t xml:space="preserve">uma única zona de pressão</w:t>
      </w:r>
      <w:r>
        <w:rPr>
          <w:b w:val="false"/>
          <w:bCs w:val="false"/>
        </w:rPr>
        <w:t xml:space="preserve"> (6.9.11).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A seleção respeita o diferencial mínimo, a relação de redução de pressões e a faixa de vazões do equipamento (6.9.9 e 6.9.10).</w:t>
      </w:r>
    </w:p>
    <w:p>
      <w:pPr>
        <w:pStyle w:val="ListParagraph"/>
        <w:numPr>
          <w:ilvl w:val="0"/>
          <w:numId w:val="2"/>
        </w:numPr>
        <w:spacing w:after="140" w:before="0" w:line="270" w:lineRule="auto"/>
      </w:pPr>
      <w:r>
        <w:rPr>
          <w:b w:val="false"/>
          <w:bCs w:val="false"/>
        </w:rPr>
        <w:t xml:space="preserve">A estação deve evitar acúmulo de ar na saída (6.9.12), ter proteção contra sobrepressão a jusante em caso de falha, com alerta (6.9.13), e ficar em área comum, com acesso e drenagem (6.9.15).</w:t>
      </w:r>
    </w:p>
    <w:p>
      <w:pPr>
        <w:pStyle w:val="Heading1"/>
        <w:keepNext/>
      </w:pPr>
      <w:r>
        <w:t xml:space="preserve">10. Água quente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1943100"/>
            <wp:effectExtent t="0" r="0" b="0" l="0"/>
            <wp:docPr id="1" name="e5_temperaturas.png" descr="Esquema 4. Temperaturas de referência da norma (elaboração própria)." title="Esquema 4. Temperaturas de referência da norma (elaboração própri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5B6570"/>
          <w:sz w:val="18"/>
          <w:szCs w:val="18"/>
        </w:rPr>
        <w:t xml:space="preserve">Esquema 4. Temperaturas de referência da norma (elaboração própria).</w:t>
      </w:r>
    </w:p>
    <w:p>
      <w:pPr>
        <w:pStyle w:val="Heading2"/>
        <w:keepNext/>
      </w:pPr>
      <w:r>
        <w:t xml:space="preserve">Limites de temperatura e escaldamento (6.10)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Trechos que possam conduzir água acima de </w:t>
      </w:r>
      <w:r>
        <w:rPr>
          <w:b/>
          <w:bCs/>
        </w:rPr>
        <w:t xml:space="preserve">70 °C</w:t>
      </w:r>
      <w:r>
        <w:rPr>
          <w:b w:val="false"/>
          <w:bCs w:val="false"/>
        </w:rPr>
        <w:t xml:space="preserve"> são identificados, isolados e protegidos (6.10.2).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Em ambientes sanitários com misturadores convencionais, a água na tubulação é limitada a </w:t>
      </w:r>
      <w:r>
        <w:rPr>
          <w:b/>
          <w:bCs/>
        </w:rPr>
        <w:t xml:space="preserve">70 °C</w:t>
      </w:r>
      <w:r>
        <w:rPr>
          <w:b w:val="false"/>
          <w:bCs w:val="false"/>
        </w:rPr>
        <w:t xml:space="preserve">. Acima disso, é obrigatório um meio automático de segurança intrínseca que limite a temperatura nos pontos (6.10.3).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Onde a água para </w:t>
      </w:r>
      <w:r>
        <w:rPr>
          <w:b/>
          <w:bCs/>
        </w:rPr>
        <w:t xml:space="preserve">uso corporal</w:t>
      </w:r>
      <w:r>
        <w:rPr>
          <w:b w:val="false"/>
          <w:bCs w:val="false"/>
        </w:rPr>
        <w:t xml:space="preserve"> puder passar de </w:t>
      </w:r>
      <w:r>
        <w:rPr>
          <w:b/>
          <w:bCs/>
        </w:rPr>
        <w:t xml:space="preserve">45 °C</w:t>
      </w:r>
      <w:r>
        <w:rPr>
          <w:b w:val="false"/>
          <w:bCs w:val="false"/>
        </w:rPr>
        <w:t xml:space="preserve">, usa-se recurso automático de segurança intrínseca para limitar a esse valor (6.10.4.3).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Em hospitais, escolas, jardins de infância e residências de idosos, a temperatura máxima é limitada automaticamente. A nota recomenda 38 °C para duchas higiênicas, jardins de infância e determinadas clínicas e hospitais (6.10.4.4).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A tubulação de água fria que alimenta aquecedor ou misturador </w:t>
      </w:r>
      <w:r>
        <w:rPr>
          <w:b/>
          <w:bCs/>
        </w:rPr>
        <w:t xml:space="preserve">não pode</w:t>
      </w:r>
      <w:r>
        <w:rPr>
          <w:b w:val="false"/>
          <w:bCs w:val="false"/>
        </w:rPr>
        <w:t xml:space="preserve"> alimentar aparelho cuja operação cause transiente de pressão ou escaldamento, como a válvula de descarga (6.10.4.1).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Superfícies expostas do sistema de água quente recebem isolamento térmico contra queimaduras (6.10.5). A água fria é protegida de fontes de calor, inclusive onde cruza ou passa perto de tubos de água quente (6.10.6).</w:t>
      </w:r>
    </w:p>
    <w:p>
      <w:pPr>
        <w:pStyle w:val="ListParagraph"/>
        <w:numPr>
          <w:ilvl w:val="0"/>
          <w:numId w:val="2"/>
        </w:numPr>
        <w:spacing w:after="140" w:before="0" w:line="270" w:lineRule="auto"/>
      </w:pPr>
      <w:r>
        <w:rPr>
          <w:b w:val="false"/>
          <w:bCs w:val="false"/>
        </w:rPr>
        <w:t xml:space="preserve">Onde a temperatura puder passar de </w:t>
      </w:r>
      <w:r>
        <w:rPr>
          <w:b/>
          <w:bCs/>
        </w:rPr>
        <w:t xml:space="preserve">90 °C</w:t>
      </w:r>
      <w:r>
        <w:rPr>
          <w:b w:val="false"/>
          <w:bCs w:val="false"/>
        </w:rPr>
        <w:t xml:space="preserve">, tomam-se precauções contra danos ao sistema e aos usuários. Dispositivos de segurança ficam acessíveis (6.10.7).</w:t>
      </w:r>
    </w:p>
    <w:p>
      <w:pPr>
        <w:pStyle w:val="Heading2"/>
        <w:keepNext/>
      </w:pPr>
      <w:r>
        <w:t xml:space="preserve">Dilatação e isolamento térmico (6.11 e 6.12)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095750" cy="1857375"/>
            <wp:effectExtent t="0" r="0" b="0" l="0"/>
            <wp:docPr id="1" name="e6_braco_flexao.png" descr="Esquema 5. Braço de flexão: o trecho perpendicular absorve a dilatação ΔL do trecho longo (elaboração própria)." title="Esquema 5. Braço de flexão: o trecho perpendicular absorve a dilatação ΔL do trecho longo (elaboração própri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5B6570"/>
          <w:sz w:val="18"/>
          <w:szCs w:val="18"/>
        </w:rPr>
        <w:t xml:space="preserve">Esquema 5. Braço de flexão: o trecho perpendicular absorve a dilatação ΔL do trecho longo (elaboração própria).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O projeto considera dilatação e contração e prevê liras ou juntas de expansão quando necessário. Sem essa possibilidade, usam-se ancoragens, suportes, tubos e conexões que resistam às tensões e à fadiga (6.11.2).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Apoios e abraçadeiras com material resiliente entre o tubo e a fixação (6.11.3).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Mudanças de direção e derivações devem absorver a movimentação de trechos retos longos, pelo próprio traçado (braço de flexão) ou por componente adequado (6.11.4).</w:t>
      </w:r>
    </w:p>
    <w:p>
      <w:pPr>
        <w:pStyle w:val="ListParagraph"/>
        <w:numPr>
          <w:ilvl w:val="0"/>
          <w:numId w:val="2"/>
        </w:numPr>
        <w:spacing w:after="140" w:before="0" w:line="270" w:lineRule="auto"/>
      </w:pPr>
      <w:r>
        <w:rPr>
          <w:b w:val="false"/>
          <w:bCs w:val="false"/>
        </w:rPr>
        <w:t xml:space="preserve">O sistema de </w:t>
      </w:r>
      <w:r>
        <w:rPr>
          <w:b/>
          <w:bCs/>
        </w:rPr>
        <w:t xml:space="preserve">distribuição de água quente tem isolamento térmico em toda a extensão</w:t>
      </w:r>
      <w:r>
        <w:rPr>
          <w:b w:val="false"/>
          <w:bCs w:val="false"/>
        </w:rPr>
        <w:t xml:space="preserve"> (6.12.3). Aquecedores, reservatórios e tubulações são projetados para reduzir perdas, que devem ser estimadas no projeto (6.12.1 e 6.12.2).</w:t>
      </w:r>
    </w:p>
    <w:p>
      <w:pPr>
        <w:pStyle w:val="Heading2"/>
        <w:keepNext/>
      </w:pPr>
      <w:r>
        <w:t xml:space="preserve">Geração e armazenamento (6.13)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O projeto especifica tipo de aquecimento, volume, temperaturas máxima e mínima de operação, fonte de calor e potência (6.13.1.1).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Se a desinfecção térmica usar o próprio sistema, ele deve ser capaz de gerar água acima de 70 °C (6.13.1.4).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O trecho horizontal de alimentação de água fria do reservatório de água quente </w:t>
      </w:r>
      <w:r>
        <w:rPr>
          <w:b/>
          <w:bCs/>
        </w:rPr>
        <w:t xml:space="preserve">não pode ter isolamento térmico</w:t>
      </w:r>
      <w:r>
        <w:rPr>
          <w:b w:val="false"/>
          <w:bCs w:val="false"/>
        </w:rPr>
        <w:t xml:space="preserve"> e deve ser de material resistente à água quente, com volume interno equivalente à máxima expansão térmica prevista (6.13.1.5).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/>
          <w:bCs/>
        </w:rPr>
        <w:t xml:space="preserve">Geração que possa passar de 95 °C:</w:t>
      </w:r>
      <w:r>
        <w:rPr>
          <w:b w:val="false"/>
          <w:bCs w:val="false"/>
        </w:rPr>
        <w:t xml:space="preserve"> cada aquecedor tem controle térmico; tem corte por temperatura com intervenção manual, independente do controle térmico; e, onde necessário, meio de dissipar energia se o controle falhar (6.13.2.1).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/>
          <w:bCs/>
        </w:rPr>
        <w:t xml:space="preserve">Nenhuma válvula</w:t>
      </w:r>
      <w:r>
        <w:rPr>
          <w:b w:val="false"/>
          <w:bCs w:val="false"/>
        </w:rPr>
        <w:t xml:space="preserve"> pode ficar entre o recipiente e a válvula de alívio de pressão e temperatura (6.13.2.3).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A descarga da válvula de alívio tem diâmetro no mínimo igual ao do orifício de saída (6.13.2.6), é feita com separação atmosférica sobre recipiente de recolhimento logo abaixo da válvula (6.13.2.7) e não pode gerar perigo nem danos elétricos, dando aviso perceptível quando atua (6.13.2.8).</w:t>
      </w:r>
    </w:p>
    <w:p>
      <w:pPr>
        <w:pStyle w:val="ListParagraph"/>
        <w:numPr>
          <w:ilvl w:val="0"/>
          <w:numId w:val="2"/>
        </w:numPr>
        <w:spacing w:after="140" w:before="0" w:line="270" w:lineRule="auto"/>
      </w:pPr>
      <w:r>
        <w:rPr>
          <w:b w:val="false"/>
          <w:bCs w:val="false"/>
        </w:rPr>
        <w:t xml:space="preserve">Recipiente com dispositivo de segurança não mecânico (fusível tampão) também precisa de válvula de alívio de temperatura que abra a uma temperatura pelo menos 5 °C inferior à de atuação desse dispositivo (6.13.2.9).</w:t>
      </w:r>
    </w:p>
    <w:p>
      <w:pPr>
        <w:spacing w:after="120" w:before="0" w:line="276" w:lineRule="auto"/>
      </w:pPr>
      <w:r>
        <w:rPr>
          <w:b w:val="false"/>
          <w:bCs w:val="false"/>
        </w:rPr>
        <w:t xml:space="preserve">Condições de instalação de aquecedores de acumulação e reservatórios de água quente (6.13.3.1):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o ramal de água fria não pode permitir o esvaziamento do equipamento, a não ser pelo dreno;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alimentado por gravidade, o equipamento permanece escorvado mesmo com o reservatório de água fria vazio;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a saída de água quente tem expulsão automática de bolhas e admissão automática de ar, sem criar trechos de estagnação e sem registro entre esse recurso e a saída;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alimentado por gravidade, é vedada válvula de retenção no ramal de água fria que não esteja protegido contra expansão térmica;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a alimentação de água fria tem sifão térmico ou meio equivalente;</w:t>
      </w:r>
    </w:p>
    <w:p>
      <w:pPr>
        <w:pStyle w:val="ListParagraph"/>
        <w:numPr>
          <w:ilvl w:val="0"/>
          <w:numId w:val="2"/>
        </w:numPr>
        <w:spacing w:after="140" w:before="0" w:line="270" w:lineRule="auto"/>
      </w:pPr>
      <w:r>
        <w:rPr>
          <w:b/>
          <w:bCs/>
        </w:rPr>
        <w:t xml:space="preserve">é vedado respiro coletivo.</w:t>
      </w:r>
    </w:p>
    <w:p>
      <w:pPr>
        <w:spacing w:after="120" w:before="0" w:line="276" w:lineRule="auto"/>
      </w:pPr>
      <w:r>
        <w:rPr>
          <w:b w:val="false"/>
          <w:bCs w:val="false"/>
        </w:rPr>
        <w:t xml:space="preserve">Além disso, esses equipamentos têm limitador automático de temperatura e válvula de segurança à temperatura (6.13.3.2), dreno (6.13.3.4) e limitador automático de pressão, como válvula de alívio ou de segurança à pressão (6.13.3.5).</w:t>
      </w:r>
    </w:p>
    <w:p>
      <w:pPr>
        <w:pStyle w:val="Heading1"/>
        <w:keepNext/>
      </w:pPr>
      <w:r>
        <w:t xml:space="preserve">11. Dimensionamento da distribuição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As tubulações são dimensionadas para atender às vazões e pressões de projeto. O método de determinação das vazões deve ser </w:t>
      </w:r>
      <w:r>
        <w:rPr>
          <w:b/>
          <w:bCs/>
        </w:rPr>
        <w:t xml:space="preserve">justificado</w:t>
      </w:r>
      <w:r>
        <w:rPr>
          <w:b w:val="false"/>
          <w:bCs w:val="false"/>
        </w:rPr>
        <w:t xml:space="preserve"> no projeto (6.14.1).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A vazão de cálculo em cada trecho vem de método </w:t>
      </w:r>
      <w:r>
        <w:rPr>
          <w:b/>
          <w:bCs/>
        </w:rPr>
        <w:t xml:space="preserve">reconhecido ou devidamente fundamentado, empírico ou probabilístico</w:t>
      </w:r>
      <w:r>
        <w:rPr>
          <w:b w:val="false"/>
          <w:bCs w:val="false"/>
        </w:rPr>
        <w:t xml:space="preserve"> (6.14.2). A norma não impõe um método único.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Os diâmetros decorrem de velocidades, vazões, limitação de ruído, forma de instalação, material e perda de carga disponível. </w:t>
      </w:r>
      <w:r>
        <w:rPr>
          <w:b/>
          <w:bCs/>
        </w:rPr>
        <w:t xml:space="preserve">Não há diâmetro nominal mínimo para sub-ramais</w:t>
      </w:r>
      <w:r>
        <w:rPr>
          <w:b w:val="false"/>
          <w:bCs w:val="false"/>
        </w:rPr>
        <w:t xml:space="preserve"> e engates (6.14.3).</w:t>
      </w:r>
    </w:p>
    <w:p>
      <w:pPr>
        <w:pStyle w:val="ListParagraph"/>
        <w:numPr>
          <w:ilvl w:val="0"/>
          <w:numId w:val="2"/>
        </w:numPr>
        <w:spacing w:after="140" w:before="0" w:line="270" w:lineRule="auto"/>
      </w:pPr>
      <w:r>
        <w:rPr>
          <w:b w:val="false"/>
          <w:bCs w:val="false"/>
        </w:rPr>
        <w:t xml:space="preserve">Perdas de carga calculadas por equações pertinentes. A nota indica a </w:t>
      </w:r>
      <w:r>
        <w:rPr>
          <w:b/>
          <w:bCs/>
        </w:rPr>
        <w:t xml:space="preserve">equação universal</w:t>
      </w:r>
      <w:r>
        <w:rPr>
          <w:b w:val="false"/>
          <w:bCs w:val="false"/>
        </w:rPr>
        <w:t xml:space="preserve"> como a mais adequada (6.14.4).</w:t>
      </w:r>
    </w:p>
    <w:p>
      <w:pPr>
        <w:pStyle w:val="Heading1"/>
        <w:keepNext/>
      </w:pPr>
      <w:r>
        <w:t xml:space="preserve">12. Proteção sanitária e refluxo</w:t>
      </w:r>
    </w:p>
    <w:p>
      <w:pPr>
        <w:spacing w:after="120" w:before="0" w:line="276" w:lineRule="auto"/>
      </w:pPr>
      <w:r>
        <w:rPr>
          <w:b w:val="false"/>
          <w:bCs w:val="false"/>
        </w:rPr>
        <w:t xml:space="preserve">O sistema não pode afetar a qualidade da água por contato com materiais inadequados, refluxo, interligação entre água potável e não potável ou conexão cruzada com esgoto e águas pluviais (6.15).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Tubulação não pode ser projetada enterrada em solo contaminado. Se for inevitável, adotam-se medidas de proteção (6.15.1.1).</w:t>
      </w:r>
    </w:p>
    <w:p>
      <w:pPr>
        <w:pStyle w:val="ListParagraph"/>
        <w:numPr>
          <w:ilvl w:val="0"/>
          <w:numId w:val="2"/>
        </w:numPr>
        <w:spacing w:after="140" w:before="0" w:line="270" w:lineRule="auto"/>
      </w:pPr>
      <w:r>
        <w:rPr>
          <w:b w:val="false"/>
          <w:bCs w:val="false"/>
        </w:rPr>
        <w:t xml:space="preserve">Tubulação não pode ficar alojada em locais que comprometam a água, como caixas de inspeção, tanques sépticos, sumidouros, valas de infiltração e depósitos de lixo (6.15.1.2).</w:t>
      </w:r>
    </w:p>
    <w:p>
      <w:pPr>
        <w:pStyle w:val="Heading2"/>
        <w:keepNext/>
      </w:pPr>
      <w:r>
        <w:t xml:space="preserve">Proteção contra refluxo (6.15.2)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/>
          <w:bCs/>
        </w:rPr>
        <w:t xml:space="preserve">Proteção localizada</w:t>
      </w:r>
      <w:r>
        <w:rPr>
          <w:b w:val="false"/>
          <w:bCs w:val="false"/>
        </w:rPr>
        <w:t xml:space="preserve"> em cada ponto de utilização e de suprimento, com dispositivo o mais próximo possível do ponto (6.15.2.2).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A </w:t>
      </w:r>
      <w:r>
        <w:rPr>
          <w:b/>
          <w:bCs/>
        </w:rPr>
        <w:t xml:space="preserve">separação atmosférica padronizada</w:t>
      </w:r>
      <w:r>
        <w:rPr>
          <w:b w:val="false"/>
          <w:bCs w:val="false"/>
        </w:rPr>
        <w:t xml:space="preserve"> é o recurso mais efetivo. Outros recursos são aceitos se derem resultado satisfatório, como a separação não padronizada e o quebrador de vácuo (6.15.2.3).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/>
          <w:bCs/>
        </w:rPr>
        <w:t xml:space="preserve">Quebrador de vácuo não protege</w:t>
      </w:r>
      <w:r>
        <w:rPr>
          <w:b w:val="false"/>
          <w:bCs w:val="false"/>
        </w:rPr>
        <w:t xml:space="preserve"> onde o refluxo ocorre por vasos comunicantes (6.15.2.3, nota).</w:t>
      </w:r>
    </w:p>
    <w:p>
      <w:pPr>
        <w:pStyle w:val="ListParagraph"/>
        <w:numPr>
          <w:ilvl w:val="0"/>
          <w:numId w:val="2"/>
        </w:numPr>
        <w:spacing w:after="140" w:before="0" w:line="270" w:lineRule="auto"/>
      </w:pPr>
      <w:r>
        <w:rPr>
          <w:b w:val="false"/>
          <w:bCs w:val="false"/>
        </w:rPr>
        <w:t xml:space="preserve">Em edifícios de vários pavimentos alimentados por reservatório superior, além da separação atmosférica, cada coluna de distribuição tem meio de admitir ar no esvaziamento, expulsar ar no enchimento e eliminar bolhas. A solução não pode criar estagnação, e o registro da coluna não pode impedir a atuação desse recurso (6.15.2.4).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953000" cy="2990850"/>
            <wp:effectExtent t="0" r="0" b="0" l="0"/>
            <wp:docPr id="1" name="e3_separacao.png" descr="Esquema 6. Separação atmosférica: o que significam S, L e d (elaboração própria)." title="Esquema 6. Separação atmosférica: o que significam S, L e d (elaboração própri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5B6570"/>
          <w:sz w:val="18"/>
          <w:szCs w:val="18"/>
        </w:rPr>
        <w:t xml:space="preserve">Esquema 6. Separação atmosférica: o que significam S, L e d (elaboração própria).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Diâmetro interno d do tubo (mm)</w:t>
            </w:r>
          </w:p>
        </w:tc>
        <w:tc>
          <w:tcPr>
            <w:tcW w:type="dxa" w:w="48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Separação atmosférica mínima S (mm)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até 14</w:t>
            </w:r>
          </w:p>
        </w:tc>
        <w:tc>
          <w:tcPr>
            <w:tcW w:type="dxa" w:w="48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acima de 14 até 21</w:t>
            </w:r>
          </w:p>
        </w:tc>
        <w:tc>
          <w:tcPr>
            <w:tcW w:type="dxa" w:w="48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acima de 21 até 41</w:t>
            </w:r>
          </w:p>
        </w:tc>
        <w:tc>
          <w:tcPr>
            <w:tcW w:type="dxa" w:w="48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acima de 41</w:t>
            </w:r>
          </w:p>
        </w:tc>
        <w:tc>
          <w:tcPr>
            <w:tcW w:type="dxa" w:w="48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 vezes o diâmetro (2d)</w:t>
            </w:r>
          </w:p>
        </w:tc>
      </w:tr>
    </w:tbl>
    <w:p>
      <w:pPr>
        <w:spacing w:after="160" w:before="0"/>
      </w:pPr>
    </w:p>
    <w:p>
      <w:pPr>
        <w:spacing w:after="120" w:before="0" w:line="276" w:lineRule="auto"/>
      </w:pPr>
      <w:r>
        <w:rPr>
          <w:b w:val="false"/>
          <w:bCs w:val="false"/>
        </w:rPr>
        <w:t xml:space="preserve">Em todos os casos, a distância L entre o ponto de suprimento e qualquer obstáculo ao redor deve ser de pelo menos 3d.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953000" cy="1809750"/>
            <wp:effectExtent t="0" r="0" b="0" l="0"/>
            <wp:docPr id="1" name="e7_refluxo_conjunto.png" descr="Esquema 7. Edificações abastecidas por tubulação comum: cada uma tem seu dispositivo de proteção contra refluxo (elaboração própria, a partir da legenda da figura da norma)." title="Esquema 7. Edificações abastecidas por tubulação comum: cada uma tem seu dispositivo de proteção contra refluxo (elaboração própria, a partir da legenda da figura da norm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5B6570"/>
          <w:sz w:val="18"/>
          <w:szCs w:val="18"/>
        </w:rPr>
        <w:t xml:space="preserve">Esquema 7. Edificações abastecidas por tubulação comum: cada uma tem seu dispositivo de proteção contra refluxo (elaboração própria, a partir da legenda da figura da norma).</w:t>
      </w:r>
    </w:p>
    <w:p>
      <w:pPr>
        <w:pStyle w:val="Heading2"/>
        <w:keepNext/>
      </w:pPr>
      <w:r>
        <w:t xml:space="preserve">Biofilme (6.16)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Minimizar trechos terminais sem renovação frequente de água (trechos mortos) e a extensão de tubos respiro (6.16.1).</w:t>
      </w:r>
    </w:p>
    <w:p>
      <w:pPr>
        <w:pStyle w:val="ListParagraph"/>
        <w:numPr>
          <w:ilvl w:val="0"/>
          <w:numId w:val="2"/>
        </w:numPr>
        <w:spacing w:after="140" w:before="0" w:line="270" w:lineRule="auto"/>
      </w:pPr>
      <w:r>
        <w:rPr>
          <w:b w:val="false"/>
          <w:bCs w:val="false"/>
        </w:rPr>
        <w:t xml:space="preserve">O sistema de água quente deve permitir a desinfecção periódica de todas as partes em contato com a água (6.16.2). A NBR 16824 e o Anexo F trazem os procedimentos.</w:t>
      </w:r>
    </w:p>
    <w:p>
      <w:pPr>
        <w:pStyle w:val="Heading1"/>
        <w:keepNext/>
      </w:pPr>
      <w:r>
        <w:t xml:space="preserve">13. Golpe de aríete, uso racional e instalação das tubulações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/>
          <w:bCs/>
        </w:rPr>
        <w:t xml:space="preserve">Golpe de aríete:</w:t>
      </w:r>
      <w:r>
        <w:rPr>
          <w:b w:val="false"/>
          <w:bCs w:val="false"/>
        </w:rPr>
        <w:t xml:space="preserve"> o fechamento de aparelhos não pode gerar sobrepressão acima de 200 kPa. Quando necessário, prevê-se dispositivo amortecedor próximo ao local onde o transiente é gerado (6.17).</w:t>
      </w:r>
    </w:p>
    <w:p>
      <w:pPr>
        <w:pStyle w:val="ListParagraph"/>
        <w:numPr>
          <w:ilvl w:val="0"/>
          <w:numId w:val="2"/>
        </w:numPr>
        <w:spacing w:after="140" w:before="0" w:line="270" w:lineRule="auto"/>
      </w:pPr>
      <w:r>
        <w:rPr>
          <w:b/>
          <w:bCs/>
        </w:rPr>
        <w:t xml:space="preserve">Uso racional:</w:t>
      </w:r>
      <w:r>
        <w:rPr>
          <w:b w:val="false"/>
          <w:bCs w:val="false"/>
        </w:rPr>
        <w:t xml:space="preserve"> o projeto pode buscar eficiência no uso de água e energia (Anexo D). Se a edificação adotar princípios de conservação de água, deve atender também à NBR 16792 (6.18).</w:t>
      </w:r>
    </w:p>
    <w:p>
      <w:pPr>
        <w:pStyle w:val="Heading2"/>
        <w:keepNext/>
      </w:pPr>
      <w:r>
        <w:t xml:space="preserve">Acessibilidade e relação com a construção (6.19)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Não pode haver interferência física com a estrutura. A tubulação </w:t>
      </w:r>
      <w:r>
        <w:rPr>
          <w:b/>
          <w:bCs/>
        </w:rPr>
        <w:t xml:space="preserve">não pode ser embutida nem solidarizada longitudinalmente</w:t>
      </w:r>
      <w:r>
        <w:rPr>
          <w:b w:val="false"/>
          <w:bCs w:val="false"/>
        </w:rPr>
        <w:t xml:space="preserve"> a elementos estruturais (6.19.1.1 e 6.19.1.2).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Na travessia de elemento estrutural no sentido da espessura, prevê-se abertura dimensionada. A vedação do interstício deve permitir a movimentação livre do tubo (6.19.1.3).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Em alvenaria estrutural, a tubulação fica em duto ou elemento projetado para isso e considerado no projeto estrutural (6.19.1.4).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Em paredes e pisos não estruturais, considerar a dificuldade de manutenção. A nota destaca as vantagens de soluções acessíveis, como shafts com cobertura removível, sancas, rodapés próprios e carenagens (6.19.2.1).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Tubulação aparente: protegida contra impactos e com suportes que não a prejudiquem (6.19.3).</w:t>
      </w:r>
    </w:p>
    <w:p>
      <w:pPr>
        <w:pStyle w:val="ListParagraph"/>
        <w:numPr>
          <w:ilvl w:val="0"/>
          <w:numId w:val="2"/>
        </w:numPr>
        <w:spacing w:after="140" w:before="0" w:line="270" w:lineRule="auto"/>
      </w:pPr>
      <w:r>
        <w:rPr>
          <w:b w:val="false"/>
          <w:bCs w:val="false"/>
        </w:rPr>
        <w:t xml:space="preserve">Tubulação enterrada: metálica protegida contra corrosão externa; resistente a cargas de superfície e a recalques; afastada de fundações, sem interceptar o bulbo de tensões de fundação direta; registros enterrados com caixa de proteção ou canaleta (6.19.4).</w:t>
      </w:r>
    </w:p>
    <w:p>
      <w:pPr>
        <w:pStyle w:val="Heading1"/>
        <w:keepNext/>
      </w:pPr>
      <w:r>
        <w:t xml:space="preserve">14. Execução e ensaios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Execução conforme o projeto. Alterações durante a obra são </w:t>
      </w:r>
      <w:r>
        <w:rPr>
          <w:b/>
          <w:bCs/>
        </w:rPr>
        <w:t xml:space="preserve">previamente aprovadas</w:t>
      </w:r>
      <w:r>
        <w:rPr>
          <w:b w:val="false"/>
          <w:bCs w:val="false"/>
        </w:rPr>
        <w:t xml:space="preserve"> (7.1.1 e 7.1.2).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A execução ocorre sob </w:t>
      </w:r>
      <w:r>
        <w:rPr>
          <w:b/>
          <w:bCs/>
        </w:rPr>
        <w:t xml:space="preserve">supervisão de profissional habilitado</w:t>
      </w:r>
      <w:r>
        <w:rPr>
          <w:b w:val="false"/>
          <w:bCs w:val="false"/>
        </w:rPr>
        <w:t xml:space="preserve">. A verificação de conformidade é registrada e rastreável, conforme a NBR 15932 (7.1.3 e 7.1.4).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Materiais e componentes passam por inspeção visual antes da instalação, com registro (7.2.1).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Ferramentas de acoplamento, como rosqueadeiras, termofusores e alicates crimpadores, devem estar calibradas e conservadas (7.2.3.3).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Trechos visíveis recebem pintura de identificação conforme a NBR 6493 (7.4.3). Aberturas de verificação de tubulações embutidas ou recobertas identificam cada tubulação (7.4.2).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As tubulações passam por ensaio de suportação conforme a NBR 15575-6 (7.5).</w:t>
      </w:r>
    </w:p>
    <w:p>
      <w:pPr>
        <w:pStyle w:val="ListParagraph"/>
        <w:numPr>
          <w:ilvl w:val="0"/>
          <w:numId w:val="2"/>
        </w:numPr>
        <w:spacing w:after="140" w:before="0" w:line="270" w:lineRule="auto"/>
      </w:pPr>
      <w:r>
        <w:rPr>
          <w:b w:val="false"/>
          <w:bCs w:val="false"/>
        </w:rPr>
        <w:t xml:space="preserve">Ao final, elaboram-se os desenhos conforme construído (as built) (7.6).</w:t>
      </w:r>
    </w:p>
    <w:p>
      <w:pPr>
        <w:pStyle w:val="Heading2"/>
        <w:keepNext/>
      </w:pPr>
      <w:r>
        <w:t xml:space="preserve">Ensaios de estanqueidade (7.3)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38"/>
        <w:gridCol w:w="3300"/>
      </w:tblGrid>
      <w:tr>
        <w:trPr>
          <w:cantSplit/>
          <w:tblHeader/>
        </w:trPr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Ensaio</w:t>
            </w:r>
          </w:p>
        </w:tc>
        <w:tc>
          <w:tcPr>
            <w:tcW w:type="dxa" w:w="4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Condição</w:t>
            </w:r>
          </w:p>
        </w:tc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Critério de aprovação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Tubulações (7.3.1)</w:t>
            </w:r>
          </w:p>
        </w:tc>
        <w:tc>
          <w:tcPr>
            <w:tcW w:type="dxa" w:w="4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 seção submetida a 600 kPa ou a 1,5 vez a máxima pressão de trabalho, o que for menor. Água quente: água a no mínimo 80 °C, antes do isolamento ou do recobrimento.</w:t>
            </w:r>
          </w:p>
        </w:tc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Sem vazamento nem queda de pressão manométrica por no mínimo 1 h após a estabilização.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Peças de utilização (7.3.2)</w:t>
            </w:r>
          </w:p>
        </w:tc>
        <w:tc>
          <w:tcPr>
            <w:tcW w:type="dxa" w:w="4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Pressão estática prevista, com as peças sendo manobradas.</w:t>
            </w:r>
          </w:p>
        </w:tc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Sem vazamento nem queda de pressão por no mínimo 1 h.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Reservatório (7.3.3)</w:t>
            </w:r>
          </w:p>
        </w:tc>
        <w:tc>
          <w:tcPr>
            <w:tcW w:type="dxa" w:w="4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Cheio até o nível máximo permitido pelo controle de nível.</w:t>
            </w:r>
          </w:p>
        </w:tc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Sem vazamento nem extravasamento por no mínimo 72 h.</w:t>
            </w:r>
          </w:p>
        </w:tc>
      </w:tr>
    </w:tbl>
    <w:p>
      <w:pPr>
        <w:spacing w:after="160" w:before="0"/>
      </w:pPr>
    </w:p>
    <w:p>
      <w:pPr>
        <w:spacing w:after="120" w:before="0" w:line="276" w:lineRule="auto"/>
      </w:pPr>
      <w:r>
        <w:rPr>
          <w:b w:val="false"/>
          <w:bCs w:val="false"/>
        </w:rPr>
        <w:t xml:space="preserve">Em caso de reprovação, o ensaio é refeito depois das correções. O ensaio de proteção contra refluxo está no Anexo A.</w:t>
      </w:r>
    </w:p>
    <w:p>
      <w:pPr>
        <w:pStyle w:val="Heading1"/>
        <w:keepNext/>
      </w:pPr>
      <w:r>
        <w:t xml:space="preserve">15. Operação, uso e manutenção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Os procedimentos de manutenção se baseiam no projeto, no as built, nos registros de execução e nas especificações dos fabricantes, e seguem a NBR 5674 (8.1.1 e 8.1.2).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Reformas durante a operação são registradas e aprovadas por profissional habilitado, além de atender à NBR 16280 (8.1.8).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Válvulas redutoras são verificadas por leitura de manômetros calibrados a montante e a jusante. Em estação redutora, a válvula com defeito é isolada e a sobressalente segue em operação (8.2.2). </w:t>
      </w:r>
      <w:r>
        <w:rPr>
          <w:b/>
          <w:bCs/>
        </w:rPr>
        <w:t xml:space="preserve">É vedado operar sem a válvula redutora</w:t>
      </w:r>
      <w:r>
        <w:rPr>
          <w:b w:val="false"/>
          <w:bCs w:val="false"/>
        </w:rPr>
        <w:t xml:space="preserve"> (8.2.3).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A potabilidade é monitorada periodicamente, com atenção especial aos reservatórios (8.3.1). Constatada contaminação, elimina-se a causa e restauram-se as condições do sistema (8.3.3).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 w:val="false"/>
          <w:bCs w:val="false"/>
        </w:rPr>
        <w:t xml:space="preserve">O consumo é controlado por leituras periódicas dos medidores (8.4.2). Registros de fechamento são operados periodicamente para confirmar o bloqueio (8.4.5).</w:t>
      </w:r>
    </w:p>
    <w:p>
      <w:pPr>
        <w:pStyle w:val="ListParagraph"/>
        <w:numPr>
          <w:ilvl w:val="0"/>
          <w:numId w:val="2"/>
        </w:numPr>
        <w:spacing w:after="140" w:before="0" w:line="270" w:lineRule="auto"/>
      </w:pPr>
      <w:r>
        <w:rPr>
          <w:b w:val="false"/>
          <w:bCs w:val="false"/>
        </w:rPr>
        <w:t xml:space="preserve">Se houver água para uso corporal acima dos limites de temperatura, o ponto é bloqueado ou limitado até a correção (8.6.4).</w:t>
      </w:r>
    </w:p>
    <w:p>
      <w:pPr>
        <w:pStyle w:val="Heading2"/>
        <w:keepNext/>
      </w:pPr>
      <w:r>
        <w:t xml:space="preserve">Periodicidades máximas de manutenção (Tabela 2 da norma, reorganizada)</w:t>
      </w:r>
    </w:p>
    <w:p>
      <w:pPr>
        <w:spacing w:after="120" w:before="0" w:line="276" w:lineRule="auto"/>
      </w:pPr>
      <w:r>
        <w:rPr>
          <w:b w:val="false"/>
          <w:bCs w:val="false"/>
        </w:rPr>
        <w:t xml:space="preserve">A regra geral é verificação </w:t>
      </w:r>
      <w:r>
        <w:rPr>
          <w:b/>
          <w:bCs/>
        </w:rPr>
        <w:t xml:space="preserve">semestral</w:t>
      </w:r>
      <w:r>
        <w:rPr>
          <w:b w:val="false"/>
          <w:bCs w:val="false"/>
        </w:rPr>
        <w:t xml:space="preserve">. São </w:t>
      </w:r>
      <w:r>
        <w:rPr>
          <w:b/>
          <w:bCs/>
        </w:rPr>
        <w:t xml:space="preserve">anuais</w:t>
      </w:r>
      <w:r>
        <w:rPr>
          <w:b w:val="false"/>
          <w:bCs w:val="false"/>
        </w:rPr>
        <w:t xml:space="preserve"> a verificação dos dispositivos de proteção contra refluxo e todas as atividades do grupo de temperatura. Os prazos são máximos e podem ser reduzidos conforme as condições de campo (8.1.4).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438"/>
        <w:gridCol w:w="3500"/>
      </w:tblGrid>
      <w:tr>
        <w:trPr>
          <w:cantSplit/>
          <w:tblHeader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Profissional</w:t>
            </w:r>
          </w:p>
        </w:tc>
        <w:tc>
          <w:tcPr>
            <w:tcW w:type="dxa" w:w="4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Semestral</w:t>
            </w:r>
          </w:p>
        </w:tc>
        <w:tc>
          <w:tcPr>
            <w:tcW w:type="dxa" w:w="3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Anual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Habilitado</w:t>
            </w:r>
          </w:p>
        </w:tc>
        <w:tc>
          <w:tcPr>
            <w:tcW w:type="dxa" w:w="4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Válvulas de alívio e válvulas de segurança à pressão</w:t>
            </w:r>
          </w:p>
        </w:tc>
        <w:tc>
          <w:tcPr>
            <w:tcW w:type="dxa" w:w="3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(nenhuma atividade)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Qualificado</w:t>
            </w:r>
          </w:p>
        </w:tc>
        <w:tc>
          <w:tcPr>
            <w:tcW w:type="dxa" w:w="4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Válvulas redutoras de pressão; vasos de expansão térmica; bombas e pressurizadores; capacidade filtrante de filtros</w:t>
            </w:r>
          </w:p>
        </w:tc>
        <w:tc>
          <w:tcPr>
            <w:tcW w:type="dxa" w:w="3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Dispositivos de proteção contra refluxo; válvulas termostáticas; dispositivos limitadores de temperatura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Capacitado</w:t>
            </w:r>
          </w:p>
        </w:tc>
        <w:tc>
          <w:tcPr>
            <w:tcW w:type="dxa" w:w="4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Vasos e tanques de pressão; limpeza de reservatórios e da distribuição; simultaneidade das válvulas em estações redutoras; deterioração e oxidação; estanqueidade de reservatório, distribuição, registros e peças de utilização; funcionamento das peças; espaços de tubulações; limpeza de crivos e arejadores</w:t>
            </w:r>
          </w:p>
        </w:tc>
        <w:tc>
          <w:tcPr>
            <w:tcW w:type="dxa" w:w="3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Liras e juntas de expansão; temperatura das fontes de aquecimento; integridade do isolante térmico</w:t>
            </w:r>
          </w:p>
        </w:tc>
      </w:tr>
    </w:tbl>
    <w:p>
      <w:pPr>
        <w:spacing w:after="160" w:before="0"/>
      </w:pPr>
    </w:p>
    <w:p>
      <w:pPr>
        <w:pStyle w:val="Heading1"/>
        <w:keepNext/>
      </w:pPr>
      <w:r>
        <w:t xml:space="preserve">16. Anexos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7238"/>
      </w:tblGrid>
      <w:tr>
        <w:trPr>
          <w:cantSplit/>
          <w:tblHeader/>
        </w:trPr>
        <w:tc>
          <w:tcPr>
            <w:tcW w:type="dxa" w:w="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Anexo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Caráter</w:t>
            </w:r>
          </w:p>
        </w:tc>
        <w:tc>
          <w:tcPr>
            <w:tcW w:type="dxa" w:w="7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Conteúdo em resumo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Normativo</w:t>
            </w:r>
          </w:p>
        </w:tc>
        <w:tc>
          <w:tcPr>
            <w:tcW w:type="dxa" w:w="7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Ensaio de proteção contra refluxo. Separação atmosférica: com o reservatório no nível máximo, simula-se a falha da boia e mede-se a separação, que deve atender aos mínimos. Válvula de retenção: com o sistema pressurizado, fecha-se o registro a montante e abre-se um dreno; é estanque se não houver fluxo após 1 h.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Normativo</w:t>
            </w:r>
          </w:p>
        </w:tc>
        <w:tc>
          <w:tcPr>
            <w:tcW w:type="dxa" w:w="7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Corrosão e degradação. Componentes com ferro ficam isolados dos componentes com cobre (par galvânico). Plásticos sem aditivo são protegidos de radiação ultravioleta e calor; os suscetíveis à fadiga não podem sofrer golpes de aríete.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Informativo</w:t>
            </w:r>
          </w:p>
        </w:tc>
        <w:tc>
          <w:tcPr>
            <w:tcW w:type="dxa" w:w="7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Ruídos e vibrações. Apoios resilientes, dutos vedados, isoladores de vibração. Alimentação afogada do reservatório para evitar ruído, desde que haja quebrador de vácuo ou outra proteção contra refluxo.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Informativo</w:t>
            </w:r>
          </w:p>
        </w:tc>
        <w:tc>
          <w:tcPr>
            <w:tcW w:type="dxa" w:w="7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Eficiência energética. Aquecedores nível A no PBE, menor volume armazenado, menor percurso de distribuição. Em sistema sem recirculação, isolar a tubulação de água quente com mais de 1,5 m a jusante do aquecedor.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Informativo</w:t>
            </w:r>
          </w:p>
        </w:tc>
        <w:tc>
          <w:tcPr>
            <w:tcW w:type="dxa" w:w="7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Critérios para avaliar novos materiais, componentes e tecnologias.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Informativo</w:t>
            </w:r>
          </w:p>
        </w:tc>
        <w:tc>
          <w:tcPr>
            <w:tcW w:type="dxa" w:w="7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Limpeza e desinfecção. Limpeza do reservatório sem sabão ou detergente, com solução de cloro livre a 1,0 mg/L aplicada três vezes, em intervalos de 30 min. Desinfecção química: 20 mg/L, repouso de 2 h; depois, repouso de 12 h e escoamento de 4 min por ponto. Desinfecção térmica: 70 °C, por 30 min em cada peça. A água não deve ser usada durante os procedimentos e os ocupantes são avisados antes.</w:t>
            </w:r>
          </w:p>
        </w:tc>
      </w:tr>
    </w:tbl>
    <w:p>
      <w:pPr>
        <w:spacing w:after="160" w:before="0"/>
      </w:pPr>
    </w:p>
    <w:p>
      <w:pPr>
        <w:pStyle w:val="Heading1"/>
        <w:keepNext/>
      </w:pPr>
      <w:r>
        <w:t xml:space="preserve">17. Onde a banca costuma inverter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/>
          <w:bCs/>
        </w:rPr>
        <w:t xml:space="preserve">5 kPa e 10 kPa.</w:t>
      </w:r>
      <w:r>
        <w:rPr>
          <w:b w:val="false"/>
          <w:bCs w:val="false"/>
        </w:rPr>
        <w:t xml:space="preserve"> O primeiro vale para qualquer ponto da rede; o segundo, para o ponto de utilização. Os dois são pressões dinâmicas.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/>
          <w:bCs/>
        </w:rPr>
        <w:t xml:space="preserve">400 kPa é pressão estática.</w:t>
      </w:r>
      <w:r>
        <w:rPr>
          <w:b w:val="false"/>
          <w:bCs w:val="false"/>
        </w:rPr>
        <w:t xml:space="preserve"> Os 200 kPa são sobrepressão transitória acima da pressão dinâmica de projeto.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/>
          <w:bCs/>
        </w:rPr>
        <w:t xml:space="preserve">Ensaio de estanqueidade:</w:t>
      </w:r>
      <w:r>
        <w:rPr>
          <w:b w:val="false"/>
          <w:bCs w:val="false"/>
        </w:rPr>
        <w:t xml:space="preserve"> 600 kPa ou 1,5 vez a pressão de trabalho, o que for </w:t>
      </w:r>
      <w:r>
        <w:rPr>
          <w:b/>
          <w:bCs/>
        </w:rPr>
        <w:t xml:space="preserve">menor</w:t>
      </w:r>
      <w:r>
        <w:rPr>
          <w:b w:val="false"/>
          <w:bCs w:val="false"/>
        </w:rPr>
        <w:t xml:space="preserve">. Tubulações e peças: 1 h. Reservatório: 72 h.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/>
          <w:bCs/>
        </w:rPr>
        <w:t xml:space="preserve">3 m/s</w:t>
      </w:r>
      <w:r>
        <w:rPr>
          <w:b w:val="false"/>
          <w:bCs w:val="false"/>
        </w:rPr>
        <w:t xml:space="preserve"> não é requisito e não evita golpe de aríete.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/>
          <w:bCs/>
        </w:rPr>
        <w:t xml:space="preserve">24 h</w:t>
      </w:r>
      <w:r>
        <w:rPr>
          <w:b w:val="false"/>
          <w:bCs w:val="false"/>
        </w:rPr>
        <w:t xml:space="preserve"> é o mínimo obrigatório de reserva; </w:t>
      </w:r>
      <w:r>
        <w:rPr>
          <w:b/>
          <w:bCs/>
        </w:rPr>
        <w:t xml:space="preserve">3 dias</w:t>
      </w:r>
      <w:r>
        <w:rPr>
          <w:b w:val="false"/>
          <w:bCs w:val="false"/>
        </w:rPr>
        <w:t xml:space="preserve"> é recomendação de máximo, em nota.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/>
          <w:bCs/>
        </w:rPr>
        <w:t xml:space="preserve">6 h</w:t>
      </w:r>
      <w:r>
        <w:rPr>
          <w:b w:val="false"/>
          <w:bCs w:val="false"/>
        </w:rPr>
        <w:t xml:space="preserve"> para repor o reservatório; </w:t>
      </w:r>
      <w:r>
        <w:rPr>
          <w:b/>
          <w:bCs/>
        </w:rPr>
        <w:t xml:space="preserve">3 h</w:t>
      </w:r>
      <w:r>
        <w:rPr>
          <w:b w:val="false"/>
          <w:bCs w:val="false"/>
        </w:rPr>
        <w:t xml:space="preserve"> em residência unifamiliar.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/>
          <w:bCs/>
        </w:rPr>
        <w:t xml:space="preserve">Compartimentos:</w:t>
      </w:r>
      <w:r>
        <w:rPr>
          <w:b w:val="false"/>
          <w:bCs w:val="false"/>
        </w:rPr>
        <w:t xml:space="preserve"> reservatório elevado tem dois ou mais, exceto em residência unifamiliar isolada.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/>
          <w:bCs/>
        </w:rPr>
        <w:t xml:space="preserve">Válvulas redutoras:</w:t>
      </w:r>
      <w:r>
        <w:rPr>
          <w:b w:val="false"/>
          <w:bCs w:val="false"/>
        </w:rPr>
        <w:t xml:space="preserve"> em paralelo, não em série. Válvula isolada pode ser única, com sobressalente guardada.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/>
          <w:bCs/>
        </w:rPr>
        <w:t xml:space="preserve">45 °C</w:t>
      </w:r>
      <w:r>
        <w:rPr>
          <w:b w:val="false"/>
          <w:bCs w:val="false"/>
        </w:rPr>
        <w:t xml:space="preserve"> para uso corporal; </w:t>
      </w:r>
      <w:r>
        <w:rPr>
          <w:b/>
          <w:bCs/>
        </w:rPr>
        <w:t xml:space="preserve">70 °C</w:t>
      </w:r>
      <w:r>
        <w:rPr>
          <w:b w:val="false"/>
          <w:bCs w:val="false"/>
        </w:rPr>
        <w:t xml:space="preserve"> em ambiente sanitário com misturador convencional; </w:t>
      </w:r>
      <w:r>
        <w:rPr>
          <w:b/>
          <w:bCs/>
        </w:rPr>
        <w:t xml:space="preserve">38 °C</w:t>
      </w:r>
      <w:r>
        <w:rPr>
          <w:b w:val="false"/>
          <w:bCs w:val="false"/>
        </w:rPr>
        <w:t xml:space="preserve"> é recomendação em nota.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/>
          <w:bCs/>
        </w:rPr>
        <w:t xml:space="preserve">Isolamento térmico:</w:t>
      </w:r>
      <w:r>
        <w:rPr>
          <w:b w:val="false"/>
          <w:bCs w:val="false"/>
        </w:rPr>
        <w:t xml:space="preserve"> toda a distribuição de água quente, no corpo da norma. O critério de 1,5 m está em anexo informativo.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/>
          <w:bCs/>
        </w:rPr>
        <w:t xml:space="preserve">Anexos normativos:</w:t>
      </w:r>
      <w:r>
        <w:rPr>
          <w:b w:val="false"/>
          <w:bCs w:val="false"/>
        </w:rPr>
        <w:t xml:space="preserve"> apenas A e B. Os anexos C, D, E e F são informativos.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/>
          <w:bCs/>
        </w:rPr>
        <w:t xml:space="preserve">Separação atmosférica</w:t>
      </w:r>
      <w:r>
        <w:rPr>
          <w:b w:val="false"/>
          <w:bCs w:val="false"/>
        </w:rPr>
        <w:t xml:space="preserve"> é o recurso mais efetivo contra refluxo. Quebrador de vácuo não resolve o refluxo por vasos comunicantes.</w:t>
      </w:r>
    </w:p>
    <w:p>
      <w:pPr>
        <w:pStyle w:val="ListParagraph"/>
        <w:numPr>
          <w:ilvl w:val="0"/>
          <w:numId w:val="2"/>
        </w:numPr>
        <w:spacing w:after="60" w:before="0" w:line="270" w:lineRule="auto"/>
      </w:pPr>
      <w:r>
        <w:rPr>
          <w:b/>
          <w:bCs/>
        </w:rPr>
        <w:t xml:space="preserve">Extravasão, limpeza e aviso</w:t>
      </w:r>
      <w:r>
        <w:rPr>
          <w:b w:val="false"/>
          <w:bCs w:val="false"/>
        </w:rPr>
        <w:t xml:space="preserve"> não podem ser ligados diretamente ao esgoto nem às águas pluviais.</w:t>
      </w:r>
    </w:p>
    <w:p>
      <w:pPr>
        <w:pStyle w:val="ListParagraph"/>
        <w:numPr>
          <w:ilvl w:val="0"/>
          <w:numId w:val="2"/>
        </w:numPr>
        <w:spacing w:after="140" w:before="0" w:line="270" w:lineRule="auto"/>
      </w:pPr>
      <w:r>
        <w:rPr>
          <w:b/>
          <w:bCs/>
        </w:rPr>
        <w:t xml:space="preserve">Método de cálculo:</w:t>
      </w:r>
      <w:r>
        <w:rPr>
          <w:b w:val="false"/>
          <w:bCs w:val="false"/>
        </w:rPr>
        <w:t xml:space="preserve"> a edição de 2020 não impõe método nem tabela de pesos; exige método reconhecido ou fundamentado, justificado no projeto. Desconfie de questões baseadas em material anterior a 2020.</w:t>
      </w:r>
    </w:p>
    <w:p>
      <w:pPr>
        <w:pStyle w:val="Heading1"/>
        <w:pageBreakBefore/>
      </w:pPr>
      <w:r>
        <w:t xml:space="preserve">18. Questões do caderno comentadas (117 a 163)</w:t>
      </w:r>
    </w:p>
    <w:p>
      <w:pPr>
        <w:spacing w:after="120" w:before="0" w:line="276" w:lineRule="auto"/>
      </w:pPr>
      <w:r>
        <w:rPr>
          <w:b w:val="false"/>
          <w:bCs w:val="false"/>
        </w:rPr>
        <w:t xml:space="preserve">Comentários às questões </w:t>
      </w:r>
      <w:r>
        <w:rPr>
          <w:b/>
          <w:bCs/>
        </w:rPr>
        <w:t xml:space="preserve">117 a 158 (água fria)</w:t>
      </w:r>
      <w:r>
        <w:rPr>
          <w:b w:val="false"/>
          <w:bCs w:val="false"/>
        </w:rPr>
        <w:t xml:space="preserve"> e </w:t>
      </w:r>
      <w:r>
        <w:rPr>
          <w:b/>
          <w:bCs/>
        </w:rPr>
        <w:t xml:space="preserve">159 a 163 (água quente)</w:t>
      </w:r>
      <w:r>
        <w:rPr>
          <w:b w:val="false"/>
          <w:bCs w:val="false"/>
        </w:rPr>
        <w:t xml:space="preserve"> do caderno “Engª Civil, Edificações, Instalações”, todas do Cebraspe. O enunciado aparece aqui </w:t>
      </w:r>
      <w:r>
        <w:rPr>
          <w:b/>
          <w:bCs/>
        </w:rPr>
        <w:t xml:space="preserve">resumido</w:t>
      </w:r>
      <w:r>
        <w:rPr>
          <w:b w:val="false"/>
          <w:bCs w:val="false"/>
        </w:rPr>
        <w:t xml:space="preserve">; o texto integral está no caderno, na questão de mesmo número. O melhor uso é resolver no caderno e vir aqui conferir. Os gabaritos são os oficiais indicados no caderno.</w:t>
      </w:r>
    </w:p>
    <w:p>
      <w:pPr>
        <w:spacing w:after="120" w:before="0" w:line="276" w:lineRule="auto"/>
      </w:pPr>
      <w:r>
        <w:rPr>
          <w:b w:val="false"/>
          <w:bCs w:val="false"/>
        </w:rPr>
        <w:t xml:space="preserve">Cada questão recebe uma classificação, que mostra quanto do gabarito se sustenta no texto atual da norma: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38"/>
        <w:gridCol w:w="2800"/>
      </w:tblGrid>
      <w:tr>
        <w:trPr>
          <w:cantSplit/>
          <w:tblHeader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Classificação</w:t>
            </w:r>
          </w:p>
        </w:tc>
        <w:tc>
          <w:tcPr>
            <w:tcW w:type="dxa" w:w="4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O que significa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Questões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Norma de 2020 confirma</w:t>
            </w:r>
          </w:p>
        </w:tc>
        <w:tc>
          <w:tcPr>
            <w:tcW w:type="dxa" w:w="4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 texto da NBR 5626:2020 sustenta o gabarito.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118, 119, 120, 123, 127, 131, 139, 146, 147, 149, 162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Edição anterior: atenção</w:t>
            </w:r>
          </w:p>
        </w:tc>
        <w:tc>
          <w:tcPr>
            <w:tcW w:type="dxa" w:w="4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 gabarito se apoia em critério de edição anterior (pesos, limites numéricos, materiais). Leia o comentário antes de levar a regra para a prova.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117, 125, 132, 136, 137, 150, 154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Doutrina e prática</w:t>
            </w:r>
          </w:p>
        </w:tc>
        <w:tc>
          <w:tcPr>
            <w:tcW w:type="dxa" w:w="4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Assunto de hidráulica, materiais ou prática de projeto que não está no texto da norma.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 demais</w:t>
            </w:r>
          </w:p>
        </w:tc>
      </w:tr>
    </w:tbl>
    <w:p>
      <w:pPr>
        <w:spacing w:after="120" w:before="0"/>
      </w:pPr>
    </w:p>
    <w:p>
      <w:pPr>
        <w:pStyle w:val="Heading2"/>
        <w:keepNext/>
      </w:pPr>
      <w:r>
        <w:t xml:space="preserve">Água fria (117 a 158)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117</w:t>
      </w:r>
      <w:r>
        <w:rPr>
          <w:color w:val="5B6570"/>
        </w:rPr>
        <w:t xml:space="preserve">   TELEBRAS, 2026   </w:t>
      </w:r>
      <w:r>
        <w:t xml:space="preserve">Gabarito oficial: </w:t>
      </w:r>
      <w:r>
        <w:rPr>
          <w:b/>
          <w:bCs/>
        </w:rPr>
        <w:t xml:space="preserve">Certo</w:t>
      </w:r>
      <w:r>
        <w:rPr>
          <w:b/>
          <w:bCs/>
          <w:color w:val="B45309"/>
          <w:sz w:val="18"/>
          <w:szCs w:val="18"/>
        </w:rPr>
        <w:t xml:space="preserve">	Edição anterior: atenção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A vazão máxima provável de um trecho pode ser obtida pela soma ponderada dos aparelhos ligados a ele, com fatores de simultaneidade definidos em norma.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É a lógica do método dos pesos (consumo máximo provável): somam-se os pesos das peças e aplica-se Q = 0,3·√ΣP, em L/s. Os pesos constavam da edição de 1998. A edição de 2020 não traz tabela de pesos: pede método reconhecido ou fundamentado, empírico ou probabilístico, justificado no projeto (6.14.1 e 6.14.2). Mesmo assim, o item foi dado como certo em 2026, sinal de que a banca continua aceitando o método dos pesos como referência.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118</w:t>
      </w:r>
      <w:r>
        <w:rPr>
          <w:color w:val="5B6570"/>
        </w:rPr>
        <w:t xml:space="preserve">   ARSAL, 2026   </w:t>
      </w:r>
      <w:r>
        <w:t xml:space="preserve">Gabarito oficial: </w:t>
      </w:r>
      <w:r>
        <w:rPr>
          <w:b/>
          <w:bCs/>
        </w:rPr>
        <w:t xml:space="preserve">Certo</w:t>
      </w:r>
      <w:r>
        <w:rPr>
          <w:b/>
          <w:bCs/>
          <w:color w:val="2E7D5B"/>
          <w:sz w:val="18"/>
          <w:szCs w:val="18"/>
        </w:rPr>
        <w:t xml:space="preserve">	Norma de 2020 confirma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A pressão estática máxima nos pontos de utilização tem limite em norma, e o projetista deve adotar redutores de pressão ou outra solução quando a geometria do edifício gerar pressões maiores.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O limite é de 400 kPa (40 mca) de pressão estática nos pontos de utilização (6.9.4). Em edifícios altos, a saída usual é dividir a distribuição em zonas de pressão, com válvulas ou estações redutoras (6.9.7 a 6.9.15) ou com reservatórios intermediários.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119</w:t>
      </w:r>
      <w:r>
        <w:rPr>
          <w:color w:val="5B6570"/>
        </w:rPr>
        <w:t xml:space="preserve">   TRF 6, 2025   </w:t>
      </w:r>
      <w:r>
        <w:t xml:space="preserve">Gabarito oficial: </w:t>
      </w:r>
      <w:r>
        <w:rPr>
          <w:b/>
          <w:bCs/>
        </w:rPr>
        <w:t xml:space="preserve">Errado</w:t>
      </w:r>
      <w:r>
        <w:rPr>
          <w:b/>
          <w:bCs/>
          <w:color w:val="2E7D5B"/>
          <w:sz w:val="18"/>
          <w:szCs w:val="18"/>
        </w:rPr>
        <w:t xml:space="preserve">	Norma de 2020 confirma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O reservatório deveria atender, no mínimo, ao maior valor entre a reserva de incêndio e o consumo normal de 24 h.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O mínimo é o consumo normal de 24 h, e o volume de incêndio é somado quando armazenado no mesmo reservatório (6.5.6.2). É soma, e não escolha do maior.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120</w:t>
      </w:r>
      <w:r>
        <w:rPr>
          <w:color w:val="5B6570"/>
        </w:rPr>
        <w:t xml:space="preserve">   TRT 10, 2025   </w:t>
      </w:r>
      <w:r>
        <w:t xml:space="preserve">Gabarito oficial: </w:t>
      </w:r>
      <w:r>
        <w:rPr>
          <w:b/>
          <w:bCs/>
        </w:rPr>
        <w:t xml:space="preserve">Certo</w:t>
      </w:r>
      <w:r>
        <w:rPr>
          <w:b/>
          <w:bCs/>
          <w:color w:val="2E7D5B"/>
          <w:sz w:val="18"/>
          <w:szCs w:val="18"/>
        </w:rPr>
        <w:t xml:space="preserve">	Norma de 2020 confirma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Reservatórios elevados de edifícios públicos são divididos em dois ou mais compartimentos, e o menor deve atender ao pico de consumo durante a manutenção.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É a regra do item 6.5.6.5. A única exceção é a residência unifamiliar isolada; edifício público não escapa da exigência.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121</w:t>
      </w:r>
      <w:r>
        <w:rPr>
          <w:color w:val="5B6570"/>
        </w:rPr>
        <w:t xml:space="preserve">   CTI, 2024   </w:t>
      </w:r>
      <w:r>
        <w:t xml:space="preserve">Gabarito oficial: </w:t>
      </w:r>
      <w:r>
        <w:rPr>
          <w:b/>
          <w:bCs/>
        </w:rPr>
        <w:t xml:space="preserve">Certo</w:t>
      </w:r>
      <w:r>
        <w:rPr>
          <w:b/>
          <w:bCs/>
          <w:color w:val="5B6570"/>
          <w:sz w:val="18"/>
          <w:szCs w:val="18"/>
        </w:rPr>
        <w:t xml:space="preserve">	Doutrina e prática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Tubos plásticos termoestáveis são os que não podem ser amolecidos e moldados por aquecimento.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Classificação de materiais. Os termoplásticos (PVC, CPVC, PPR) amolecem com o calor e podem ser remoldados; os termoestáveis, também chamados termofixos, não. A norma não trata dessa classificação.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122</w:t>
      </w:r>
      <w:r>
        <w:rPr>
          <w:color w:val="5B6570"/>
        </w:rPr>
        <w:t xml:space="preserve">   CTI, 2024   </w:t>
      </w:r>
      <w:r>
        <w:t xml:space="preserve">Gabarito oficial: </w:t>
      </w:r>
      <w:r>
        <w:rPr>
          <w:b/>
          <w:bCs/>
        </w:rPr>
        <w:t xml:space="preserve">Certo</w:t>
      </w:r>
      <w:r>
        <w:rPr>
          <w:b/>
          <w:bCs/>
          <w:color w:val="5B6570"/>
          <w:sz w:val="18"/>
          <w:szCs w:val="18"/>
        </w:rPr>
        <w:t xml:space="preserve">	Doutrina e prática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Em redes com tubulações de cobre, as junções podem ser feitas por soldagem capilar.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A solda por capilaridade é a união típica de tubos e conexões de cobre. A NBR 5626:2020 remete às normas de produto e de aplicação de cada material (6.6.1 e 7.2.3) e cita, na bibliografia, a NBR 15345, de instalação de tubos de cobre.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123</w:t>
      </w:r>
      <w:r>
        <w:rPr>
          <w:color w:val="5B6570"/>
        </w:rPr>
        <w:t xml:space="preserve">   FNDE, 2024   </w:t>
      </w:r>
      <w:r>
        <w:t xml:space="preserve">Gabarito oficial: </w:t>
      </w:r>
      <w:r>
        <w:rPr>
          <w:b/>
          <w:bCs/>
        </w:rPr>
        <w:t xml:space="preserve">Certo</w:t>
      </w:r>
      <w:r>
        <w:rPr>
          <w:b/>
          <w:bCs/>
          <w:color w:val="2E7D5B"/>
          <w:sz w:val="18"/>
          <w:szCs w:val="18"/>
        </w:rPr>
        <w:t xml:space="preserve">	Norma de 2020 confirma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A pressão dinâmica no ponto de utilização não pode ser inferior a 10 kPa (1 mca), mesmo em bacias com caixa de descarga.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Na edição de 2020, o mínimo de 10 kPa vale em qualquer caso (6.9.2). A edição de 1998 abria exceções para a caixa de descarga (5 kPa) e para a válvula de descarga (15 kPa), que deixaram de existir. É um dos pontos em que material antigo induz a erro.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124</w:t>
      </w:r>
      <w:r>
        <w:rPr>
          <w:color w:val="5B6570"/>
        </w:rPr>
        <w:t xml:space="preserve">   Polícia Científica AL, 2023   </w:t>
      </w:r>
      <w:r>
        <w:t xml:space="preserve">Gabarito oficial: </w:t>
      </w:r>
      <w:r>
        <w:rPr>
          <w:b/>
          <w:bCs/>
        </w:rPr>
        <w:t xml:space="preserve">Certo</w:t>
      </w:r>
      <w:r>
        <w:rPr>
          <w:b/>
          <w:bCs/>
          <w:color w:val="5B6570"/>
          <w:sz w:val="18"/>
          <w:szCs w:val="18"/>
        </w:rPr>
        <w:t xml:space="preserve">	Doutrina e prática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Hidrômetros taquimétricos são indicados para maiores vazões; os volumétricos, para menores.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Os taquimétricos, ou velocimétricos, medem pela velocidade do fluxo em uma turbina e cobrem faixas maiores de vazão. Os volumétricos medem por câmaras de volume conhecido, são mais sensíveis em baixas vazões e mais sujeitos a impurezas. Assunto de medição, fora da NBR 5626.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125</w:t>
      </w:r>
      <w:r>
        <w:rPr>
          <w:color w:val="5B6570"/>
        </w:rPr>
        <w:t xml:space="preserve">   TJ ES, 2023   </w:t>
      </w:r>
      <w:r>
        <w:t xml:space="preserve">Gabarito oficial: </w:t>
      </w:r>
      <w:r>
        <w:rPr>
          <w:b/>
          <w:bCs/>
        </w:rPr>
        <w:t xml:space="preserve">Errado</w:t>
      </w:r>
      <w:r>
        <w:rPr>
          <w:b/>
          <w:bCs/>
          <w:color w:val="B45309"/>
          <w:sz w:val="18"/>
          <w:szCs w:val="18"/>
        </w:rPr>
        <w:t xml:space="preserve">	Edição anterior: atenção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O chumbo não é mais permitido, mas a norma autorizaria reparar instalações existentes sem substituí-las.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O entendimento vem da edição de 1998: o chumbo não deve ser usado, e os reparos em instalações existentes devem prever a substituição desse material. A edição de 2020 não lista materiais; aplica a regra geral de que nenhum componente pode alterar a potabilidade nem transmitir toxicidade à água (5.1 e 5.2), o que leva à mesma conclusão.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126</w:t>
      </w:r>
      <w:r>
        <w:rPr>
          <w:color w:val="5B6570"/>
        </w:rPr>
        <w:t xml:space="preserve">   TBG, 2023   </w:t>
      </w:r>
      <w:r>
        <w:t xml:space="preserve">Gabarito oficial: </w:t>
      </w:r>
      <w:r>
        <w:rPr>
          <w:b/>
          <w:bCs/>
        </w:rPr>
        <w:t xml:space="preserve">Errado</w:t>
      </w:r>
      <w:r>
        <w:rPr>
          <w:b/>
          <w:bCs/>
          <w:color w:val="5B6570"/>
          <w:sz w:val="18"/>
          <w:szCs w:val="18"/>
        </w:rPr>
        <w:t xml:space="preserve">	Doutrina e prática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A exposição de tubos de PVC à luz solar poderia comprometer a resistência e torná-los inadequados para instalações de água fria.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O gabarito indica que a banca considerou a afirmação exagerada: a radiação solar afeta sobretudo a aparência e a resistência ao impacto, e o tubo devidamente protegido continua adequado. Para a norma de 2020, o ponto relevante é outro: componentes plásticos expostos à radiação ultravioleta devem ser protegidos (Anexo B, B.2.1 e B.2.2). Gabarito discutível; vale guardar a posição da banca.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127</w:t>
      </w:r>
      <w:r>
        <w:rPr>
          <w:color w:val="5B6570"/>
        </w:rPr>
        <w:t xml:space="preserve">   TBG, 2023   </w:t>
      </w:r>
      <w:r>
        <w:t xml:space="preserve">Gabarito oficial: </w:t>
      </w:r>
      <w:r>
        <w:rPr>
          <w:b/>
          <w:bCs/>
        </w:rPr>
        <w:t xml:space="preserve">Certo</w:t>
      </w:r>
      <w:r>
        <w:rPr>
          <w:b/>
          <w:bCs/>
          <w:color w:val="2E7D5B"/>
          <w:sz w:val="18"/>
          <w:szCs w:val="18"/>
        </w:rPr>
        <w:t xml:space="preserve">	Norma de 2020 confirma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É recomendável usar caixa de descarga, em vez de válvula de descarga, para evitar o golpe de aríete.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A válvula de descarga fecha rapidamente uma vazão alta e é a fonte clássica de golpe de aríete. A norma limita a sobrepressão a 200 kPa (6.9.6 e 6.17.1) e cita a válvula de descarga como exemplo de aparelho que gera transiente de pressão (6.10.4.1).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128</w:t>
      </w:r>
      <w:r>
        <w:rPr>
          <w:color w:val="5B6570"/>
        </w:rPr>
        <w:t xml:space="preserve">   Petrobras, 2022   </w:t>
      </w:r>
      <w:r>
        <w:t xml:space="preserve">Gabarito oficial: </w:t>
      </w:r>
      <w:r>
        <w:rPr>
          <w:b/>
          <w:bCs/>
        </w:rPr>
        <w:t xml:space="preserve">Certo</w:t>
      </w:r>
      <w:r>
        <w:rPr>
          <w:b/>
          <w:bCs/>
          <w:color w:val="5B6570"/>
          <w:sz w:val="18"/>
          <w:szCs w:val="18"/>
        </w:rPr>
        <w:t xml:space="preserve">	Doutrina e prática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A fórmula de Fair-Whipple-Hsiao é indicada para tubos de pequeno diâmetro, como os das instalações prediais de água fria.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É a fórmula empírica tradicional para pequenos diâmetros. A norma de 2020 aceita equações empíricas adequadas ao material e ao diâmetro, mas aponta a equação universal como a mais indicada (6.14.4, nota).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129</w:t>
      </w:r>
      <w:r>
        <w:rPr>
          <w:color w:val="5B6570"/>
        </w:rPr>
        <w:t xml:space="preserve">   Petrobras, 2022   </w:t>
      </w:r>
      <w:r>
        <w:t xml:space="preserve">Gabarito oficial: </w:t>
      </w:r>
      <w:r>
        <w:rPr>
          <w:b/>
          <w:bCs/>
        </w:rPr>
        <w:t xml:space="preserve">Errado</w:t>
      </w:r>
      <w:r>
        <w:rPr>
          <w:b/>
          <w:bCs/>
          <w:color w:val="5B6570"/>
          <w:sz w:val="18"/>
          <w:szCs w:val="18"/>
        </w:rPr>
        <w:t xml:space="preserve">	Doutrina e prática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Na equação de Darcy-Weisbach, a perda de carga unitária seria proporcional ao cubo da velocidade média.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A perda de carga unitária é J = f·V²/(2g·D): proporcional ao quadrado da velocidade e inversamente proporcional ao diâmetro.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130</w:t>
      </w:r>
      <w:r>
        <w:rPr>
          <w:color w:val="5B6570"/>
        </w:rPr>
        <w:t xml:space="preserve">   Petrobras, 2022   </w:t>
      </w:r>
      <w:r>
        <w:t xml:space="preserve">Gabarito oficial: </w:t>
      </w:r>
      <w:r>
        <w:rPr>
          <w:b/>
          <w:bCs/>
        </w:rPr>
        <w:t xml:space="preserve">Errado</w:t>
      </w:r>
      <w:r>
        <w:rPr>
          <w:b/>
          <w:bCs/>
          <w:color w:val="5B6570"/>
          <w:sz w:val="18"/>
          <w:szCs w:val="18"/>
        </w:rPr>
        <w:t xml:space="preserve">	Doutrina e prática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O método do consumo máximo possível usaria como unidade o tubo de 20 mm (3/4").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No método do consumo máximo possível, ou das seções equivalentes, a unidade é o tubo de 15 mm (1/2"). Os demais diâmetros são expressos em número de tubos de 1/2" equivalentes.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131</w:t>
      </w:r>
      <w:r>
        <w:rPr>
          <w:color w:val="5B6570"/>
        </w:rPr>
        <w:t xml:space="preserve">   Petrobras, 2022   </w:t>
      </w:r>
      <w:r>
        <w:t xml:space="preserve">Gabarito oficial: </w:t>
      </w:r>
      <w:r>
        <w:rPr>
          <w:b/>
          <w:bCs/>
        </w:rPr>
        <w:t xml:space="preserve">Errado</w:t>
      </w:r>
      <w:r>
        <w:rPr>
          <w:b/>
          <w:bCs/>
          <w:color w:val="2E7D5B"/>
          <w:sz w:val="18"/>
          <w:szCs w:val="18"/>
        </w:rPr>
        <w:t xml:space="preserve">	Norma de 2020 confirma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O diâmetro dos sub-ramais seria obtido diretamente por consulta à norma da ABNT ou ao catálogo do fabricante.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A NBR 5626:2020 não tabela diâmetros de sub-ramais e afirma que não há diâmetro nominal mínimo para eles. O diâmetro resulta do dimensionamento: vazão, velocidade, perda de carga disponível e pressão mínima do aparelho (6.14.3). Tabelas de diâmetro mínimo de sub-ramal vêm de edições antigas e da literatura.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132</w:t>
      </w:r>
      <w:r>
        <w:rPr>
          <w:color w:val="5B6570"/>
        </w:rPr>
        <w:t xml:space="preserve">   Petrobras, 2022   </w:t>
      </w:r>
      <w:r>
        <w:t xml:space="preserve">Gabarito oficial: </w:t>
      </w:r>
      <w:r>
        <w:rPr>
          <w:b/>
          <w:bCs/>
        </w:rPr>
        <w:t xml:space="preserve">Errado</w:t>
      </w:r>
      <w:r>
        <w:rPr>
          <w:b/>
          <w:bCs/>
          <w:color w:val="B45309"/>
          <w:sz w:val="18"/>
          <w:szCs w:val="18"/>
        </w:rPr>
        <w:t xml:space="preserve">	Edição anterior: atenção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No método do consumo máximo provável, a vazão seria o coeficiente de descarga dividido pela soma dos pesos das peças.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A expressão do método dos pesos é Q = C·√ΣP, com C = 0,30 L/s: o coeficiente multiplica a raiz quadrada da soma dos pesos. A fórmula e os pesos são da edição de 1998; a de 2020 não os traz, mas o método continua sendo cobrado.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133</w:t>
      </w:r>
      <w:r>
        <w:rPr>
          <w:color w:val="5B6570"/>
        </w:rPr>
        <w:t xml:space="preserve">   TELEBRAS, 2022   </w:t>
      </w:r>
      <w:r>
        <w:t xml:space="preserve">Gabarito oficial: </w:t>
      </w:r>
      <w:r>
        <w:rPr>
          <w:b/>
          <w:bCs/>
        </w:rPr>
        <w:t xml:space="preserve">Certo</w:t>
      </w:r>
      <w:r>
        <w:rPr>
          <w:b/>
          <w:bCs/>
          <w:color w:val="5B6570"/>
          <w:sz w:val="18"/>
          <w:szCs w:val="18"/>
        </w:rPr>
        <w:t xml:space="preserve">	Doutrina e prática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Em uma tabela de comprimentos equivalentes para PVC rígido, o valor 1,5 do joelho de 90° corresponde à perda de carga de 1,5 m de tubo de PVC de 25 mm.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Comprimento equivalente é o comprimento de tubo reto, de mesmo diâmetro, que causa a mesma perda de carga da conexão. O conjunto de valores do enunciado corresponde ao diâmetro de 25 mm nas tabelas usuais. A norma de 2020 apenas exige equações pertinentes para as perdas de carga (6.14.4).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134</w:t>
      </w:r>
      <w:r>
        <w:rPr>
          <w:color w:val="5B6570"/>
        </w:rPr>
        <w:t xml:space="preserve">   FUB, 2022   </w:t>
      </w:r>
      <w:r>
        <w:t xml:space="preserve">Gabarito oficial: </w:t>
      </w:r>
      <w:r>
        <w:rPr>
          <w:b/>
          <w:bCs/>
        </w:rPr>
        <w:t xml:space="preserve">Certo</w:t>
      </w:r>
      <w:r>
        <w:rPr>
          <w:b/>
          <w:bCs/>
          <w:color w:val="5B6570"/>
          <w:sz w:val="18"/>
          <w:szCs w:val="18"/>
        </w:rPr>
        <w:t xml:space="preserve">	Doutrina e prática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Toda a tubulação de água fria da instalação predial deve ser dimensionada para funcionar como conduto forçado.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A distribuição predial trabalha sob pressão, com seção cheia. Na norma de 2020, isso aparece na exigência de pressão dinâmica mínima de 5 kPa em qualquer ponto da rede (6.9.3). O escoamento livre fica restrito aos extravasores (6.5.9.4).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135</w:t>
      </w:r>
      <w:r>
        <w:rPr>
          <w:color w:val="5B6570"/>
        </w:rPr>
        <w:t xml:space="preserve">   SECONT ES, 2022   </w:t>
      </w:r>
      <w:r>
        <w:t xml:space="preserve">Gabarito oficial: </w:t>
      </w:r>
      <w:r>
        <w:rPr>
          <w:b/>
          <w:bCs/>
        </w:rPr>
        <w:t xml:space="preserve">Errado</w:t>
      </w:r>
      <w:r>
        <w:rPr>
          <w:b/>
          <w:bCs/>
          <w:color w:val="5B6570"/>
          <w:sz w:val="18"/>
          <w:szCs w:val="18"/>
        </w:rPr>
        <w:t xml:space="preserve">	Doutrina e prática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Dimensionar pelo máximo consumo provável evitaria a perda de vazão com todas as torneiras abertas ao mesmo tempo.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O consumo máximo provável parte da hipótese de que nem todas as peças funcionam ao mesmo tempo. Para uso simultâneo de todas, o método adequado é o do consumo máximo possível.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136</w:t>
      </w:r>
      <w:r>
        <w:rPr>
          <w:color w:val="5B6570"/>
        </w:rPr>
        <w:t xml:space="preserve">   MPE CE, 2020   </w:t>
      </w:r>
      <w:r>
        <w:t xml:space="preserve">Gabarito oficial: </w:t>
      </w:r>
      <w:r>
        <w:rPr>
          <w:b/>
          <w:bCs/>
        </w:rPr>
        <w:t xml:space="preserve">Certo</w:t>
      </w:r>
      <w:r>
        <w:rPr>
          <w:b/>
          <w:bCs/>
          <w:color w:val="B45309"/>
          <w:sz w:val="18"/>
          <w:szCs w:val="18"/>
        </w:rPr>
        <w:t xml:space="preserve">	Edição anterior: atenção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A velocidade da água na tubulação de distribuição de água fria que passa pelo shaft vertical deve ser inferior a 2,5 m/s.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O gabarito segue critério numérico anterior à edição de 2020. Na norma atual não há teto obrigatório: a velocidade é limitada por ruído (NBR 10152), golpe de aríete e cavitação, e o valor de 3 m/s aparece só em nota (6.8.1 a 6.8.5). Uma assertiva que atribuísse à NBR 5626:2020 um limite obrigatório de 2,5 m/s ou de 3 m/s não encontraria apoio no texto.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137</w:t>
      </w:r>
      <w:r>
        <w:rPr>
          <w:color w:val="5B6570"/>
        </w:rPr>
        <w:t xml:space="preserve">   SLU DF, 2019   </w:t>
      </w:r>
      <w:r>
        <w:t xml:space="preserve">Gabarito oficial: </w:t>
      </w:r>
      <w:r>
        <w:rPr>
          <w:b/>
          <w:bCs/>
        </w:rPr>
        <w:t xml:space="preserve">Certo</w:t>
      </w:r>
      <w:r>
        <w:rPr>
          <w:b/>
          <w:bCs/>
          <w:color w:val="B45309"/>
          <w:sz w:val="18"/>
          <w:szCs w:val="18"/>
        </w:rPr>
        <w:t xml:space="preserve">	Edição anterior: atenção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Recomenda-se que a tomada de água do sub-ramal de aparelhos sujeitos a retrossifonagem fique em ponto da coluna no mínimo 40 cm acima da borda de transbordamento do aparelho.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Regra clássica de proteção contra retrossifonagem, vinda de edições anteriores da norma e da literatura. Na edição de 2020, a proteção se apoia na separação atmosférica, na proteção localizada em cada ponto e na ventilação das colunas (6.15.2.2 a 6.15.2.4). Os itens 6.15.2.5 a 6.15.2.9 não estavam na cópia consultada; por isso não foi possível confirmar se os 40 cm permanecem no texto atual.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138</w:t>
      </w:r>
      <w:r>
        <w:rPr>
          <w:color w:val="5B6570"/>
        </w:rPr>
        <w:t xml:space="preserve">   STM, 2011   </w:t>
      </w:r>
      <w:r>
        <w:t xml:space="preserve">Gabarito oficial: </w:t>
      </w:r>
      <w:r>
        <w:rPr>
          <w:b/>
          <w:bCs/>
        </w:rPr>
        <w:t xml:space="preserve">Certo</w:t>
      </w:r>
      <w:r>
        <w:rPr>
          <w:b/>
          <w:bCs/>
          <w:color w:val="5B6570"/>
          <w:sz w:val="18"/>
          <w:szCs w:val="18"/>
        </w:rPr>
        <w:t xml:space="preserve">	Doutrina e prática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Em instalações de recalque, prevê-se uma tubulação de sucção para cada bomba, com diâmetro uniforme e nunca inferior ao do recalque.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Boa prática de hidráulica: sucções independentes e com diâmetro igual ou maior que o do recalque reduzem perdas e o risco de cavitação. A norma de 2020 não fixa diâmetros, mas exige no mínimo duas bombas independentes, sucção sem vórtice nem entrada de ar e verificação do NPSH disponível (6.5.11.2, 6.5.11.5 e 6.5.11.7).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139</w:t>
      </w:r>
      <w:r>
        <w:rPr>
          <w:color w:val="5B6570"/>
        </w:rPr>
        <w:t xml:space="preserve">   STM, 2011   </w:t>
      </w:r>
      <w:r>
        <w:t xml:space="preserve">Gabarito oficial: </w:t>
      </w:r>
      <w:r>
        <w:rPr>
          <w:b/>
          <w:bCs/>
        </w:rPr>
        <w:t xml:space="preserve">Certo</w:t>
      </w:r>
      <w:r>
        <w:rPr>
          <w:b/>
          <w:bCs/>
          <w:color w:val="2E7D5B"/>
          <w:sz w:val="18"/>
          <w:szCs w:val="18"/>
        </w:rPr>
        <w:t xml:space="preserve">	Norma de 2020 confirma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Havendo mudança na posição de alvenarias ou na estrutura durante a execução, admite-se alterar o traçado das redes, desde que isso não interfira nos cálculos aprovados.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A norma de 2020 admite alterações durante a execução, desde que previamente aprovadas (7.1.2), e exige o registro em desenhos conforme construído (7.6).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140</w:t>
      </w:r>
      <w:r>
        <w:rPr>
          <w:color w:val="5B6570"/>
        </w:rPr>
        <w:t xml:space="preserve">   MEC, 2011   </w:t>
      </w:r>
      <w:r>
        <w:t xml:space="preserve">Gabarito oficial: </w:t>
      </w:r>
      <w:r>
        <w:rPr>
          <w:b/>
          <w:bCs/>
        </w:rPr>
        <w:t xml:space="preserve">Errado</w:t>
      </w:r>
      <w:r>
        <w:rPr>
          <w:b/>
          <w:bCs/>
          <w:color w:val="5B6570"/>
          <w:sz w:val="18"/>
          <w:szCs w:val="18"/>
        </w:rPr>
        <w:t xml:space="preserve">	Doutrina e prática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No método baseado na probabilidade de uso simultâneo, somar-se-iam as vazões em todos os trechos da rede.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No método probabilístico (consumo máximo provável) somam-se os pesos, e a vazão sai da raiz quadrada dessa soma. Somar vazões é o procedimento do consumo máximo possível.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141</w:t>
      </w:r>
      <w:r>
        <w:rPr>
          <w:color w:val="5B6570"/>
        </w:rPr>
        <w:t xml:space="preserve">   TJ ES, 2011   </w:t>
      </w:r>
      <w:r>
        <w:t xml:space="preserve">Gabarito oficial: </w:t>
      </w:r>
      <w:r>
        <w:rPr>
          <w:b/>
          <w:bCs/>
        </w:rPr>
        <w:t xml:space="preserve">Certo</w:t>
      </w:r>
      <w:r>
        <w:rPr>
          <w:b/>
          <w:bCs/>
          <w:color w:val="5B6570"/>
          <w:sz w:val="18"/>
          <w:szCs w:val="18"/>
        </w:rPr>
        <w:t xml:space="preserve">	Doutrina e prática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Em estabelecimentos com horários rígidos de uso da água, como os de ensino, os ramais são dimensionados pelo consumo simultâneo máximo possível.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Escolas, quartéis, vestiários e indústrias concentram o uso em horários definidos, com muitas peças funcionando juntas. Nesses casos, admite-se o uso simultâneo de todas as peças.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142</w:t>
      </w:r>
      <w:r>
        <w:rPr>
          <w:color w:val="5B6570"/>
        </w:rPr>
        <w:t xml:space="preserve">   ECT, 2011   </w:t>
      </w:r>
      <w:r>
        <w:t xml:space="preserve">Gabarito oficial: </w:t>
      </w:r>
      <w:r>
        <w:rPr>
          <w:b/>
          <w:bCs/>
        </w:rPr>
        <w:t xml:space="preserve">Errado</w:t>
      </w:r>
      <w:r>
        <w:rPr>
          <w:b/>
          <w:bCs/>
          <w:color w:val="5B6570"/>
          <w:sz w:val="18"/>
          <w:szCs w:val="18"/>
        </w:rPr>
        <w:t xml:space="preserve">	Doutrina e prática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No método do consumo máximo provável, a vazão no ramal independeria dos tipos de peças ligadas a ele.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A vazão depende da soma dos pesos, e cada tipo de peça tem peso próprio.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Questões 143 a 145</w:t>
      </w:r>
      <w:r>
        <w:rPr>
          <w:color w:val="5B6570"/>
        </w:rPr>
        <w:t xml:space="preserve">   ANTAQ, 2009   </w:t>
      </w:r>
      <w:r>
        <w:t xml:space="preserve">Gabarito oficial: </w:t>
      </w:r>
      <w:r>
        <w:rPr>
          <w:b/>
          <w:bCs/>
        </w:rPr>
        <w:t xml:space="preserve">Certo, Certo e Errado</w:t>
      </w:r>
      <w:r>
        <w:rPr>
          <w:b/>
          <w:bCs/>
          <w:color w:val="5B6570"/>
          <w:sz w:val="18"/>
          <w:szCs w:val="18"/>
        </w:rPr>
        <w:t xml:space="preserve">	Doutrina e prática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Três itens sobre a figura de um sistema hidropneumático, com componentes identificados por letras: A seria a tubulação de distribuição; B, o dreno; C, um vacuômetro.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Dependem da figura do caderno. A saída lateral junto à base do tanque (A) é a distribuição, e a saída no fundo (B) é o dreno. O componente C é um dispositivo de comando ligado ao quadro elétrico da bomba, e não um vacuômetro: o tanque hidropneumático trabalha com pressão positiva, acompanhada por manômetro e pressostato. Na norma de 2020, esse tipo de instalação é um sistema de pressurização (6.5.11).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146</w:t>
      </w:r>
      <w:r>
        <w:rPr>
          <w:color w:val="5B6570"/>
        </w:rPr>
        <w:t xml:space="preserve">   TRT 17, 2009   </w:t>
      </w:r>
      <w:r>
        <w:t xml:space="preserve">Gabarito oficial: </w:t>
      </w:r>
      <w:r>
        <w:rPr>
          <w:b/>
          <w:bCs/>
        </w:rPr>
        <w:t xml:space="preserve">Certo</w:t>
      </w:r>
      <w:r>
        <w:rPr>
          <w:b/>
          <w:bCs/>
          <w:color w:val="2E7D5B"/>
          <w:sz w:val="18"/>
          <w:szCs w:val="18"/>
        </w:rPr>
        <w:t xml:space="preserve">	Norma de 2020 confirma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A separação atmosférica em uma peça de utilização evita a contaminação da água por retrossifonagem, em caso de queda de pressão no abastecimento.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Corresponde às definições de retrossifonagem e de separação atmosférica (3.55 e 3.56). A norma considera a separação atmosférica padronizada o recurso mais efetivo contra o refluxo (6.15.2.3).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147</w:t>
      </w:r>
      <w:r>
        <w:rPr>
          <w:color w:val="5B6570"/>
        </w:rPr>
        <w:t xml:space="preserve">   TCE TO, 2009   </w:t>
      </w:r>
      <w:r>
        <w:t xml:space="preserve">Gabarito oficial: </w:t>
      </w:r>
      <w:r>
        <w:rPr>
          <w:b/>
          <w:bCs/>
        </w:rPr>
        <w:t xml:space="preserve">D (quatro itens certos)</w:t>
      </w:r>
      <w:r>
        <w:rPr>
          <w:b/>
          <w:bCs/>
          <w:color w:val="2E7D5B"/>
          <w:sz w:val="18"/>
          <w:szCs w:val="18"/>
        </w:rPr>
        <w:t xml:space="preserve">	Norma de 2020 confirma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Cinco definições para julgar: pressão de serviço, coluna de distribuição, peça de utilização, registro de fechamento e tubo ventilador.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Só a definição do registro está errada: ele serve para interromper o fluxo, usado totalmente aberto ou totalmente fechado, e não para manter a vazão constante (3.52). Coluna de distribuição e tubo ventilador conferem com a edição de 2020 (3.11 e 3.68). Pressão de serviço e peça de utilização ficam no trecho de definições ausente da cópia consultada.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148</w:t>
      </w:r>
      <w:r>
        <w:rPr>
          <w:color w:val="5B6570"/>
        </w:rPr>
        <w:t xml:space="preserve">   UNIPAMPA, 2009   </w:t>
      </w:r>
      <w:r>
        <w:t xml:space="preserve">Gabarito oficial: </w:t>
      </w:r>
      <w:r>
        <w:rPr>
          <w:b/>
          <w:bCs/>
        </w:rPr>
        <w:t xml:space="preserve">Errado</w:t>
      </w:r>
      <w:r>
        <w:rPr>
          <w:b/>
          <w:bCs/>
          <w:color w:val="5B6570"/>
          <w:sz w:val="18"/>
          <w:szCs w:val="18"/>
        </w:rPr>
        <w:t xml:space="preserve">	Doutrina e prática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A válvula globo controlaria a direção do escoamento, permitindo-o em um só sentido.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Quem permite o escoamento em um único sentido é a válvula de retenção. A válvula globo (registro de pressão) regula a vazão.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149</w:t>
      </w:r>
      <w:r>
        <w:rPr>
          <w:color w:val="5B6570"/>
        </w:rPr>
        <w:t xml:space="preserve">   UNIPAMPA, 2009   </w:t>
      </w:r>
      <w:r>
        <w:t xml:space="preserve">Gabarito oficial: </w:t>
      </w:r>
      <w:r>
        <w:rPr>
          <w:b/>
          <w:bCs/>
        </w:rPr>
        <w:t xml:space="preserve">Errado</w:t>
      </w:r>
      <w:r>
        <w:rPr>
          <w:b/>
          <w:bCs/>
          <w:color w:val="2E7D5B"/>
          <w:sz w:val="18"/>
          <w:szCs w:val="18"/>
        </w:rPr>
        <w:t xml:space="preserve">	Norma de 2020 confirma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Válvulas de boia seriam usadas para controlar ou interromper a saída de água de reservatórios e caixas de descarga.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A boia controla a entrada de água. Na norma de 2020, a torneira de boia controla a admissão e limita o nível máximo operacional do reservatório (3.66 e 6.5.8.1).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150</w:t>
      </w:r>
      <w:r>
        <w:rPr>
          <w:color w:val="5B6570"/>
        </w:rPr>
        <w:t xml:space="preserve">   Prefeitura de Ipojuca, 2009   </w:t>
      </w:r>
      <w:r>
        <w:t xml:space="preserve">Gabarito oficial: </w:t>
      </w:r>
      <w:r>
        <w:rPr>
          <w:b/>
          <w:bCs/>
        </w:rPr>
        <w:t xml:space="preserve">Errado</w:t>
      </w:r>
      <w:r>
        <w:rPr>
          <w:b/>
          <w:bCs/>
          <w:color w:val="B45309"/>
          <w:sz w:val="18"/>
          <w:szCs w:val="18"/>
        </w:rPr>
        <w:t xml:space="preserve">	Edição anterior: atenção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Segundo a NBR 5626:1998, a reserva mínima é de 24 h de consumo, sem contar o incêndio; e o consumo de um edifício de apartamentos seria o número de apartamentos multiplicado pelo consumo diário por apartamento.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A primeira parte reproduz a edição de 1998. O erro está no cálculo: o consumo diário é estimado pela população atendida multiplicada pelo consumo por pessoa. Na edição de 2020, o mínimo continua sendo 24 h, com a soma do volume de incêndio quando armazenado junto (6.5.6.2), e a estimativa de consumo considera tipologia do edifício e população atendida, entre outros fatores (6.5.4).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151</w:t>
      </w:r>
      <w:r>
        <w:rPr>
          <w:color w:val="5B6570"/>
        </w:rPr>
        <w:t xml:space="preserve">   IBRAM DF, 2009   </w:t>
      </w:r>
      <w:r>
        <w:t xml:space="preserve">Gabarito oficial: </w:t>
      </w:r>
      <w:r>
        <w:rPr>
          <w:b/>
          <w:bCs/>
        </w:rPr>
        <w:t xml:space="preserve">Errado</w:t>
      </w:r>
      <w:r>
        <w:rPr>
          <w:b/>
          <w:bCs/>
          <w:color w:val="5B6570"/>
          <w:sz w:val="18"/>
          <w:szCs w:val="18"/>
        </w:rPr>
        <w:t xml:space="preserve">	Doutrina e prática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O sistema indireto de distribuição sem bombeamento seria comum nos grandes edifícios.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O indireto sem bombeamento serve a casas e prédios baixos, em que a pressão da rede alcança o reservatório superior. Grandes edifícios exigem reservatório inferior e recalque.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152</w:t>
      </w:r>
      <w:r>
        <w:rPr>
          <w:color w:val="5B6570"/>
        </w:rPr>
        <w:t xml:space="preserve">   IBRAM DF, 2009   </w:t>
      </w:r>
      <w:r>
        <w:t xml:space="preserve">Gabarito oficial: </w:t>
      </w:r>
      <w:r>
        <w:rPr>
          <w:b/>
          <w:bCs/>
        </w:rPr>
        <w:t xml:space="preserve">Errado</w:t>
      </w:r>
      <w:r>
        <w:rPr>
          <w:b/>
          <w:bCs/>
          <w:color w:val="5B6570"/>
          <w:sz w:val="18"/>
          <w:szCs w:val="18"/>
        </w:rPr>
        <w:t xml:space="preserve">	Doutrina e prática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Com pressão insuficiente na rede pública e abastecimento descontínuo, usam-se reservatórios inferior e superior, sem necessidade de bombas.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Se a pressão da rede não leva a água ao reservatório superior, o recalque é indispensável. A norma de 2020 exige no mínimo duas bombas independentes (6.5.11.2).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153</w:t>
      </w:r>
      <w:r>
        <w:rPr>
          <w:color w:val="5B6570"/>
        </w:rPr>
        <w:t xml:space="preserve">   INMETRO, 2009   </w:t>
      </w:r>
      <w:r>
        <w:t xml:space="preserve">Gabarito oficial: </w:t>
      </w:r>
      <w:r>
        <w:rPr>
          <w:b/>
          <w:bCs/>
        </w:rPr>
        <w:t xml:space="preserve">Errado</w:t>
      </w:r>
      <w:r>
        <w:rPr>
          <w:b/>
          <w:bCs/>
          <w:color w:val="5B6570"/>
          <w:sz w:val="18"/>
          <w:szCs w:val="18"/>
        </w:rPr>
        <w:t xml:space="preserve">	Doutrina e prática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Em prédios residenciais, a reserva de incêndio não poderia ser inferior a 40% do consumo diário.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A NBR 5626 não fixa percentual. A reserva de incêndio é definida pelas normas e pela legislação de segurança contra incêndio; a norma de água apenas manda somá-la quando armazenada no mesmo reservatório (6.5.6.2). As estimativas da literatura clássica são bem menores, da ordem de 15% a 20% do consumo diário.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154</w:t>
      </w:r>
      <w:r>
        <w:rPr>
          <w:color w:val="5B6570"/>
        </w:rPr>
        <w:t xml:space="preserve">   INMETRO, 2009   </w:t>
      </w:r>
      <w:r>
        <w:t xml:space="preserve">Gabarito oficial: </w:t>
      </w:r>
      <w:r>
        <w:rPr>
          <w:b/>
          <w:bCs/>
        </w:rPr>
        <w:t xml:space="preserve">Certo</w:t>
      </w:r>
      <w:r>
        <w:rPr>
          <w:b/>
          <w:bCs/>
          <w:color w:val="B45309"/>
          <w:sz w:val="18"/>
          <w:szCs w:val="18"/>
        </w:rPr>
        <w:t xml:space="preserve">	Edição anterior: atenção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Atribuem-se coeficientes de ponderação às peças de utilização, empregados no cálculo das vazões e no dimensionamento das tubulações.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São os pesos do método do consumo máximo provável. O item vale como descrição do método, mas a tabela de pesos é da edição de 1998 e não consta da edição de 2020 (6.14.2).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155</w:t>
      </w:r>
      <w:r>
        <w:rPr>
          <w:color w:val="5B6570"/>
        </w:rPr>
        <w:t xml:space="preserve">   INMETRO, 2009   </w:t>
      </w:r>
      <w:r>
        <w:t xml:space="preserve">Gabarito oficial: </w:t>
      </w:r>
      <w:r>
        <w:rPr>
          <w:b/>
          <w:bCs/>
        </w:rPr>
        <w:t xml:space="preserve">Certo</w:t>
      </w:r>
      <w:r>
        <w:rPr>
          <w:b/>
          <w:bCs/>
          <w:color w:val="5B6570"/>
          <w:sz w:val="18"/>
          <w:szCs w:val="18"/>
        </w:rPr>
        <w:t xml:space="preserve">	Doutrina e prática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O barrilete ramificado é solução mais econômica que o barrilete concentrado.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O ramificado usa menos tubulação, com os registros distribuídos pela cobertura. O concentrado reúne os registros em um só local, o que facilita a operação, mas consome mais tubos e conexões.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156</w:t>
      </w:r>
      <w:r>
        <w:rPr>
          <w:color w:val="5B6570"/>
        </w:rPr>
        <w:t xml:space="preserve">   TRE AP, 2007   </w:t>
      </w:r>
      <w:r>
        <w:t xml:space="preserve">Gabarito oficial: </w:t>
      </w:r>
      <w:r>
        <w:rPr>
          <w:b/>
          <w:bCs/>
        </w:rPr>
        <w:t xml:space="preserve">C</w:t>
      </w:r>
      <w:r>
        <w:rPr>
          <w:b/>
          <w:bCs/>
          <w:color w:val="5B6570"/>
          <w:sz w:val="18"/>
          <w:szCs w:val="18"/>
        </w:rPr>
        <w:t xml:space="preserve">	Doutrina e prática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Múltipla escolha sobre válvulas. Alternativa correta: a válvula de retenção permite o escoamento em um único sentido.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As demais erram porque a válvula de gaveta trabalha totalmente aberta ou totalmente fechada; a globo serve para regular a vazão; a boia controla a entrada de água; e a redutora de pressão protege a rede e os aparelhos, e não a bomba contra cavitação.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157</w:t>
      </w:r>
      <w:r>
        <w:rPr>
          <w:color w:val="5B6570"/>
        </w:rPr>
        <w:t xml:space="preserve">   TSE, 2007   </w:t>
      </w:r>
      <w:r>
        <w:t xml:space="preserve">Gabarito oficial: </w:t>
      </w:r>
      <w:r>
        <w:rPr>
          <w:b/>
          <w:bCs/>
        </w:rPr>
        <w:t xml:space="preserve">B</w:t>
      </w:r>
      <w:r>
        <w:rPr>
          <w:b/>
          <w:bCs/>
          <w:color w:val="5B6570"/>
          <w:sz w:val="18"/>
          <w:szCs w:val="18"/>
        </w:rPr>
        <w:t xml:space="preserve">	Doutrina e prática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Múltipla escolha sobre a ligação predial. Alternativa correta: ramais prediais podem ser executados em PEAD.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O cavalete é a estrutura que abriga o hidrômetro, e não a peça de tomada na rede. Hidrômetro superdimensionado mede pior as pequenas vazões. O ramal predial e a medição seguem as regras da concessionária (3.50 e 6.5.1.1).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158</w:t>
      </w:r>
      <w:r>
        <w:rPr>
          <w:color w:val="5B6570"/>
        </w:rPr>
        <w:t xml:space="preserve">   TSE, 2007   </w:t>
      </w:r>
      <w:r>
        <w:t xml:space="preserve">Gabarito oficial: </w:t>
      </w:r>
      <w:r>
        <w:rPr>
          <w:b/>
          <w:bCs/>
        </w:rPr>
        <w:t xml:space="preserve">D</w:t>
      </w:r>
      <w:r>
        <w:rPr>
          <w:b/>
          <w:bCs/>
          <w:color w:val="5B6570"/>
          <w:sz w:val="18"/>
          <w:szCs w:val="18"/>
        </w:rPr>
        <w:t xml:space="preserve">	Doutrina e prática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Múltipla escolha sobre materiais. Alternativa correta: tubos de ferro fundido são admitidos com pintura externa anticorrosiva e revestimento interno.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Cerâmica é material de esgoto; chumbo não é admitido; PVC flexível não é usado nessas instalações. A edição de 2020 não lista materiais: exige resistência à corrosão das superfícies em contato com a água (5.4), proteção externa de tubulações metálicas enterradas (6.19.4.1) e os cuidados do Anexo B.</w:t>
      </w:r>
    </w:p>
    <w:p>
      <w:pPr>
        <w:pStyle w:val="Heading2"/>
        <w:keepNext/>
      </w:pPr>
      <w:r>
        <w:t xml:space="preserve">Água quente (159 a 163)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159</w:t>
      </w:r>
      <w:r>
        <w:rPr>
          <w:color w:val="5B6570"/>
        </w:rPr>
        <w:t xml:space="preserve">   Prefeitura de São Cristóvão, 2023   </w:t>
      </w:r>
      <w:r>
        <w:t xml:space="preserve">Gabarito oficial: </w:t>
      </w:r>
      <w:r>
        <w:rPr>
          <w:b/>
          <w:bCs/>
        </w:rPr>
        <w:t xml:space="preserve">B (cobre)</w:t>
      </w:r>
      <w:r>
        <w:rPr>
          <w:b/>
          <w:bCs/>
          <w:color w:val="5B6570"/>
          <w:sz w:val="18"/>
          <w:szCs w:val="18"/>
        </w:rPr>
        <w:t xml:space="preserve">	Doutrina e prática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Múltipla escolha: material recomendado para os ramais de água quente depois do registro de pressão do misturador do chuveiro.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O trecho depois do misturador conduz água quente ou misturada, e o PVC comum não resiste à temperatura. A escolha específica do cobre vem de recomendação de prática construtiva adotada pela banca. A NBR 5626:2020 não indica material: exige componentes adequados à temperatura máxima de operação (5.5 e 6.10.1).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160</w:t>
      </w:r>
      <w:r>
        <w:rPr>
          <w:color w:val="5B6570"/>
        </w:rPr>
        <w:t xml:space="preserve">   DP DF, 2022   </w:t>
      </w:r>
      <w:r>
        <w:t xml:space="preserve">Gabarito oficial: </w:t>
      </w:r>
      <w:r>
        <w:rPr>
          <w:b/>
          <w:bCs/>
        </w:rPr>
        <w:t xml:space="preserve">Certo</w:t>
      </w:r>
      <w:r>
        <w:rPr>
          <w:b/>
          <w:bCs/>
          <w:color w:val="5B6570"/>
          <w:sz w:val="18"/>
          <w:szCs w:val="18"/>
        </w:rPr>
        <w:t xml:space="preserve">	Doutrina e prática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Tubos e conexões de policloreto de vinila clorado são recomendados para instalações de água quente.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O CPVC é o PVC com maior teor de cloro, o que eleva a resistência à temperatura. Ao lado de cobre, PPR e PEX, é material usual de água quente.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161</w:t>
      </w:r>
      <w:r>
        <w:rPr>
          <w:color w:val="5B6570"/>
        </w:rPr>
        <w:t xml:space="preserve">   MEC, 2011   </w:t>
      </w:r>
      <w:r>
        <w:t xml:space="preserve">Gabarito oficial: </w:t>
      </w:r>
      <w:r>
        <w:rPr>
          <w:b/>
          <w:bCs/>
        </w:rPr>
        <w:t xml:space="preserve">Certo</w:t>
      </w:r>
      <w:r>
        <w:rPr>
          <w:b/>
          <w:bCs/>
          <w:color w:val="5B6570"/>
          <w:sz w:val="18"/>
          <w:szCs w:val="18"/>
        </w:rPr>
        <w:t xml:space="preserve">	Doutrina e prática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Termossifão é um circuito fechado em que a água aquecida circula por convecção, pela diferença de densidade entre a água fria e a quente.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É o princípio da circulação natural em aquecedores solares e em sistemas sem bomba. Não confunda com o sifão térmico da NBR 5626:2020, que tem a função oposta: dificultar a passagem de calor por convecção na alimentação de água fria do reservatório de água quente (3.57 e 6.13.3.1).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162</w:t>
      </w:r>
      <w:r>
        <w:rPr>
          <w:color w:val="5B6570"/>
        </w:rPr>
        <w:t xml:space="preserve">   ANATEL, 2009   </w:t>
      </w:r>
      <w:r>
        <w:t xml:space="preserve">Gabarito oficial: </w:t>
      </w:r>
      <w:r>
        <w:rPr>
          <w:b/>
          <w:bCs/>
        </w:rPr>
        <w:t xml:space="preserve">Errado</w:t>
      </w:r>
      <w:r>
        <w:rPr>
          <w:b/>
          <w:bCs/>
          <w:color w:val="2E7D5B"/>
          <w:sz w:val="18"/>
          <w:szCs w:val="18"/>
        </w:rPr>
        <w:t xml:space="preserve">	Norma de 2020 confirma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Em regiões onde a água atinge temperaturas muito baixas, deveria ser prevista água quente em todos os pontos de utilização.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Não existe essa obrigação. A água quente atende às necessidades dos usuários e aos usos pretendidos (6.10.1).</w:t>
      </w:r>
    </w:p>
    <w:p>
      <w:pPr>
        <w:keepNext/>
        <w:pBdr>
          <w:top w:val="single" w:color="BFC5CC" w:sz="4" w:space="6"/>
        </w:pBdr>
        <w:tabs>
          <w:tab w:val="right" w:pos="9638"/>
        </w:tabs>
        <w:spacing w:after="50" w:before="140" w:line="270" w:lineRule="auto"/>
      </w:pPr>
      <w:r>
        <w:rPr>
          <w:b/>
          <w:bCs/>
          <w:color w:val="1F4E79"/>
          <w:sz w:val="23"/>
          <w:szCs w:val="23"/>
        </w:rPr>
        <w:t xml:space="preserve">Questão 163</w:t>
      </w:r>
      <w:r>
        <w:rPr>
          <w:color w:val="5B6570"/>
        </w:rPr>
        <w:t xml:space="preserve">   FUB, 2009   </w:t>
      </w:r>
      <w:r>
        <w:t xml:space="preserve">Gabarito oficial: </w:t>
      </w:r>
      <w:r>
        <w:rPr>
          <w:b/>
          <w:bCs/>
        </w:rPr>
        <w:t xml:space="preserve">Errado</w:t>
      </w:r>
      <w:r>
        <w:rPr>
          <w:b/>
          <w:bCs/>
          <w:color w:val="5B6570"/>
          <w:sz w:val="18"/>
          <w:szCs w:val="18"/>
        </w:rPr>
        <w:t xml:space="preserve">	Doutrina e prática</w:t>
      </w:r>
    </w:p>
    <w:p>
      <w:pPr>
        <w:keepNext/>
        <w:spacing w:after="50" w:before="0" w:line="270" w:lineRule="auto"/>
      </w:pPr>
      <w:r>
        <w:rPr>
          <w:b/>
          <w:bCs/>
        </w:rPr>
        <w:t xml:space="preserve">Item (resumo): </w:t>
      </w:r>
      <w:r>
        <w:rPr>
          <w:i/>
          <w:iCs/>
        </w:rPr>
        <w:t xml:space="preserve">Conexões e tubos de aço galvanizado não poderiam ser usados em instalações prediais de água quente.</w:t>
      </w:r>
    </w:p>
    <w:p>
      <w:pPr>
        <w:spacing w:after="120" w:before="0" w:line="270" w:lineRule="auto"/>
      </w:pPr>
      <w:r>
        <w:rPr>
          <w:b/>
          <w:bCs/>
        </w:rPr>
        <w:t xml:space="preserve">Comentário: </w:t>
      </w:r>
      <w:r>
        <w:t xml:space="preserve">Para a banca, não há essa proibição. A norma de 2020 não veta materiais específicos: exige adequação à temperatura e resistência à corrosão (5.4, 5.5 e 6.10.1).</w:t>
      </w:r>
    </w:p>
    <w:p>
      <w:pPr>
        <w:pStyle w:val="Heading1"/>
        <w:pageBreakBefore/>
      </w:pPr>
      <w:r>
        <w:t xml:space="preserve">19. Treino extra: itens inéditos sobre a edição de 2020</w:t>
      </w:r>
    </w:p>
    <w:p>
      <w:pPr>
        <w:spacing w:after="160" w:before="0" w:line="276" w:lineRule="auto"/>
      </w:pPr>
      <w:r>
        <w:rPr>
          <w:b w:val="false"/>
          <w:bCs w:val="false"/>
        </w:rPr>
        <w:t xml:space="preserve">Itens escritos para este resumo, no formato </w:t>
      </w:r>
      <w:r>
        <w:rPr>
          <w:b/>
          <w:bCs/>
        </w:rPr>
        <w:t xml:space="preserve">certo (C)</w:t>
      </w:r>
      <w:r>
        <w:rPr>
          <w:b w:val="false"/>
          <w:bCs w:val="false"/>
        </w:rPr>
        <w:t xml:space="preserve"> ou </w:t>
      </w:r>
      <w:r>
        <w:rPr>
          <w:b/>
          <w:bCs/>
        </w:rPr>
        <w:t xml:space="preserve">errado (E)</w:t>
      </w:r>
      <w:r>
        <w:rPr>
          <w:b w:val="false"/>
          <w:bCs w:val="false"/>
        </w:rPr>
        <w:t xml:space="preserve">. Servem para fixar os números e as regras da edição de 2020 que as questões antigas ainda não cobrem. Não são questões de prova.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A NBR 5626:2020 aplica-se aos sistemas prediais de água fria e de água quente, potável ou não potável, desde que instalados em edifícios residenciais.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A edição de 2020 da NBR 5626 passou a tratar também dos sistemas prediais de água quente, tendo cancelado e substituído a NBR 7198:1993.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O diâmetro nominal (DN) corresponde ao diâmetro interno medido da tubulação e é o valor a ser utilizado nos cálculos de perda de carga.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No aquecimento central privado, o aquecedor remoto atende pontos de utilização pertencentes a mais de uma unidade.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O projeto dos sistemas prediais de água fria e água quente deve ser elaborado por profissional habilitado, cujos dados de registro devem constar dos elementos do projeto em qualquer etapa de seu desenvolvimento.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Em edificação abastecida simultaneamente pela concessionária e por poço, admite-se a interligação das duas fontes sem dispositivo específico, desde que a água do poço atenda ao padrão de potabilidade.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Quando o alimentador predial for instalado na mesma vala de tubulação enterrada potencialmente poluidora, sua geratriz inferior externa deve ficar em cota superior à da geratriz superior externa dessa tubulação.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O volume total de água reservado deve atender a, no mínimo, 24 h de consumo normal do edifício, devendo-se considerar o volume adicional de combate a incêndio quando armazenado conjuntamente.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Na impossibilidade de se determinar o volume máximo permissível de reservação, a norma exige que o volume total seja limitado a dois dias de consumo diário.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Todo reservatório elevado, inclusive o de residência unifamiliar isolada, deve ser dividido em dois ou mais compartimentos.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Em câmara formada pela interligação de vários reservatórios, é vedada a operação simultânea exclusiva como vasos comunicantes, devendo ser assegurada a circulação da água por todos eles.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As tubulações de extravasão e de limpeza de reservatórios de água potável podem ser interligadas diretamente ao sistema predial de águas pluviais, mas não ao de esgoto sanitário.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As telas instaladas nas extremidades das tubulações de extravasão devem ter área de passagem das frestas superior à área da seção interna da respectiva tubulação.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A vazão de abastecimento do reservatório deve permitir a reposição do volume de consumo diário em até 6 h, prazo que cai para 3 h no caso de residências unifamiliares.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Os sistemas de recalque e de pressurização devem contar com, no mínimo, duas bombas de funcionamento independente, projetadas com alternância automática entre partidas consecutivas.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O desvio (by-pass) do sistema de pressurização deve ser dotado de válvula de bloqueio, de modo que o abastecimento por gravidade só ocorra por acionamento manual.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Em qualquer caso, a pressão dinâmica da água no ponto de utilização não pode ser inferior a 5 kPa.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A pressão estática nos pontos de utilização não pode superar 400 kPa.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Sobrepressões decorrentes de transientes hidráulicos são admitidas, desde que não superem 200 kPa em relação à pressão dinâmica prevista em projeto.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A norma fixa, como requisito, a velocidade máxima de 3 m/s em qualquer trecho de tubulação, valor que elimina a ocorrência de golpe de aríete.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Estações redutoras de pressão que atendam a múltiplas unidades condominiais devem ser dotadas de pelo menos duas válvulas redutoras instaladas em série.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Uma mesma estação redutora de pressão pode abastecer duas zonas de pressão, desde que respeitada a relação de redução de pressões das válvulas.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Onde houver possibilidade de a água quente ultrapassar 45 °C em pontos de utilização para uso corporal, deve-se empregar recurso de segurança intrínseca com atuação automática para limitar a temperatura a esse valor.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A tubulação de água fria que alimenta um aquecedor pode alimentar também válvula de descarga de bacia sanitária, desde que o aquecedor seja de acumulação.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O sistema de distribuição de água quente deve ter isolamento térmico somente nos trechos com comprimento superior a 1,5 m.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É vedada a instalação de qualquer válvula entre o recipiente de água quente e a válvula de alívio de pressão e temperatura.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Admite-se respiro coletivo para aquecedores de acumulação instalados em um mesmo pavimento.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O trecho horizontal da tubulação de alimentação de água fria do reservatório de água quente deve receber isolamento térmico, para reduzir as perdas do sistema.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A separação atmosférica padronizada é o recurso mais efetivo de prevenção ao refluxo, exigindo-se distância mínima de três vezes o diâmetro interno do tubo entre o ponto de suprimento e qualquer obstáculo periférico.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Para um tubo de alimentação com diâmetro interno de 25 mm, a separação atmosférica mínima é de 25 mm.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Os quebradores de vácuo constituem proteção contra o refluxo inclusive nas situações em que este ocorre pelo mecanismo de vasos comunicantes.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Duchas higiênicas e torneiras com gatilho de ponta devem ter válvulas de retenção, incorporadas ao aparelho ou instaladas no ponto de utilização.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No dimensionamento do sistema de distribuição, a vazão de cálculo de cada trecho deve ser obtida por método reconhecido ou devidamente fundamentado, que pode ser empírico ou probabilístico.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No ensaio de estanqueidade, cada seção da tubulação deve ser submetida a pressão mínima de 600 kPa ou de 1,5 vez a máxima pressão de trabalho, o que for maior.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O ensaio de estanqueidade das tubulações de água quente deve ser feito com água a no mínimo 80 °C, após a aplicação do isolamento térmico.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O reservatório é considerado estanque se não forem detectados vazamentos ou extravasamentos durante um período mínimo de 72 h.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Conforme as periodicidades máximas da norma, a verificação do funcionamento das válvulas de alívio e das válvulas de segurança à pressão é semestral e cabe a profissional habilitado.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A limpeza dos reservatórios e do sistema de distribuição tem periodicidade máxima anual.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No procedimento de desinfecção química descrito na norma, a concentração mínima de cloro livre no sistema é de 20 mg/L, mantendo-se o sistema em repouso por no mínimo 2 h.</w:t>
      </w:r>
    </w:p>
    <w:p>
      <w:pPr>
        <w:pStyle w:val="ListParagraph"/>
        <w:numPr>
          <w:ilvl w:val="0"/>
          <w:numId w:val="3"/>
        </w:numPr>
        <w:spacing w:after="110" w:before="0" w:line="270" w:lineRule="auto"/>
      </w:pPr>
      <w:r>
        <w:t xml:space="preserve">Os anexos que tratam do ensaio de proteção contra refluxo e da proteção contra corrosão ou degradação são informativos.</w:t>
      </w:r>
    </w:p>
    <w:p>
      <w:pPr>
        <w:pStyle w:val="Heading1"/>
        <w:pageBreakBefore/>
      </w:pPr>
      <w:r>
        <w:t xml:space="preserve">20. Gabarito comentado do treino extra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7738"/>
      </w:tblGrid>
      <w:tr>
        <w:trPr>
          <w:cantSplit/>
          <w:tblHeader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Gabarito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Comentário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norma abrange somente água potável e vale para qualquer tipo de edifício, residencial ou não (seção 1).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Além da NBR 5626:1998, a edição de 2020 cancelou e substituiu a NBR 7198:1993 (prefácio).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 DN é um número de classificação; não é objeto de medição nem de uso em cálculo (3.20).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Essa é a definição de aquecimento central coletivo. No central privado, os pontos pertencem a uma mesma unidade (3.7 e 3.8).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É o que estabelece o item 6.1.1.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Havendo uso simultâneo de outra fonte, deve existir meio de impedir o refluxo dessa água para a rede da concessionária (6.3.3).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 alimentador passa por cima da tubulação poluidora (6.5.3.2).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 6.5.6.2.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É recomendação, em nota, e o valor é de três dias de consumo diário, ou a previsão de meios que preservem as características da água (6.5.6.3).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 residências unifamiliares isoladas são a exceção expressa (6.5.6.5).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 6.5.6.8.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interligação direta é vedada tanto com o esgoto sanitário quanto com as águas pluviais (6.5.9.10).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 6.5.9.6.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 6.7.2.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Itens 6.5.11.2 e 6.5.11.9.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 desvio tem válvula de retenção e não tem válvula de bloqueio, justamente para que o abastecimento por gravidade seja automático (6.5.11.18).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 mínimo no ponto de utilização é 10 kPa. Os 5 kPa valem para qualquer ponto da rede de distribuição (6.9.2 e 6.9.3).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 6.9.4.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 6.9.6.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 valor aparece apenas em nota, e a própria nota esclarece que ele não evita o golpe de aríete, só limita os picos de sobrepressão (6.8.3).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 válvulas são instaladas em paralelo, sendo uma sobressalente (6.9.7).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 estação redutora de pressão deve abastecer uma única zona de pressão (6.9.11).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 6.10.4.3.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Essa tubulação não pode alimentar aparelhos cuja operação cause transiente de pressão ou escaldamento, e a válvula de descarga é o exemplo citado (6.10.4.1).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 corpo da norma exige isolamento em toda a extensão (6.12.3). O valor de 1,5 m é recomendação de anexo informativo para sistemas sem recirculação (D.3.5).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 6.13.2.3.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 respiro coletivo é vedado (6.13.3.1).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Esse trecho não pode ter isolamento térmico e deve ser de material resistente à água quente (6.13.1.5).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 6.15.2.3 e legenda das figuras de separação atmosférica (L ≥ 3d).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 diâmetros acima de 21 mm e até 41 mm, a separação mínima é de 70 mm (Tabela 1).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nota do item 6.15.2.3 afirma o contrário.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 6.5.12.8.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 6.14.2. O método adotado deve ser justificado no projeto (6.14.1).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Adota-se o menor dos dois valores (7.3.1.1).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temperatura está correta, mas o ensaio é feito antes do isolamento térmico ou acústico e antes do recobrimento (7.3.1.3).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 7.3.3.3.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É a única atividade da Tabela 2 atribuída a profissional habilitado.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periodicidade máxima é semestral (Tabela 2).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Anexo F, itens F.3.3.2 e F.3.3.5.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</w:t>
            </w:r>
          </w:p>
        </w:tc>
        <w:tc>
          <w:tcPr>
            <w:tcW w:type="dxa" w:w="7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Os Anexos A e B são normativos. Os informativos são C, D, E e F.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B6570"/>
        <w:sz w:val="16"/>
        <w:szCs w:val="16"/>
      </w:rPr>
      <w:t xml:space="preserve">NBR 5626:2020 · resumo de estudo (não substitui a norma)</w:t>
    </w:r>
    <w:r>
      <w:rPr>
        <w:color w:val="5B6570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520"/>
      </w:pPr>
      <w:rPr>
        <w:b/>
        <w:bCs/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29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3dc26da91e8c51e5dffab9fae9ecca3f2bea3dc.png"/><Relationship Id="rId9" Type="http://schemas.openxmlformats.org/officeDocument/2006/relationships/image" Target="media/9e47ec09c4a2185e61252671171a895e40a3e3b4.png"/><Relationship Id="rId10" Type="http://schemas.openxmlformats.org/officeDocument/2006/relationships/image" Target="media/a1fcd28efbdb80027f45791fbfeedeeee83af3f4.png"/><Relationship Id="rId11" Type="http://schemas.openxmlformats.org/officeDocument/2006/relationships/image" Target="media/854a828166af59ca5f38fd7c5c9bed7593d89dd8.png"/><Relationship Id="rId12" Type="http://schemas.openxmlformats.org/officeDocument/2006/relationships/image" Target="media/e3559c58ec8ce32a7a3507e360f0a6b23f507cf1.png"/><Relationship Id="rId13" Type="http://schemas.openxmlformats.org/officeDocument/2006/relationships/image" Target="media/2a13d4197c26a911ff6d9c3caf392bc95a08d1c1.png"/><Relationship Id="rId14" Type="http://schemas.openxmlformats.org/officeDocument/2006/relationships/image" Target="media/64e775a410b3f16192c0365b187bdc661c992d08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NBR 5626:2020 - Resumo de estudo</dc:title>
  <dc:creator>Resumo de estudo</dc:creator>
  <dc:description>Resumo de estudo da NBR 5626:2020 com esquemas e questões comentadas</dc:description>
  <cp:lastModifiedBy>Un-named</cp:lastModifiedBy>
  <cp:revision>1</cp:revision>
  <dcterms:created xsi:type="dcterms:W3CDTF">2026-10-07T22:20:43.422Z</dcterms:created>
  <dcterms:modified xsi:type="dcterms:W3CDTF">2026-10-07T22:20:43.423Z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