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p>
    <w:p>
      <w:pPr>
        <w:spacing w:after="0" w:before="0" w:line="480"/>
        <w:jc w:val="center"/>
      </w:pPr>
    </w:p>
    <w:p>
      <w:pPr>
        <w:spacing w:after="0" w:before="0" w:line="480"/>
        <w:jc w:val="center"/>
      </w:pPr>
    </w:p>
    <w:p>
      <w:pPr>
        <w:spacing w:after="0" w:before="0" w:line="480"/>
        <w:jc w:val="center"/>
      </w:pPr>
    </w:p>
    <w:p>
      <w:pPr>
        <w:spacing w:after="0" w:before="0" w:line="480"/>
        <w:jc w:val="center"/>
      </w:pPr>
      <w:r>
        <w:rPr>
          <w:rFonts w:ascii="Times New Roman" w:cs="Times New Roman" w:eastAsia="Times New Roman" w:hAnsi="Times New Roman"/>
          <w:b/>
          <w:bCs/>
        </w:rPr>
        <w:t xml:space="preserve">Humanização, Equidade e Gestão do Cuidado Hospitalar à População em Situação de Rua: Desafios Éticos, Sociais e Organizacionais para a Garantia da Continuidade da Assistência</w:t>
      </w:r>
      <w:r>
        <w:rPr>
          <w:rStyle w:val="FootnoteReference"/>
        </w:rPr>
        <w:footnoteReference w:id="1"/>
      </w:r>
    </w:p>
    <w:p>
      <w:pPr>
        <w:spacing w:after="0" w:before="0" w:line="480"/>
        <w:jc w:val="center"/>
      </w:pPr>
    </w:p>
    <w:p>
      <w:pPr>
        <w:spacing w:after="0" w:before="0" w:line="480"/>
        <w:jc w:val="center"/>
      </w:pPr>
      <w:r>
        <w:rPr>
          <w:rFonts w:ascii="Times New Roman" w:cs="Times New Roman" w:eastAsia="Times New Roman" w:hAnsi="Times New Roman"/>
        </w:rPr>
        <w:t xml:space="preserve">Ana Rosa Pessoa Peixoto Barreto</w:t>
      </w:r>
    </w:p>
    <w:p>
      <w:pPr>
        <w:spacing w:after="0" w:before="0" w:line="480"/>
        <w:jc w:val="center"/>
      </w:pPr>
      <w:r>
        <w:rPr>
          <w:rFonts w:ascii="Times New Roman" w:cs="Times New Roman" w:eastAsia="Times New Roman" w:hAnsi="Times New Roman"/>
        </w:rPr>
        <w:t xml:space="preserve">MUST University</w:t>
      </w:r>
    </w:p>
    <w:p>
      <w:pPr>
        <w:spacing w:after="0" w:before="0" w:line="480"/>
        <w:jc w:val="center"/>
      </w:pPr>
      <w:r>
        <w:rPr>
          <w:rFonts w:ascii="Times New Roman" w:cs="Times New Roman" w:eastAsia="Times New Roman" w:hAnsi="Times New Roman"/>
        </w:rPr>
        <w:t xml:space="preserve">Gestão Hospitalar</w:t>
      </w:r>
    </w:p>
    <w:p>
      <w:pPr>
        <w:spacing w:after="0" w:before="0" w:line="480"/>
        <w:jc w:val="center"/>
      </w:pPr>
      <w:r>
        <w:rPr>
          <w:rFonts w:ascii="Times New Roman" w:cs="Times New Roman" w:eastAsia="Times New Roman" w:hAnsi="Times New Roman"/>
        </w:rPr>
        <w:t xml:space="preserve">Professora Angela Maria Moed Lopes</w:t>
      </w:r>
    </w:p>
    <w:p>
      <w:pPr>
        <w:spacing w:after="0" w:before="0" w:line="480"/>
        <w:jc w:val="center"/>
      </w:pPr>
      <w:r>
        <w:rPr>
          <w:rFonts w:ascii="Times New Roman" w:cs="Times New Roman" w:eastAsia="Times New Roman" w:hAnsi="Times New Roman"/>
        </w:rPr>
        <w:t xml:space="preserve">Outubro, 2026</w:t>
      </w:r>
    </w:p>
    <w:p>
      <w:r>
        <w:br w:type="page"/>
      </w:r>
    </w:p>
    <w:p>
      <w:pPr>
        <w:keepNext/>
        <w:spacing w:after="0" w:before="0" w:line="480"/>
        <w:jc w:val="center"/>
      </w:pPr>
      <w:r>
        <w:rPr>
          <w:rFonts w:ascii="Times New Roman" w:cs="Times New Roman" w:eastAsia="Times New Roman" w:hAnsi="Times New Roman"/>
          <w:b/>
          <w:bCs/>
        </w:rPr>
        <w:t xml:space="preserve">Humanização, Equidade e Gestão do Cuidado Hospitalar à População em Situação de Rua: Desafios Éticos, Sociais e Organizacionais para a Garantia da Continuidade da Assistência</w:t>
      </w:r>
    </w:p>
    <w:p>
      <w:pPr>
        <w:spacing w:after="0" w:before="0" w:line="480"/>
        <w:ind w:firstLine="720"/>
        <w:jc w:val="left"/>
      </w:pPr>
      <w:r>
        <w:rPr>
          <w:rFonts w:ascii="Times New Roman" w:cs="Times New Roman" w:eastAsia="Times New Roman" w:hAnsi="Times New Roman"/>
        </w:rPr>
        <w:t xml:space="preserve">A humanização da assistência é diretriz de organização dos serviços do Sistema Único de Saúde (SUS), e não apenas atributo da conduta individual do profissional (Ministério da Saúde, 2013a). A Lei nº 8.080/1990 já estabelecia a integralidade e a igualdade da assistência, “sem preconceitos ou privilégios de qualquer espécie” (Brasil, 1990, art. 7º), como princípios do sistema. Assegurar esses princípios exige reconhecer que usuários com necessidades diferentes precisam de respostas diferentes, o que define a equidade em saúde (Whitehead, 1992).</w:t>
      </w:r>
    </w:p>
    <w:p>
      <w:pPr>
        <w:spacing w:after="0" w:before="0" w:line="480"/>
        <w:ind w:firstLine="720"/>
        <w:jc w:val="left"/>
      </w:pPr>
      <w:r>
        <w:rPr>
          <w:rFonts w:ascii="Times New Roman" w:cs="Times New Roman" w:eastAsia="Times New Roman" w:hAnsi="Times New Roman"/>
        </w:rPr>
        <w:t xml:space="preserve">Entre os grupos que demandam atenção diferenciada está a população em situação de rua (PSR), definida como grupo heterogêneo que tem em comum a pobreza extrema, os vínculos familiares interrompidos ou fragilizados e a inexistência de moradia convencional regular (Brasil, 2009). O país não dispõe de contagem censitária dessa população; a estimativa do Instituto de Pesquisa Econômica Aplicada foi de 281.472 pessoas em 2022, com aumento de 38% desde 2019 e de 211% desde 2012 (Natalino, 2023).</w:t>
      </w:r>
    </w:p>
    <w:p>
      <w:pPr>
        <w:spacing w:after="0" w:before="0" w:line="480"/>
        <w:ind w:firstLine="720"/>
        <w:jc w:val="left"/>
      </w:pPr>
      <w:r>
        <w:rPr>
          <w:rFonts w:ascii="Times New Roman" w:cs="Times New Roman" w:eastAsia="Times New Roman" w:hAnsi="Times New Roman"/>
        </w:rPr>
        <w:t xml:space="preserve">O perfil de adoecimento dessa população é mais grave que o da população domiciliada, com maior mortalidade prematura, mais doenças infecciosas, mais transtornos mentais e maior uso problemático de substâncias (Fazel et al., 2014). No Brasil, os indicadores de controle da tuberculose na PSR apresentam desempenho insuficiente, com alta proporção de abandono e óbito e grande variação entre estados (Pavinati et al., 2023). Essas condições interferem na procura por atendimento, na adesão ao tratamento e na continuidade do cuidado após a alta hospitalar.</w:t>
      </w:r>
    </w:p>
    <w:p>
      <w:pPr>
        <w:spacing w:after="0" w:before="0" w:line="480"/>
        <w:ind w:firstLine="720"/>
        <w:jc w:val="left"/>
      </w:pPr>
      <w:r>
        <w:rPr>
          <w:rFonts w:ascii="Times New Roman" w:cs="Times New Roman" w:eastAsia="Times New Roman" w:hAnsi="Times New Roman"/>
        </w:rPr>
        <w:t xml:space="preserve">O Decreto nº 7.053/2009 adota, além da igualdade e da equidade, os princípios da dignidade da pessoa humana e do atendimento humanizado e universalizado (Brasil, 2009). Em 2023, o Supremo Tribunal Federal determinou que estados, Distrito Federal e municípios observem as diretrizes desse decreto independentemente de adesão formal (Supremo Tribunal Federal, 2023), e o governo federal lançou o Plano Ruas Visíveis, que inclui a saúde entre seus eixos (Ministério dos Direitos Humanos e da Cidadania, 2023). Esse marco pressupõe superar o modelo biomédico estrito e adotar uma compreensão ampliada do processo saúde-doença, na qual moradia, vínculos, renda e trajetória de vida interferem no acesso e na continuidade do cuidado.</w:t>
      </w:r>
    </w:p>
    <w:p>
      <w:pPr>
        <w:spacing w:after="0" w:before="0" w:line="480"/>
        <w:ind w:firstLine="720"/>
        <w:jc w:val="left"/>
      </w:pPr>
      <w:r>
        <w:rPr>
          <w:rFonts w:ascii="Times New Roman" w:cs="Times New Roman" w:eastAsia="Times New Roman" w:hAnsi="Times New Roman"/>
        </w:rPr>
        <w:t xml:space="preserve">No hospital, esse cuidado ocorre sob pressão por leitos. A Política Nacional de Atenção Hospitalar atribui ao Núcleo Interno de Regulação (NIR) a gestão do acesso aos leitos e prevê a alta hospitalar responsável como mecanismo de continuidade do cuidado (Ministério da Saúde, 2013b, 2017). A gestão eficiente dos leitos é necessária, mas não pode ser medida apenas pela redução do tempo de permanência: precisa incluir a segurança da alta e as condições de continuidade do tratamento. A assistência adequada à PSR, por sua vez, não concorre com o direito dos demais usuários e não dispensa o poder público de ampliar a capacidade instalada; integra o compromisso do SUS com a universalidade, a integralidade e a equidade.</w:t>
      </w:r>
    </w:p>
    <w:p>
      <w:pPr>
        <w:spacing w:after="0" w:before="0" w:line="480"/>
        <w:ind w:firstLine="720"/>
        <w:jc w:val="left"/>
      </w:pPr>
      <w:r>
        <w:rPr>
          <w:rFonts w:ascii="Times New Roman" w:cs="Times New Roman" w:eastAsia="Times New Roman" w:hAnsi="Times New Roman"/>
        </w:rPr>
        <w:t xml:space="preserve">Diante desse cenário, este projeto propõe analisar os desafios éticos, assistenciais e organizacionais da gestão hospitalar no atendimento à PSR, com ênfase na gestão de leitos, no planejamento da alta e na articulação intersetorial necessária à continuidade da assistência.</w:t>
      </w:r>
    </w:p>
    <w:p>
      <w:pPr>
        <w:keepNext/>
        <w:spacing w:after="0" w:before="0" w:line="480"/>
        <w:jc w:val="left"/>
      </w:pPr>
      <w:r>
        <w:rPr>
          <w:rFonts w:ascii="Times New Roman" w:cs="Times New Roman" w:eastAsia="Times New Roman" w:hAnsi="Times New Roman"/>
          <w:b/>
          <w:bCs/>
        </w:rPr>
        <w:t xml:space="preserve">Justificativa</w:t>
      </w:r>
    </w:p>
    <w:p>
      <w:pPr>
        <w:spacing w:after="0" w:before="0" w:line="480"/>
        <w:ind w:firstLine="720"/>
        <w:jc w:val="left"/>
      </w:pPr>
      <w:r>
        <w:rPr>
          <w:rFonts w:ascii="Times New Roman" w:cs="Times New Roman" w:eastAsia="Times New Roman" w:hAnsi="Times New Roman"/>
        </w:rPr>
        <w:t xml:space="preserve">O tema é relevante porque a PSR cresceu de forma expressiva na última década (Natalino, 2023) e porque o hospital é, frequentemente, a porta de entrada dessa população no sistema de saúde. A forma como a alta é conduzida define se a internação resulta em continuidade do cuidado ou em retorno à rua sem condições de recuperação.</w:t>
      </w:r>
    </w:p>
    <w:p>
      <w:pPr>
        <w:spacing w:after="0" w:before="0" w:line="480"/>
        <w:ind w:firstLine="720"/>
        <w:jc w:val="left"/>
      </w:pPr>
      <w:r>
        <w:rPr>
          <w:rFonts w:ascii="Times New Roman" w:cs="Times New Roman" w:eastAsia="Times New Roman" w:hAnsi="Times New Roman"/>
        </w:rPr>
        <w:t xml:space="preserve">Há lacunas na literatura. Estudos internacionais documentam, nessa população, mais dias de internação sem necessidade de cuidado agudo (Hwang et al., 2011), reinternação de emergência 2,49 vezes maior que a de pacientes domiciliados pareados (Lewer et al., 2021), 27% de reinternação em 30 dias (Racine et al., 2020) e alta frequência de saída antes da alta entre pessoas que usam drogas (Ti &amp; Ti, 2015). Documentam também que programas de cuidados intermediários pós-alta reduzem reinternações e dias de internação (Bring et al., 2020; Doran et al., 2013). No Brasil, a produção concentra-se na Atenção Primária e nos Consultórios na Rua (Hallais &amp; Barros, 2015; Paiva et al., 2016); em levantamento preliminar para este projeto, não foram localizados estudos brasileiros revisados por pares sobre a alta hospitalar dessa população.</w:t>
      </w:r>
    </w:p>
    <w:p>
      <w:pPr>
        <w:spacing w:after="0" w:before="0" w:line="480"/>
        <w:ind w:firstLine="720"/>
        <w:jc w:val="left"/>
      </w:pPr>
      <w:r>
        <w:rPr>
          <w:rFonts w:ascii="Times New Roman" w:cs="Times New Roman" w:eastAsia="Times New Roman" w:hAnsi="Times New Roman"/>
        </w:rPr>
        <w:t xml:space="preserve">A pesquisa pretende contribuir para a área ao sistematizar esse conhecimento à luz do marco normativo brasileiro e ao propor estratégias e indicadores de gestão aplicáveis aos hospitais do SUS. Os resultados poderão subsidiar gestores hospitalares, equipes multiprofissionais e gestores municipais na pactuação de fluxos de alta, além de apoiar o cumprimento das diretrizes reafirmadas pelo Supremo Tribunal Federal (2023). Os principais beneficiários são as pessoas em situação de rua, que dependem de uma transição de cuidado segura, e os próprios hospitais, que tendem a reduzir permanências sem indicação clínica e reinternações evitáveis.</w:t>
      </w:r>
    </w:p>
    <w:p>
      <w:pPr>
        <w:keepNext/>
        <w:spacing w:after="0" w:before="0" w:line="480"/>
        <w:jc w:val="center"/>
      </w:pPr>
      <w:r>
        <w:rPr>
          <w:rFonts w:ascii="Times New Roman" w:cs="Times New Roman" w:eastAsia="Times New Roman" w:hAnsi="Times New Roman"/>
          <w:b/>
          <w:bCs/>
        </w:rPr>
        <w:t xml:space="preserve">Problematização e Problema de Pesquisa</w:t>
      </w:r>
    </w:p>
    <w:p>
      <w:pPr>
        <w:spacing w:after="0" w:before="0" w:line="480"/>
        <w:ind w:firstLine="720"/>
        <w:jc w:val="left"/>
      </w:pPr>
      <w:r>
        <w:rPr>
          <w:rFonts w:ascii="Times New Roman" w:cs="Times New Roman" w:eastAsia="Times New Roman" w:hAnsi="Times New Roman"/>
        </w:rPr>
        <w:t xml:space="preserve">A gestão hospitalar precisa conciliar disponibilidade de leitos, rotatividade, segurança do paciente e qualidade do cuidado. Critérios de alta uniformes, aplicados a pacientes com condições sociais distintas, tendem a produzir resultados desiguais. Quem tem casa, cuidador e renda consegue repousar, guardar medicamentos e retornar ao ambulatório; quem está na rua enfrenta falta de abrigo, de alimentação regular e de lugar para guardar medicamentos, além da exposição ao clima (Ministério da Saúde, 2012).</w:t>
      </w:r>
    </w:p>
    <w:p>
      <w:pPr>
        <w:spacing w:after="0" w:before="0" w:line="480"/>
        <w:ind w:firstLine="720"/>
        <w:jc w:val="left"/>
      </w:pPr>
      <w:r>
        <w:rPr>
          <w:rFonts w:ascii="Times New Roman" w:cs="Times New Roman" w:eastAsia="Times New Roman" w:hAnsi="Times New Roman"/>
        </w:rPr>
        <w:t xml:space="preserve">Essas diferenças não justificam, por si sós, o prolongamento da internação, mas exigem avaliar o risco da transição e construir alternativas compatíveis com a situação de cada pessoa. O problema se manifesta de três formas. Na primeira, o paciente recebe alta clínica e retorna à rua sem plano viável, o que eleva o risco de reinternação (Lewer et al., 2021; Racine et al., 2020). Na segunda, permanece internado por falta de retaguarda, ocupando um leito agudo sem necessidade clínica (Hwang et al., 2011). Na terceira, deixa o hospital antes do fim do tratamento, por alta a pedido ou evasão (Ti &amp; Ti, 2015).</w:t>
      </w:r>
    </w:p>
    <w:p>
      <w:pPr>
        <w:spacing w:after="0" w:before="0" w:line="480"/>
        <w:ind w:firstLine="720"/>
        <w:jc w:val="left"/>
      </w:pPr>
      <w:r>
        <w:rPr>
          <w:rFonts w:ascii="Times New Roman" w:cs="Times New Roman" w:eastAsia="Times New Roman" w:hAnsi="Times New Roman"/>
        </w:rPr>
        <w:t xml:space="preserve">As três situações têm a mesma raiz: a ausência de uma transição de cuidado planejada desde a admissão. Trata-se de um problema institucional e intersetorial, e não apenas do profissional que concede a alta, pois envolve fluxos internos, profissionais de referência e comunicação com a rede territorial (Ministério da Saúde, 2013b). Encontrar respostas para essa questão é importante porque dela dependem, ao mesmo tempo, a segurança do paciente, o uso responsável dos leitos e a efetividade dos princípios do SUS.</w:t>
      </w:r>
    </w:p>
    <w:p>
      <w:pPr>
        <w:spacing w:after="0" w:before="0" w:line="480"/>
        <w:ind w:firstLine="720"/>
        <w:jc w:val="left"/>
      </w:pPr>
      <w:r>
        <w:rPr>
          <w:rFonts w:ascii="Times New Roman" w:cs="Times New Roman" w:eastAsia="Times New Roman" w:hAnsi="Times New Roman"/>
        </w:rPr>
        <w:t xml:space="preserve">Assim, surge a questão: como a gestão hospitalar e as equipes multiprofissionais podem organizar um cuidado humanizado, ético e equitativo à população em situação de rua, conciliando a gestão de leitos com as necessidades clínicas e sociais que dificultam a alta segura e a continuidade do tratamento?</w:t>
      </w:r>
    </w:p>
    <w:p>
      <w:pPr>
        <w:spacing w:after="0" w:before="0" w:line="480"/>
        <w:ind w:firstLine="720"/>
        <w:jc w:val="left"/>
      </w:pPr>
      <w:r>
        <w:rPr>
          <w:rFonts w:ascii="Times New Roman" w:cs="Times New Roman" w:eastAsia="Times New Roman" w:hAnsi="Times New Roman"/>
        </w:rPr>
        <w:t xml:space="preserve">Dessa questão derivam perguntas complementares:</w:t>
      </w:r>
    </w:p>
    <w:p>
      <w:pPr>
        <w:pStyle w:val="ListParagraph"/>
        <w:numPr>
          <w:ilvl w:val="0"/>
          <w:numId w:val="2"/>
        </w:numPr>
        <w:spacing w:after="0" w:before="0" w:line="480"/>
        <w:jc w:val="left"/>
      </w:pPr>
      <w:r>
        <w:rPr>
          <w:rFonts w:ascii="Times New Roman" w:cs="Times New Roman" w:eastAsia="Times New Roman" w:hAnsi="Times New Roman"/>
        </w:rPr>
        <w:t xml:space="preserve">Quais desafios éticos e organizacionais os hospitais enfrentam no atendimento à PSR?</w:t>
      </w:r>
    </w:p>
    <w:p>
      <w:pPr>
        <w:pStyle w:val="ListParagraph"/>
        <w:numPr>
          <w:ilvl w:val="0"/>
          <w:numId w:val="2"/>
        </w:numPr>
        <w:spacing w:after="0" w:before="0" w:line="480"/>
        <w:jc w:val="left"/>
      </w:pPr>
      <w:r>
        <w:rPr>
          <w:rFonts w:ascii="Times New Roman" w:cs="Times New Roman" w:eastAsia="Times New Roman" w:hAnsi="Times New Roman"/>
        </w:rPr>
        <w:t xml:space="preserve">Como a ausência de moradia e de rede de apoio interfere no planejamento da alta e na continuidade do cuidado?</w:t>
      </w:r>
    </w:p>
    <w:p>
      <w:pPr>
        <w:pStyle w:val="ListParagraph"/>
        <w:numPr>
          <w:ilvl w:val="0"/>
          <w:numId w:val="2"/>
        </w:numPr>
        <w:spacing w:after="0" w:before="0" w:line="480"/>
        <w:jc w:val="left"/>
      </w:pPr>
      <w:r>
        <w:rPr>
          <w:rFonts w:ascii="Times New Roman" w:cs="Times New Roman" w:eastAsia="Times New Roman" w:hAnsi="Times New Roman"/>
        </w:rPr>
        <w:t xml:space="preserve">Quais estratégias de gestão articulam o hospital à Atenção Primária, aos Consultórios na Rua e à assistência social?</w:t>
      </w:r>
    </w:p>
    <w:p>
      <w:pPr>
        <w:pStyle w:val="ListParagraph"/>
        <w:numPr>
          <w:ilvl w:val="0"/>
          <w:numId w:val="2"/>
        </w:numPr>
        <w:spacing w:after="0" w:before="0" w:line="480"/>
        <w:jc w:val="left"/>
      </w:pPr>
      <w:r>
        <w:rPr>
          <w:rFonts w:ascii="Times New Roman" w:cs="Times New Roman" w:eastAsia="Times New Roman" w:hAnsi="Times New Roman"/>
        </w:rPr>
        <w:t xml:space="preserve">Como a atuação multiprofissional pode reduzir barreiras de acesso, práticas discriminatórias e descontinuidade assistencial?</w:t>
      </w:r>
    </w:p>
    <w:p>
      <w:pPr>
        <w:pStyle w:val="ListParagraph"/>
        <w:numPr>
          <w:ilvl w:val="0"/>
          <w:numId w:val="2"/>
        </w:numPr>
        <w:spacing w:after="0" w:before="0" w:line="480"/>
        <w:jc w:val="left"/>
      </w:pPr>
      <w:r>
        <w:rPr>
          <w:rFonts w:ascii="Times New Roman" w:cs="Times New Roman" w:eastAsia="Times New Roman" w:hAnsi="Times New Roman"/>
        </w:rPr>
        <w:t xml:space="preserve">Que alternativas existem quando já não há indicação clínica de internação e a rede não oferece retaguarda?</w:t>
      </w:r>
    </w:p>
    <w:p>
      <w:pPr>
        <w:keepNext/>
        <w:spacing w:after="0" w:before="0" w:line="480"/>
        <w:jc w:val="center"/>
      </w:pPr>
      <w:r>
        <w:rPr>
          <w:rFonts w:ascii="Times New Roman" w:cs="Times New Roman" w:eastAsia="Times New Roman" w:hAnsi="Times New Roman"/>
          <w:b/>
          <w:bCs/>
        </w:rPr>
        <w:t xml:space="preserve">Objetivos</w:t>
      </w:r>
    </w:p>
    <w:p>
      <w:pPr>
        <w:keepNext/>
        <w:spacing w:after="0" w:before="0" w:line="480"/>
        <w:jc w:val="left"/>
      </w:pPr>
      <w:r>
        <w:rPr>
          <w:rFonts w:ascii="Times New Roman" w:cs="Times New Roman" w:eastAsia="Times New Roman" w:hAnsi="Times New Roman"/>
          <w:b/>
          <w:bCs/>
        </w:rPr>
        <w:t xml:space="preserve">Objetivo Geral</w:t>
      </w:r>
    </w:p>
    <w:p>
      <w:pPr>
        <w:spacing w:after="0" w:before="0" w:line="480"/>
        <w:ind w:firstLine="720"/>
        <w:jc w:val="left"/>
      </w:pPr>
      <w:r>
        <w:rPr>
          <w:rFonts w:ascii="Times New Roman" w:cs="Times New Roman" w:eastAsia="Times New Roman" w:hAnsi="Times New Roman"/>
        </w:rPr>
        <w:t xml:space="preserve">Analisar os desafios éticos, assistenciais e organizacionais da gestão hospitalar no atendimento à população em situação de rua, com ênfase na humanização do cuidado, na gestão de leitos, no planejamento da alta hospitalar e na articulação intersetorial necessária à continuidade da assistência.</w:t>
      </w:r>
    </w:p>
    <w:p>
      <w:pPr>
        <w:keepNext/>
        <w:spacing w:after="0" w:before="0" w:line="480"/>
        <w:jc w:val="left"/>
      </w:pPr>
      <w:r>
        <w:rPr>
          <w:rFonts w:ascii="Times New Roman" w:cs="Times New Roman" w:eastAsia="Times New Roman" w:hAnsi="Times New Roman"/>
          <w:b/>
          <w:bCs/>
        </w:rPr>
        <w:t xml:space="preserve">Objetivos Específicos</w:t>
      </w:r>
    </w:p>
    <w:p>
      <w:pPr>
        <w:pStyle w:val="ListParagraph"/>
        <w:numPr>
          <w:ilvl w:val="0"/>
          <w:numId w:val="2"/>
        </w:numPr>
        <w:spacing w:after="0" w:before="0" w:line="480"/>
        <w:jc w:val="left"/>
      </w:pPr>
      <w:r>
        <w:rPr>
          <w:rFonts w:ascii="Times New Roman" w:cs="Times New Roman" w:eastAsia="Times New Roman" w:hAnsi="Times New Roman"/>
        </w:rPr>
        <w:t xml:space="preserve">Descrever as particularidades clínicas e sociais que interferem no tratamento e na recuperação hospitalar das pessoas em situação de rua.</w:t>
      </w:r>
    </w:p>
    <w:p>
      <w:pPr>
        <w:pStyle w:val="ListParagraph"/>
        <w:numPr>
          <w:ilvl w:val="0"/>
          <w:numId w:val="2"/>
        </w:numPr>
        <w:spacing w:after="0" w:before="0" w:line="480"/>
        <w:jc w:val="left"/>
      </w:pPr>
      <w:r>
        <w:rPr>
          <w:rFonts w:ascii="Times New Roman" w:cs="Times New Roman" w:eastAsia="Times New Roman" w:hAnsi="Times New Roman"/>
        </w:rPr>
        <w:t xml:space="preserve">Discutir a relação entre humanização, ética, equidade e organização do cuidado no contexto hospitalar.</w:t>
      </w:r>
    </w:p>
    <w:p>
      <w:pPr>
        <w:pStyle w:val="ListParagraph"/>
        <w:numPr>
          <w:ilvl w:val="0"/>
          <w:numId w:val="2"/>
        </w:numPr>
        <w:spacing w:after="0" w:before="0" w:line="480"/>
        <w:jc w:val="left"/>
      </w:pPr>
      <w:r>
        <w:rPr>
          <w:rFonts w:ascii="Times New Roman" w:cs="Times New Roman" w:eastAsia="Times New Roman" w:hAnsi="Times New Roman"/>
        </w:rPr>
        <w:t xml:space="preserve">Identificar os desafios dos gestores na conciliação entre a disponibilidade de leitos e as necessidades individuais dos pacientes em situação de vulnerabilidade social.</w:t>
      </w:r>
    </w:p>
    <w:p>
      <w:pPr>
        <w:pStyle w:val="ListParagraph"/>
        <w:numPr>
          <w:ilvl w:val="0"/>
          <w:numId w:val="2"/>
        </w:numPr>
        <w:spacing w:after="0" w:before="0" w:line="480"/>
        <w:jc w:val="left"/>
      </w:pPr>
      <w:r>
        <w:rPr>
          <w:rFonts w:ascii="Times New Roman" w:cs="Times New Roman" w:eastAsia="Times New Roman" w:hAnsi="Times New Roman"/>
        </w:rPr>
        <w:t xml:space="preserve">Examinar a contribuição das equipes multiprofissionais para a avaliação das necessidades clínicas e sociais, o planejamento da alta e a prevenção da descontinuidade assistencial.</w:t>
      </w:r>
    </w:p>
    <w:p>
      <w:pPr>
        <w:pStyle w:val="ListParagraph"/>
        <w:numPr>
          <w:ilvl w:val="0"/>
          <w:numId w:val="2"/>
        </w:numPr>
        <w:spacing w:after="0" w:before="0" w:line="480"/>
        <w:jc w:val="left"/>
      </w:pPr>
      <w:r>
        <w:rPr>
          <w:rFonts w:ascii="Times New Roman" w:cs="Times New Roman" w:eastAsia="Times New Roman" w:hAnsi="Times New Roman"/>
        </w:rPr>
        <w:t xml:space="preserve">Analisar a articulação entre o hospital, a Atenção Primária à Saúde, os Consultórios na Rua, os serviços de saúde mental e a rede de assistência social.</w:t>
      </w:r>
    </w:p>
    <w:p>
      <w:pPr>
        <w:pStyle w:val="ListParagraph"/>
        <w:numPr>
          <w:ilvl w:val="0"/>
          <w:numId w:val="2"/>
        </w:numPr>
        <w:spacing w:after="0" w:before="0" w:line="480"/>
        <w:jc w:val="left"/>
      </w:pPr>
      <w:r>
        <w:rPr>
          <w:rFonts w:ascii="Times New Roman" w:cs="Times New Roman" w:eastAsia="Times New Roman" w:hAnsi="Times New Roman"/>
        </w:rPr>
        <w:t xml:space="preserve">Propor estratégias institucionais e indicadores de gestão que contribuam para uma assistência humanizada, segura, integral e livre de discriminação.</w:t>
      </w:r>
    </w:p>
    <w:p>
      <w:pPr>
        <w:keepNext/>
        <w:spacing w:after="0" w:before="0" w:line="480"/>
        <w:jc w:val="center"/>
      </w:pPr>
      <w:r>
        <w:rPr>
          <w:rFonts w:ascii="Times New Roman" w:cs="Times New Roman" w:eastAsia="Times New Roman" w:hAnsi="Times New Roman"/>
          <w:b/>
          <w:bCs/>
        </w:rPr>
        <w:t xml:space="preserve">Metodologia</w:t>
      </w:r>
    </w:p>
    <w:p>
      <w:pPr>
        <w:spacing w:after="0" w:before="0" w:line="480"/>
        <w:ind w:firstLine="720"/>
        <w:jc w:val="left"/>
      </w:pPr>
      <w:r>
        <w:rPr>
          <w:rFonts w:ascii="Times New Roman" w:cs="Times New Roman" w:eastAsia="Times New Roman" w:hAnsi="Times New Roman"/>
        </w:rPr>
        <w:t xml:space="preserve">Esta pesquisa adotará abordagem qualitativa, de caráter exploratório e descritivo, por buscar maior familiaridade com um problema ainda pouco estudado no Brasil e descrever suas características (Gil, 2017). Quanto aos procedimentos técnicos, será uma pesquisa bibliográfica e documental (Gil, 2017), desenvolvida como revisão narrativa da literatura. A revisão narrativa foi escolhida por permitir discutir um tema amplo, que envolve normas, organização de serviços e ética, em que a evidência é heterogênea e pouco comparável (Rother, 2007).</w:t>
      </w:r>
    </w:p>
    <w:p>
      <w:pPr>
        <w:spacing w:after="0" w:before="0" w:line="480"/>
        <w:ind w:firstLine="720"/>
        <w:jc w:val="left"/>
      </w:pPr>
      <w:r>
        <w:rPr>
          <w:rFonts w:ascii="Times New Roman" w:cs="Times New Roman" w:eastAsia="Times New Roman" w:hAnsi="Times New Roman"/>
        </w:rPr>
        <w:t xml:space="preserve">A coleta de dados será realizada por levantamento bibliográfico na Biblioteca Virtual em Saúde (BVS/LILACS), na Scientific Electronic Library Online (SciELO), na PubMed/MEDLINE e no Portal de Periódicos da CAPES, e por análise documental de normas e documentos oficiais da Presidência da República, do Ministério da Saúde, do Ministério dos Direitos Humanos e da Cidadania, do Supremo Tribunal Federal e do Instituto de Pesquisa Econômica Aplicada. A PubMed será incluída porque a evidência sobre alta hospitalar dessa população é predominantemente internacional. As estratégias de busca, construídas com descritores do DeCS e do MeSH, constam da Tabela 1.</w:t>
      </w:r>
    </w:p>
    <w:p>
      <w:pPr>
        <w:keepNext/>
        <w:spacing w:after="0" w:before="240" w:line="480"/>
      </w:pPr>
      <w:r>
        <w:rPr>
          <w:rFonts w:ascii="Times New Roman" w:cs="Times New Roman" w:eastAsia="Times New Roman" w:hAnsi="Times New Roman"/>
          <w:b/>
          <w:bCs/>
        </w:rPr>
        <w:t xml:space="preserve">Tabela 1</w:t>
      </w:r>
    </w:p>
    <w:p>
      <w:pPr>
        <w:keepNext/>
        <w:spacing w:after="0" w:line="480"/>
      </w:pPr>
      <w:r>
        <w:rPr>
          <w:rFonts w:ascii="Times New Roman" w:cs="Times New Roman" w:eastAsia="Times New Roman" w:hAnsi="Times New Roman"/>
          <w:i/>
          <w:iCs/>
        </w:rPr>
        <w:t xml:space="preserve">Estratégias de Busca por Base de Dados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6900"/>
      </w:tblGrid>
      <w:tr>
        <w:trPr>
          <w:tblHeader/>
        </w:trPr>
        <w:tc>
          <w:tcPr>
            <w:tcW w:type="dxa" w:w="2126"/>
            <w:tcBorders>
              <w:top w:val="single" w:color="000000" w:sz="4"/>
              <w:left w:val="none" w:color="FFFFFF" w:sz="0"/>
              <w:bottom w:val="single" w:color="000000" w:sz="4"/>
              <w:right w:val="none" w:color="FFFFFF" w:sz="0"/>
            </w:tcBorders>
            <w:tcMar>
              <w:top w:type="dxa" w:w="60"/>
              <w:left w:type="dxa" w:w="80"/>
              <w:bottom w:type="dxa" w:w="60"/>
              <w:right w:type="dxa" w:w="80"/>
            </w:tcMar>
          </w:tcPr>
          <w:p>
            <w:pPr>
              <w:spacing w:after="0" w:line="240"/>
            </w:pPr>
            <w:r>
              <w:rPr>
                <w:rFonts w:ascii="Times New Roman" w:cs="Times New Roman" w:eastAsia="Times New Roman" w:hAnsi="Times New Roman"/>
                <w:b/>
                <w:bCs/>
                <w:sz w:val="22"/>
                <w:szCs w:val="22"/>
              </w:rPr>
              <w:t xml:space="preserve">Base</w:t>
            </w:r>
          </w:p>
        </w:tc>
        <w:tc>
          <w:tcPr>
            <w:tcW w:type="dxa" w:w="6900"/>
            <w:tcBorders>
              <w:top w:val="single" w:color="000000" w:sz="4"/>
              <w:left w:val="none" w:color="FFFFFF" w:sz="0"/>
              <w:bottom w:val="single" w:color="000000" w:sz="4"/>
              <w:right w:val="none" w:color="FFFFFF" w:sz="0"/>
            </w:tcBorders>
            <w:tcMar>
              <w:top w:type="dxa" w:w="60"/>
              <w:left w:type="dxa" w:w="80"/>
              <w:bottom w:type="dxa" w:w="60"/>
              <w:right w:type="dxa" w:w="80"/>
            </w:tcMar>
          </w:tcPr>
          <w:p>
            <w:pPr>
              <w:spacing w:after="0" w:line="240"/>
            </w:pPr>
            <w:r>
              <w:rPr>
                <w:rFonts w:ascii="Times New Roman" w:cs="Times New Roman" w:eastAsia="Times New Roman" w:hAnsi="Times New Roman"/>
                <w:b/>
                <w:bCs/>
                <w:sz w:val="22"/>
                <w:szCs w:val="22"/>
              </w:rPr>
              <w:t xml:space="preserve">Estratégia de busca</w:t>
            </w:r>
          </w:p>
        </w:tc>
      </w:tr>
      <w:tr>
        <w:trPr>
          <w:cantSplit/>
        </w:trPr>
        <w:tc>
          <w:tcPr>
            <w:tcW w:type="dxa" w:w="2126"/>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pPr>
            <w:r>
              <w:rPr>
                <w:rFonts w:ascii="Times New Roman" w:cs="Times New Roman" w:eastAsia="Times New Roman" w:hAnsi="Times New Roman"/>
                <w:sz w:val="22"/>
                <w:szCs w:val="22"/>
              </w:rPr>
              <w:t xml:space="preserve">BVS/LILACS e SciELO</w:t>
            </w:r>
          </w:p>
        </w:tc>
        <w:tc>
          <w:tcPr>
            <w:tcW w:type="dxa" w:w="6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pPr>
            <w:r>
              <w:rPr>
                <w:rFonts w:ascii="Times New Roman" w:cs="Times New Roman" w:eastAsia="Times New Roman" w:hAnsi="Times New Roman"/>
                <w:sz w:val="22"/>
                <w:szCs w:val="22"/>
              </w:rPr>
              <w:t xml:space="preserve">("pessoas em situação de rua" OR "população em situação de rua") AND ("alta do paciente" OR "alta hospitalar" OR hospital* OR "continuidade da assistência ao paciente" OR "humanização da assistência")</w:t>
            </w:r>
          </w:p>
        </w:tc>
      </w:tr>
      <w:tr>
        <w:trPr>
          <w:cantSplit/>
        </w:trPr>
        <w:tc>
          <w:tcPr>
            <w:tcW w:type="dxa" w:w="2126"/>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0" w:line="240"/>
            </w:pPr>
            <w:r>
              <w:rPr>
                <w:rFonts w:ascii="Times New Roman" w:cs="Times New Roman" w:eastAsia="Times New Roman" w:hAnsi="Times New Roman"/>
                <w:sz w:val="22"/>
                <w:szCs w:val="22"/>
              </w:rPr>
              <w:t xml:space="preserve">PubMed</w:t>
            </w:r>
          </w:p>
        </w:tc>
        <w:tc>
          <w:tcPr>
            <w:tcW w:type="dxa" w:w="69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0" w:line="240"/>
            </w:pPr>
            <w:r>
              <w:rPr>
                <w:rFonts w:ascii="Times New Roman" w:cs="Times New Roman" w:eastAsia="Times New Roman" w:hAnsi="Times New Roman"/>
                <w:sz w:val="22"/>
                <w:szCs w:val="22"/>
              </w:rPr>
              <w:t xml:space="preserve">("Ill-Housed Persons"[MeSH] OR homeless*[tiab]) AND ("Patient Discharge"[MeSH] OR "Patient Readmission"[MeSH] OR "length of stay"[tiab] OR "medical respite"[tiab] OR "against medical advice"[tiab])</w:t>
            </w:r>
          </w:p>
        </w:tc>
      </w:tr>
    </w:tbl>
    <w:p>
      <w:pPr>
        <w:spacing w:after="240" w:before="120" w:line="480"/>
      </w:pPr>
      <w:r>
        <w:rPr>
          <w:rFonts w:ascii="Times New Roman" w:cs="Times New Roman" w:eastAsia="Times New Roman" w:hAnsi="Times New Roman"/>
          <w:i/>
          <w:iCs/>
        </w:rPr>
        <w:t xml:space="preserve">Nota.</w:t>
      </w:r>
      <w:r>
        <w:rPr>
          <w:rFonts w:ascii="Times New Roman" w:cs="Times New Roman" w:eastAsia="Times New Roman" w:hAnsi="Times New Roman"/>
        </w:rPr>
        <w:t xml:space="preserve"> Elaboração própria, com base nos vocabulários DeCS e MeSH.</w:t>
      </w:r>
    </w:p>
    <w:p>
      <w:pPr>
        <w:spacing w:after="0" w:before="0" w:line="480"/>
        <w:ind w:firstLine="720"/>
        <w:jc w:val="left"/>
      </w:pPr>
      <w:r>
        <w:rPr>
          <w:rFonts w:ascii="Times New Roman" w:cs="Times New Roman" w:eastAsia="Times New Roman" w:hAnsi="Times New Roman"/>
        </w:rPr>
        <w:t xml:space="preserve">Serão incluídos estudos revisados por pares, em português, inglês ou espanhol, publicados entre 2009 e 2026, que tratem de internação, alta, reinternação, continuidade do cuidado ou acesso da PSR aos serviços de saúde; o marco inicial corresponde à publicação do Decreto nº 7.053/2009. Revisões sistemáticas e textos teóricos clássicos poderão ser incluídos sem recorte temporal, assim como normas federais vigentes e decisões judiciais com efeito sobre o cuidado a essa população. Serão excluídos textos sem relação direta com o problema, sem autoria ou procedência identificável, resumos de eventos e matérias jornalísticas.</w:t>
      </w:r>
    </w:p>
    <w:p>
      <w:pPr>
        <w:spacing w:after="0" w:before="0" w:line="480"/>
        <w:ind w:firstLine="720"/>
        <w:jc w:val="left"/>
      </w:pPr>
      <w:r>
        <w:rPr>
          <w:rFonts w:ascii="Times New Roman" w:cs="Times New Roman" w:eastAsia="Times New Roman" w:hAnsi="Times New Roman"/>
        </w:rPr>
        <w:t xml:space="preserve">Os dados serão analisados por meio da análise de conteúdo temática, nas fases de pré-análise, exploração do material e tratamento, inferência e interpretação dos resultados (Bardin, 2016). O material será organizado em quatro eixos: (a) humanização, ética e equidade; (b) vulnerabilidade social e necessidades de cuidado; (c) gestão de leitos e alta segura; e (d) atuação multiprofissional e articulação intersetorial. A evidência internacional será interpretada com cautela, pois provém de países de alta renda, com redes de proteção e financiamento diferentes dos do SUS. Espera-se, com essa abordagem, compreender os fatores que dificultam a alta segura da PSR e propor estratégias e indicadores para a gestão hospitalar.</w:t>
      </w:r>
    </w:p>
    <w:p>
      <w:pPr>
        <w:spacing w:after="0" w:before="0" w:line="480"/>
        <w:ind w:firstLine="720"/>
        <w:jc w:val="left"/>
      </w:pPr>
      <w:r>
        <w:rPr>
          <w:rFonts w:ascii="Times New Roman" w:cs="Times New Roman" w:eastAsia="Times New Roman" w:hAnsi="Times New Roman"/>
        </w:rPr>
        <w:t xml:space="preserve">Por utilizar apenas fontes de acesso público e não envolver seres humanos, a pesquisa dispensa apreciação por Comitê de Ética em Pesquisa (Conselho Nacional de Saúde, 2016, art. 1º, parágrafo único, inciso VI). Reconhece-se como limitação a escassez de produção brasileira sobre o tema, o que poderá exigir o uso de estudos mais amplos sobre continuidade do cuidado, desde que sua pertinência seja explicitada na análise.</w:t>
      </w:r>
    </w:p>
    <w:p>
      <w:pPr>
        <w:keepNext/>
        <w:spacing w:after="0" w:before="0" w:line="480"/>
        <w:jc w:val="center"/>
      </w:pPr>
      <w:r>
        <w:rPr>
          <w:rFonts w:ascii="Times New Roman" w:cs="Times New Roman" w:eastAsia="Times New Roman" w:hAnsi="Times New Roman"/>
          <w:b/>
          <w:bCs/>
        </w:rPr>
        <w:t xml:space="preserve">Referencial Teórico Comentado</w:t>
      </w:r>
    </w:p>
    <w:p>
      <w:pPr>
        <w:spacing w:after="0" w:before="0" w:line="480"/>
        <w:ind w:firstLine="720"/>
        <w:jc w:val="left"/>
      </w:pPr>
      <w:r>
        <w:rPr>
          <w:rFonts w:ascii="Times New Roman" w:cs="Times New Roman" w:eastAsia="Times New Roman" w:hAnsi="Times New Roman"/>
        </w:rPr>
        <w:t xml:space="preserve">As obras a seguir compõem a bibliografia do artigo e estão organizadas pelos quatro eixos de análise definidos na metodologia, seguidas das referências metodológicas.</w:t>
      </w:r>
    </w:p>
    <w:p>
      <w:pPr>
        <w:keepNext/>
        <w:spacing w:after="0" w:before="0" w:line="480"/>
        <w:jc w:val="left"/>
      </w:pPr>
      <w:r>
        <w:rPr>
          <w:rFonts w:ascii="Times New Roman" w:cs="Times New Roman" w:eastAsia="Times New Roman" w:hAnsi="Times New Roman"/>
          <w:b/>
          <w:bCs/>
        </w:rPr>
        <w:t xml:space="preserve">Humanização, Ética e Equidade</w:t>
      </w:r>
    </w:p>
    <w:p>
      <w:pPr>
        <w:spacing w:after="0" w:before="0" w:line="480"/>
        <w:ind w:left="720" w:hanging="720"/>
        <w:jc w:val="left"/>
      </w:pPr>
      <w:r>
        <w:rPr>
          <w:rFonts w:ascii="Times New Roman" w:cs="Times New Roman" w:eastAsia="Times New Roman" w:hAnsi="Times New Roman"/>
        </w:rPr>
        <w:t xml:space="preserve">Ministério da Saúde. (2013a). </w:t>
      </w:r>
      <w:r>
        <w:rPr>
          <w:rFonts w:ascii="Times New Roman" w:cs="Times New Roman" w:eastAsia="Times New Roman" w:hAnsi="Times New Roman"/>
          <w:i/>
          <w:iCs/>
        </w:rPr>
        <w:t xml:space="preserve">Política Nacional de Humanização – PNH</w:t>
      </w:r>
      <w:r>
        <w:rPr>
          <w:rFonts w:ascii="Times New Roman" w:cs="Times New Roman" w:eastAsia="Times New Roman" w:hAnsi="Times New Roman"/>
        </w:rPr>
        <w:t xml:space="preserve"> (1ª ed., 1ª reimpr.). </w:t>
      </w:r>
      <w:hyperlink w:history="1" r:id="rIde2tvdruapbbatirg9c_b6">
        <w:r>
          <w:rPr>
            <w:rFonts w:ascii="Times New Roman" w:cs="Times New Roman" w:eastAsia="Times New Roman" w:hAnsi="Times New Roman"/>
          </w:rPr>
          <w:t xml:space="preserve">https://bvsms.saude.gov.br/bvs/publicacoes/politica_nacional_humanizacao_pnh_folheto.pdf</w:t>
        </w:r>
      </w:hyperlink>
    </w:p>
    <w:p>
      <w:pPr>
        <w:spacing w:after="0" w:before="0" w:line="480"/>
        <w:ind w:firstLine="720"/>
        <w:jc w:val="left"/>
      </w:pPr>
      <w:r>
        <w:rPr>
          <w:rFonts w:ascii="Times New Roman" w:cs="Times New Roman" w:eastAsia="Times New Roman" w:hAnsi="Times New Roman"/>
        </w:rPr>
        <w:t xml:space="preserve">– Apresenta a humanização como diretriz de gestão compartilhada entre usuários, trabalhadores e gestores, baseada em acolhimento, autonomia e corresponsabilidade. Será utilizada para fundamentar a ideia de que humanizar o cuidado à PSR implica reorganizar processos institucionais, e não apenas a conduta individual.</w:t>
      </w:r>
    </w:p>
    <w:p>
      <w:pPr>
        <w:spacing w:after="0" w:before="0" w:line="480"/>
        <w:ind w:left="720" w:hanging="720"/>
        <w:jc w:val="left"/>
      </w:pPr>
      <w:r>
        <w:rPr>
          <w:rFonts w:ascii="Times New Roman" w:cs="Times New Roman" w:eastAsia="Times New Roman" w:hAnsi="Times New Roman"/>
        </w:rPr>
        <w:t xml:space="preserve">Brasil. (1990). </w:t>
      </w:r>
      <w:r>
        <w:rPr>
          <w:rFonts w:ascii="Times New Roman" w:cs="Times New Roman" w:eastAsia="Times New Roman" w:hAnsi="Times New Roman"/>
          <w:i/>
          <w:iCs/>
        </w:rPr>
        <w:t xml:space="preserve">Lei nº 8.080, de 19 de setembro de 1990</w:t>
      </w:r>
      <w:r>
        <w:rPr>
          <w:rFonts w:ascii="Times New Roman" w:cs="Times New Roman" w:eastAsia="Times New Roman" w:hAnsi="Times New Roman"/>
        </w:rPr>
        <w:t xml:space="preserve">. Dispõe sobre as condições para a promoção, proteção e recuperação da saúde, a organização e o funcionamento dos serviços correspondentes e dá outras providências. </w:t>
      </w:r>
      <w:hyperlink w:history="1" r:id="rId994u3g7iu6c4ladysuewp">
        <w:r>
          <w:rPr>
            <w:rFonts w:ascii="Times New Roman" w:cs="Times New Roman" w:eastAsia="Times New Roman" w:hAnsi="Times New Roman"/>
          </w:rPr>
          <w:t xml:space="preserve">https://www.planalto.gov.br/ccivil_03/leis/l8080.htm</w:t>
        </w:r>
      </w:hyperlink>
    </w:p>
    <w:p>
      <w:pPr>
        <w:spacing w:after="0" w:before="0" w:line="480"/>
        <w:ind w:firstLine="720"/>
        <w:jc w:val="left"/>
      </w:pPr>
      <w:r>
        <w:rPr>
          <w:rFonts w:ascii="Times New Roman" w:cs="Times New Roman" w:eastAsia="Times New Roman" w:hAnsi="Times New Roman"/>
        </w:rPr>
        <w:t xml:space="preserve">– Estabelece os princípios do SUS, entre eles a integralidade e a igualdade da assistência sem preconceitos ou privilégios. Servirá de base legal para discutir o direito da PSR ao cuidado hospitalar integral.</w:t>
      </w:r>
    </w:p>
    <w:p>
      <w:pPr>
        <w:spacing w:after="0" w:before="0" w:line="480"/>
        <w:ind w:left="720" w:hanging="720"/>
        <w:jc w:val="left"/>
      </w:pPr>
      <w:r>
        <w:rPr>
          <w:rFonts w:ascii="Times New Roman" w:cs="Times New Roman" w:eastAsia="Times New Roman" w:hAnsi="Times New Roman"/>
        </w:rPr>
        <w:t xml:space="preserve">Whitehead, M. (1992). The concepts and principles of equity and health. </w:t>
      </w:r>
      <w:r>
        <w:rPr>
          <w:rFonts w:ascii="Times New Roman" w:cs="Times New Roman" w:eastAsia="Times New Roman" w:hAnsi="Times New Roman"/>
          <w:i/>
          <w:iCs/>
        </w:rPr>
        <w:t xml:space="preserve">International Journal of Health Services</w:t>
      </w:r>
      <w:r>
        <w:rPr>
          <w:rFonts w:ascii="Times New Roman" w:cs="Times New Roman" w:eastAsia="Times New Roman" w:hAnsi="Times New Roman"/>
        </w:rPr>
        <w:t xml:space="preserve">, </w:t>
      </w:r>
      <w:r>
        <w:rPr>
          <w:rFonts w:ascii="Times New Roman" w:cs="Times New Roman" w:eastAsia="Times New Roman" w:hAnsi="Times New Roman"/>
          <w:i/>
          <w:iCs/>
        </w:rPr>
        <w:t xml:space="preserve">22</w:t>
      </w:r>
      <w:r>
        <w:rPr>
          <w:rFonts w:ascii="Times New Roman" w:cs="Times New Roman" w:eastAsia="Times New Roman" w:hAnsi="Times New Roman"/>
        </w:rPr>
        <w:t xml:space="preserve">(3), 429–445. </w:t>
      </w:r>
      <w:hyperlink w:history="1" r:id="rIdfmz0bslu8kuuqxzt2zvg-">
        <w:r>
          <w:rPr>
            <w:rFonts w:ascii="Times New Roman" w:cs="Times New Roman" w:eastAsia="Times New Roman" w:hAnsi="Times New Roman"/>
          </w:rPr>
          <w:t xml:space="preserve">https://doi.org/10.2190/986L-LHQ6-2VTE-YRRN</w:t>
        </w:r>
      </w:hyperlink>
    </w:p>
    <w:p>
      <w:pPr>
        <w:spacing w:after="0" w:before="0" w:line="480"/>
        <w:ind w:firstLine="720"/>
        <w:jc w:val="left"/>
      </w:pPr>
      <w:r>
        <w:rPr>
          <w:rFonts w:ascii="Times New Roman" w:cs="Times New Roman" w:eastAsia="Times New Roman" w:hAnsi="Times New Roman"/>
        </w:rPr>
        <w:t xml:space="preserve">– Define iniquidade em saúde como a diferença evitável e injusta. Será utilizado para sustentar que critérios de alta idênticos podem gerar desfechos desiguais e que a equidade exige respostas proporcionais ao risco.</w:t>
      </w:r>
    </w:p>
    <w:p>
      <w:pPr>
        <w:spacing w:after="0" w:before="0" w:line="480"/>
        <w:ind w:left="720" w:hanging="720"/>
        <w:jc w:val="left"/>
      </w:pPr>
      <w:r>
        <w:rPr>
          <w:rFonts w:ascii="Times New Roman" w:cs="Times New Roman" w:eastAsia="Times New Roman" w:hAnsi="Times New Roman"/>
        </w:rPr>
        <w:t xml:space="preserve">Beauchamp, T. L., &amp; Childress, J. F. (2019). </w:t>
      </w:r>
      <w:r>
        <w:rPr>
          <w:rFonts w:ascii="Times New Roman" w:cs="Times New Roman" w:eastAsia="Times New Roman" w:hAnsi="Times New Roman"/>
          <w:i/>
          <w:iCs/>
        </w:rPr>
        <w:t xml:space="preserve">Principles of biomedical ethics</w:t>
      </w:r>
      <w:r>
        <w:rPr>
          <w:rFonts w:ascii="Times New Roman" w:cs="Times New Roman" w:eastAsia="Times New Roman" w:hAnsi="Times New Roman"/>
        </w:rPr>
        <w:t xml:space="preserve"> (8th ed.). Oxford University Press.</w:t>
      </w:r>
    </w:p>
    <w:p>
      <w:pPr>
        <w:spacing w:after="0" w:before="0" w:line="480"/>
        <w:ind w:firstLine="720"/>
        <w:jc w:val="left"/>
      </w:pPr>
      <w:r>
        <w:rPr>
          <w:rFonts w:ascii="Times New Roman" w:cs="Times New Roman" w:eastAsia="Times New Roman" w:hAnsi="Times New Roman"/>
        </w:rPr>
        <w:t xml:space="preserve">– Sistematiza os princípios de autonomia, beneficência, não maleficência e justiça. Será o referencial para analisar os conflitos éticos da alta da PSR, como a recusa de acolhimento, a avaliação da capacidade de decisão e a distribuição de leitos escassos.</w:t>
      </w:r>
    </w:p>
    <w:p>
      <w:pPr>
        <w:spacing w:after="0" w:before="0" w:line="480"/>
        <w:ind w:left="720" w:hanging="720"/>
        <w:jc w:val="left"/>
      </w:pPr>
      <w:r>
        <w:rPr>
          <w:rFonts w:ascii="Times New Roman" w:cs="Times New Roman" w:eastAsia="Times New Roman" w:hAnsi="Times New Roman"/>
        </w:rPr>
        <w:t xml:space="preserve">Hallais, J. A. S., &amp; Barros, N. F. (2015). Consultório na Rua: Visibilidades, invisibilidades e hipervisibilidade. </w:t>
      </w:r>
      <w:r>
        <w:rPr>
          <w:rFonts w:ascii="Times New Roman" w:cs="Times New Roman" w:eastAsia="Times New Roman" w:hAnsi="Times New Roman"/>
          <w:i/>
          <w:iCs/>
        </w:rPr>
        <w:t xml:space="preserve">Cadernos de Saúde Pública</w:t>
      </w:r>
      <w:r>
        <w:rPr>
          <w:rFonts w:ascii="Times New Roman" w:cs="Times New Roman" w:eastAsia="Times New Roman" w:hAnsi="Times New Roman"/>
        </w:rPr>
        <w:t xml:space="preserve">, </w:t>
      </w:r>
      <w:r>
        <w:rPr>
          <w:rFonts w:ascii="Times New Roman" w:cs="Times New Roman" w:eastAsia="Times New Roman" w:hAnsi="Times New Roman"/>
          <w:i/>
          <w:iCs/>
        </w:rPr>
        <w:t xml:space="preserve">31</w:t>
      </w:r>
      <w:r>
        <w:rPr>
          <w:rFonts w:ascii="Times New Roman" w:cs="Times New Roman" w:eastAsia="Times New Roman" w:hAnsi="Times New Roman"/>
        </w:rPr>
        <w:t xml:space="preserve">(7), 1497–1504. </w:t>
      </w:r>
      <w:hyperlink w:history="1" r:id="rIdqjdelj3eft_csrmnbxkc-">
        <w:r>
          <w:rPr>
            <w:rFonts w:ascii="Times New Roman" w:cs="Times New Roman" w:eastAsia="Times New Roman" w:hAnsi="Times New Roman"/>
          </w:rPr>
          <w:t xml:space="preserve">https://doi.org/10.1590/0102-311X00143114</w:t>
        </w:r>
      </w:hyperlink>
    </w:p>
    <w:p>
      <w:pPr>
        <w:spacing w:after="0" w:before="0" w:line="480"/>
        <w:ind w:firstLine="720"/>
        <w:jc w:val="left"/>
      </w:pPr>
      <w:r>
        <w:rPr>
          <w:rFonts w:ascii="Times New Roman" w:cs="Times New Roman" w:eastAsia="Times New Roman" w:hAnsi="Times New Roman"/>
        </w:rPr>
        <w:t xml:space="preserve">– Estudo de observação participante com uma equipe de Consultório na Rua, que discute a invisibilidade da PSR nos serviços e o vínculo como forma de superar práticas estigmatizantes. Fundamentará a discussão sobre estigma e acolhimento no ambiente hospitalar.</w:t>
      </w:r>
    </w:p>
    <w:p>
      <w:pPr>
        <w:spacing w:after="0" w:before="0" w:line="480"/>
        <w:ind w:left="720" w:hanging="720"/>
        <w:jc w:val="left"/>
      </w:pPr>
      <w:r>
        <w:rPr>
          <w:rFonts w:ascii="Times New Roman" w:cs="Times New Roman" w:eastAsia="Times New Roman" w:hAnsi="Times New Roman"/>
        </w:rPr>
        <w:t xml:space="preserve">Paiva, I. K. S., Lira, C. D. G., Justino, J. M. R., Miranda, M. G. O., &amp; Saraiva, A. K. M. (2016). Direito à saúde da população em situação de rua: Reflexões sobre a problemática. </w:t>
      </w:r>
      <w:r>
        <w:rPr>
          <w:rFonts w:ascii="Times New Roman" w:cs="Times New Roman" w:eastAsia="Times New Roman" w:hAnsi="Times New Roman"/>
          <w:i/>
          <w:iCs/>
        </w:rPr>
        <w:t xml:space="preserve">Ciência &amp; Saúde Coletiva</w:t>
      </w:r>
      <w:r>
        <w:rPr>
          <w:rFonts w:ascii="Times New Roman" w:cs="Times New Roman" w:eastAsia="Times New Roman" w:hAnsi="Times New Roman"/>
        </w:rPr>
        <w:t xml:space="preserve">, </w:t>
      </w:r>
      <w:r>
        <w:rPr>
          <w:rFonts w:ascii="Times New Roman" w:cs="Times New Roman" w:eastAsia="Times New Roman" w:hAnsi="Times New Roman"/>
          <w:i/>
          <w:iCs/>
        </w:rPr>
        <w:t xml:space="preserve">21</w:t>
      </w:r>
      <w:r>
        <w:rPr>
          <w:rFonts w:ascii="Times New Roman" w:cs="Times New Roman" w:eastAsia="Times New Roman" w:hAnsi="Times New Roman"/>
        </w:rPr>
        <w:t xml:space="preserve">(8), 2595–2606. </w:t>
      </w:r>
      <w:hyperlink w:history="1" r:id="rIdjffgprat9d-ufiqeccjui">
        <w:r>
          <w:rPr>
            <w:rFonts w:ascii="Times New Roman" w:cs="Times New Roman" w:eastAsia="Times New Roman" w:hAnsi="Times New Roman"/>
          </w:rPr>
          <w:t xml:space="preserve">https://www.scielo.br/scielo.php?script=sci_arttext&amp;pid=S1413-81232016000802595</w:t>
        </w:r>
      </w:hyperlink>
    </w:p>
    <w:p>
      <w:pPr>
        <w:spacing w:after="0" w:before="0" w:line="480"/>
        <w:ind w:firstLine="720"/>
        <w:jc w:val="left"/>
      </w:pPr>
      <w:r>
        <w:rPr>
          <w:rFonts w:ascii="Times New Roman" w:cs="Times New Roman" w:eastAsia="Times New Roman" w:hAnsi="Times New Roman"/>
        </w:rPr>
        <w:t xml:space="preserve">– Discute as barreiras ao direito à saúde da PSR no SUS. Será utilizado para contextualizar as dificuldades de acesso dessa população e situar o problema hospitalar no debate brasileiro.</w:t>
      </w:r>
    </w:p>
    <w:p>
      <w:pPr>
        <w:keepNext/>
        <w:spacing w:after="0" w:before="0" w:line="480"/>
        <w:jc w:val="left"/>
      </w:pPr>
      <w:r>
        <w:rPr>
          <w:rFonts w:ascii="Times New Roman" w:cs="Times New Roman" w:eastAsia="Times New Roman" w:hAnsi="Times New Roman"/>
          <w:b/>
          <w:bCs/>
        </w:rPr>
        <w:t xml:space="preserve">Vulnerabilidade Social e Necessidades de Cuidado</w:t>
      </w:r>
    </w:p>
    <w:p>
      <w:pPr>
        <w:spacing w:after="0" w:before="0" w:line="480"/>
        <w:ind w:left="720" w:hanging="720"/>
        <w:jc w:val="left"/>
      </w:pPr>
      <w:r>
        <w:rPr>
          <w:rFonts w:ascii="Times New Roman" w:cs="Times New Roman" w:eastAsia="Times New Roman" w:hAnsi="Times New Roman"/>
        </w:rPr>
        <w:t xml:space="preserve">Brasil. (2009). </w:t>
      </w:r>
      <w:r>
        <w:rPr>
          <w:rFonts w:ascii="Times New Roman" w:cs="Times New Roman" w:eastAsia="Times New Roman" w:hAnsi="Times New Roman"/>
          <w:i/>
          <w:iCs/>
        </w:rPr>
        <w:t xml:space="preserve">Decreto nº 7.053, de 23 de dezembro de 2009</w:t>
      </w:r>
      <w:r>
        <w:rPr>
          <w:rFonts w:ascii="Times New Roman" w:cs="Times New Roman" w:eastAsia="Times New Roman" w:hAnsi="Times New Roman"/>
        </w:rPr>
        <w:t xml:space="preserve">. Institui a Política Nacional para a População em Situação de Rua e seu Comitê Intersetorial de Acompanhamento e Monitoramento, e dá outras providências. </w:t>
      </w:r>
      <w:hyperlink w:history="1" r:id="rIdnfwsewbhxdtppyy-pmgbm">
        <w:r>
          <w:rPr>
            <w:rFonts w:ascii="Times New Roman" w:cs="Times New Roman" w:eastAsia="Times New Roman" w:hAnsi="Times New Roman"/>
          </w:rPr>
          <w:t xml:space="preserve">https://www.planalto.gov.br/ccivil_03/_ato2007-2010/2009/decreto/d7053.htm</w:t>
        </w:r>
      </w:hyperlink>
    </w:p>
    <w:p>
      <w:pPr>
        <w:spacing w:after="0" w:before="0" w:line="480"/>
        <w:ind w:firstLine="720"/>
        <w:jc w:val="left"/>
      </w:pPr>
      <w:r>
        <w:rPr>
          <w:rFonts w:ascii="Times New Roman" w:cs="Times New Roman" w:eastAsia="Times New Roman" w:hAnsi="Times New Roman"/>
        </w:rPr>
        <w:t xml:space="preserve">– Define a PSR e estabelece os princípios de dignidade, equidade e atendimento humanizado e universalizado. É o marco normativo central do projeto e fundamentará a definição do público e os deveres do poder público.</w:t>
      </w:r>
    </w:p>
    <w:p>
      <w:pPr>
        <w:spacing w:after="0" w:before="0" w:line="480"/>
        <w:ind w:left="720" w:hanging="720"/>
        <w:jc w:val="left"/>
      </w:pPr>
      <w:r>
        <w:rPr>
          <w:rFonts w:ascii="Times New Roman" w:cs="Times New Roman" w:eastAsia="Times New Roman" w:hAnsi="Times New Roman"/>
        </w:rPr>
        <w:t xml:space="preserve">Natalino, M. A. C. (2023). </w:t>
      </w:r>
      <w:r>
        <w:rPr>
          <w:rFonts w:ascii="Times New Roman" w:cs="Times New Roman" w:eastAsia="Times New Roman" w:hAnsi="Times New Roman"/>
          <w:i/>
          <w:iCs/>
        </w:rPr>
        <w:t xml:space="preserve">Estimativa da população em situação de rua no Brasil (2012-2022)</w:t>
      </w:r>
      <w:r>
        <w:rPr>
          <w:rFonts w:ascii="Times New Roman" w:cs="Times New Roman" w:eastAsia="Times New Roman" w:hAnsi="Times New Roman"/>
        </w:rPr>
        <w:t xml:space="preserve"> (Nota Técnica Disoc nº 103). Instituto de Pesquisa Econômica Aplicada. </w:t>
      </w:r>
      <w:hyperlink w:history="1" r:id="rIdl99jaygy71jbeu0uoyuzp">
        <w:r>
          <w:rPr>
            <w:rFonts w:ascii="Times New Roman" w:cs="Times New Roman" w:eastAsia="Times New Roman" w:hAnsi="Times New Roman"/>
          </w:rPr>
          <w:t xml:space="preserve">https://repositorio.ipea.gov.br/bitstream/11058/11604/4/NT_103_Disoc_Estimativa_da_Populacao.pdf</w:t>
        </w:r>
      </w:hyperlink>
    </w:p>
    <w:p>
      <w:pPr>
        <w:spacing w:after="0" w:before="0" w:line="480"/>
        <w:ind w:firstLine="720"/>
        <w:jc w:val="left"/>
      </w:pPr>
      <w:r>
        <w:rPr>
          <w:rFonts w:ascii="Times New Roman" w:cs="Times New Roman" w:eastAsia="Times New Roman" w:hAnsi="Times New Roman"/>
        </w:rPr>
        <w:t xml:space="preserve">– Estima 281.472 pessoas em situação de rua em 2022, com crescimento de 38% desde 2019. Será utilizado para dimensionar o problema e justificar a relevância do tema.</w:t>
      </w:r>
    </w:p>
    <w:p>
      <w:pPr>
        <w:spacing w:after="0" w:before="0" w:line="480"/>
        <w:ind w:left="720" w:hanging="720"/>
        <w:jc w:val="left"/>
      </w:pPr>
      <w:r>
        <w:rPr>
          <w:rFonts w:ascii="Times New Roman" w:cs="Times New Roman" w:eastAsia="Times New Roman" w:hAnsi="Times New Roman"/>
        </w:rPr>
        <w:t xml:space="preserve">Fazel, S., Geddes, J. R., &amp; Kushel, M. (2014). The health of homeless people in high-income countries: Descriptive epidemiology, health consequences, and clinical and policy recommendations. </w:t>
      </w:r>
      <w:r>
        <w:rPr>
          <w:rFonts w:ascii="Times New Roman" w:cs="Times New Roman" w:eastAsia="Times New Roman" w:hAnsi="Times New Roman"/>
          <w:i/>
          <w:iCs/>
        </w:rPr>
        <w:t xml:space="preserve">The Lancet</w:t>
      </w:r>
      <w:r>
        <w:rPr>
          <w:rFonts w:ascii="Times New Roman" w:cs="Times New Roman" w:eastAsia="Times New Roman" w:hAnsi="Times New Roman"/>
        </w:rPr>
        <w:t xml:space="preserve">, </w:t>
      </w:r>
      <w:r>
        <w:rPr>
          <w:rFonts w:ascii="Times New Roman" w:cs="Times New Roman" w:eastAsia="Times New Roman" w:hAnsi="Times New Roman"/>
          <w:i/>
          <w:iCs/>
        </w:rPr>
        <w:t xml:space="preserve">384</w:t>
      </w:r>
      <w:r>
        <w:rPr>
          <w:rFonts w:ascii="Times New Roman" w:cs="Times New Roman" w:eastAsia="Times New Roman" w:hAnsi="Times New Roman"/>
        </w:rPr>
        <w:t xml:space="preserve">(9953), 1529–1540. </w:t>
      </w:r>
      <w:hyperlink w:history="1" r:id="rIdmjkr6k9jqxolyrvh8mxch">
        <w:r>
          <w:rPr>
            <w:rFonts w:ascii="Times New Roman" w:cs="Times New Roman" w:eastAsia="Times New Roman" w:hAnsi="Times New Roman"/>
          </w:rPr>
          <w:t xml:space="preserve">https://doi.org/10.1016/S0140-6736(14)61132-6</w:t>
        </w:r>
      </w:hyperlink>
    </w:p>
    <w:p>
      <w:pPr>
        <w:spacing w:after="0" w:before="0" w:line="480"/>
        <w:ind w:firstLine="720"/>
        <w:jc w:val="left"/>
      </w:pPr>
      <w:r>
        <w:rPr>
          <w:rFonts w:ascii="Times New Roman" w:cs="Times New Roman" w:eastAsia="Times New Roman" w:hAnsi="Times New Roman"/>
        </w:rPr>
        <w:t xml:space="preserve">– Revisão que descreve maior mortalidade prematura, doenças infecciosas, transtornos mentais e uso de substâncias nessa população. Fundamentará a descrição das particularidades clínicas que interferem na recuperação hospitalar.</w:t>
      </w:r>
    </w:p>
    <w:p>
      <w:pPr>
        <w:spacing w:after="0" w:before="0" w:line="480"/>
        <w:ind w:left="720" w:hanging="720"/>
        <w:jc w:val="left"/>
      </w:pPr>
      <w:r>
        <w:rPr>
          <w:rFonts w:ascii="Times New Roman" w:cs="Times New Roman" w:eastAsia="Times New Roman" w:hAnsi="Times New Roman"/>
        </w:rPr>
        <w:t xml:space="preserve">Pavinati, G., Lima, L. V., Radovanovic, C. A. T., &amp; Magnabosco, G. T. (2023). Disparidades geoprogramáticas do desempenho de indicadores da tuberculose na população em situação de rua no Brasil: Uma abordagem ecológica. </w:t>
      </w:r>
      <w:r>
        <w:rPr>
          <w:rFonts w:ascii="Times New Roman" w:cs="Times New Roman" w:eastAsia="Times New Roman" w:hAnsi="Times New Roman"/>
          <w:i/>
          <w:iCs/>
        </w:rPr>
        <w:t xml:space="preserve">Revista Brasileira de Epidemiologia</w:t>
      </w:r>
      <w:r>
        <w:rPr>
          <w:rFonts w:ascii="Times New Roman" w:cs="Times New Roman" w:eastAsia="Times New Roman" w:hAnsi="Times New Roman"/>
        </w:rPr>
        <w:t xml:space="preserve">, </w:t>
      </w:r>
      <w:r>
        <w:rPr>
          <w:rFonts w:ascii="Times New Roman" w:cs="Times New Roman" w:eastAsia="Times New Roman" w:hAnsi="Times New Roman"/>
          <w:i/>
          <w:iCs/>
        </w:rPr>
        <w:t xml:space="preserve">26</w:t>
      </w:r>
      <w:r>
        <w:rPr>
          <w:rFonts w:ascii="Times New Roman" w:cs="Times New Roman" w:eastAsia="Times New Roman" w:hAnsi="Times New Roman"/>
        </w:rPr>
        <w:t xml:space="preserve">, Artigo e230048. </w:t>
      </w:r>
      <w:hyperlink w:history="1" r:id="rIdgezm1nognvzj4ezdauped">
        <w:r>
          <w:rPr>
            <w:rFonts w:ascii="Times New Roman" w:cs="Times New Roman" w:eastAsia="Times New Roman" w:hAnsi="Times New Roman"/>
          </w:rPr>
          <w:t xml:space="preserve">https://doi.org/10.1590/1980-549720230048.2</w:t>
        </w:r>
      </w:hyperlink>
    </w:p>
    <w:p>
      <w:pPr>
        <w:spacing w:after="0" w:before="0" w:line="480"/>
        <w:ind w:firstLine="720"/>
        <w:jc w:val="left"/>
      </w:pPr>
      <w:r>
        <w:rPr>
          <w:rFonts w:ascii="Times New Roman" w:cs="Times New Roman" w:eastAsia="Times New Roman" w:hAnsi="Times New Roman"/>
        </w:rPr>
        <w:t xml:space="preserve">– Estudo ecológico que mostra desempenho insuficiente dos indicadores de cura, abandono e tratamento diretamente observado da tuberculose na PSR. Será utilizado como evidência brasileira da dificuldade de completar tratamentos longos fora do hospital.</w:t>
      </w:r>
    </w:p>
    <w:p>
      <w:pPr>
        <w:spacing w:after="0" w:before="0" w:line="480"/>
        <w:ind w:left="720" w:hanging="720"/>
        <w:jc w:val="left"/>
      </w:pPr>
      <w:r>
        <w:rPr>
          <w:rFonts w:ascii="Times New Roman" w:cs="Times New Roman" w:eastAsia="Times New Roman" w:hAnsi="Times New Roman"/>
        </w:rPr>
        <w:t xml:space="preserve">Ministério da Saúde. (2011b). </w:t>
      </w:r>
      <w:r>
        <w:rPr>
          <w:rFonts w:ascii="Times New Roman" w:cs="Times New Roman" w:eastAsia="Times New Roman" w:hAnsi="Times New Roman"/>
          <w:i/>
          <w:iCs/>
        </w:rPr>
        <w:t xml:space="preserve">Portaria nº 940, de 28 de abril de 2011</w:t>
      </w:r>
      <w:r>
        <w:rPr>
          <w:rFonts w:ascii="Times New Roman" w:cs="Times New Roman" w:eastAsia="Times New Roman" w:hAnsi="Times New Roman"/>
        </w:rPr>
        <w:t xml:space="preserve">. Regulamenta o Sistema Cartão Nacional de Saúde. </w:t>
      </w:r>
      <w:hyperlink w:history="1" r:id="rIdqipcvpkbowzegynhaukm_">
        <w:r>
          <w:rPr>
            <w:rFonts w:ascii="Times New Roman" w:cs="Times New Roman" w:eastAsia="Times New Roman" w:hAnsi="Times New Roman"/>
          </w:rPr>
          <w:t xml:space="preserve">https://bvsms.saude.gov.br/bvs/saudelegis/gm/2011/prt0940_28_04_2011.html</w:t>
        </w:r>
      </w:hyperlink>
    </w:p>
    <w:p>
      <w:pPr>
        <w:spacing w:after="0" w:before="0" w:line="480"/>
        <w:ind w:firstLine="720"/>
        <w:jc w:val="left"/>
      </w:pPr>
      <w:r>
        <w:rPr>
          <w:rFonts w:ascii="Times New Roman" w:cs="Times New Roman" w:eastAsia="Times New Roman" w:hAnsi="Times New Roman"/>
        </w:rPr>
        <w:t xml:space="preserve">– Dispensa a exigência de endereço para o cadastro da PSR no Cartão Nacional de Saúde. Será utilizada para discutir barreiras administrativas de acesso que o hospital não deve reproduzir.</w:t>
      </w:r>
    </w:p>
    <w:p>
      <w:pPr>
        <w:spacing w:after="0" w:before="0" w:line="480"/>
        <w:ind w:left="720" w:hanging="720"/>
        <w:jc w:val="left"/>
      </w:pPr>
      <w:r>
        <w:rPr>
          <w:rFonts w:ascii="Times New Roman" w:cs="Times New Roman" w:eastAsia="Times New Roman" w:hAnsi="Times New Roman"/>
        </w:rPr>
        <w:t xml:space="preserve">Ministério da Saúde. (2012). </w:t>
      </w:r>
      <w:r>
        <w:rPr>
          <w:rFonts w:ascii="Times New Roman" w:cs="Times New Roman" w:eastAsia="Times New Roman" w:hAnsi="Times New Roman"/>
          <w:i/>
          <w:iCs/>
        </w:rPr>
        <w:t xml:space="preserve">Manual sobre o cuidado à saúde junto a população em situação de rua</w:t>
      </w:r>
      <w:r>
        <w:rPr>
          <w:rFonts w:ascii="Times New Roman" w:cs="Times New Roman" w:eastAsia="Times New Roman" w:hAnsi="Times New Roman"/>
        </w:rPr>
        <w:t xml:space="preserve">.</w:t>
      </w:r>
    </w:p>
    <w:p>
      <w:pPr>
        <w:spacing w:after="0" w:before="0" w:line="480"/>
        <w:ind w:firstLine="720"/>
        <w:jc w:val="left"/>
      </w:pPr>
      <w:r>
        <w:rPr>
          <w:rFonts w:ascii="Times New Roman" w:cs="Times New Roman" w:eastAsia="Times New Roman" w:hAnsi="Times New Roman"/>
        </w:rPr>
        <w:t xml:space="preserve">– Orienta o cuidado clínico e a organização da rede para a PSR. Será utilizado para caracterizar as necessidades de cuidado e as condições que dificultam a continuidade do tratamento após a alta.</w:t>
      </w:r>
    </w:p>
    <w:p>
      <w:pPr>
        <w:keepNext/>
        <w:spacing w:after="0" w:before="0" w:line="480"/>
        <w:jc w:val="left"/>
      </w:pPr>
      <w:r>
        <w:rPr>
          <w:rFonts w:ascii="Times New Roman" w:cs="Times New Roman" w:eastAsia="Times New Roman" w:hAnsi="Times New Roman"/>
          <w:b/>
          <w:bCs/>
        </w:rPr>
        <w:t xml:space="preserve">Gestão de Leitos e Alta Segura</w:t>
      </w:r>
    </w:p>
    <w:p>
      <w:pPr>
        <w:spacing w:after="0" w:before="0" w:line="480"/>
        <w:ind w:left="720" w:hanging="720"/>
        <w:jc w:val="left"/>
      </w:pPr>
      <w:r>
        <w:rPr>
          <w:rFonts w:ascii="Times New Roman" w:cs="Times New Roman" w:eastAsia="Times New Roman" w:hAnsi="Times New Roman"/>
        </w:rPr>
        <w:t xml:space="preserve">Ministério da Saúde. (2013b). </w:t>
      </w:r>
      <w:r>
        <w:rPr>
          <w:rFonts w:ascii="Times New Roman" w:cs="Times New Roman" w:eastAsia="Times New Roman" w:hAnsi="Times New Roman"/>
          <w:i/>
          <w:iCs/>
        </w:rPr>
        <w:t xml:space="preserve">Portaria nº 3.390, de 30 de dezembro de 2013</w:t>
      </w:r>
      <w:r>
        <w:rPr>
          <w:rFonts w:ascii="Times New Roman" w:cs="Times New Roman" w:eastAsia="Times New Roman" w:hAnsi="Times New Roman"/>
        </w:rPr>
        <w:t xml:space="preserve">. Institui a Política Nacional de Atenção Hospitalar (PNHOSP) no âmbito do Sistema Único de Saúde (SUS), estabelecendo-se as diretrizes para a organização do componente hospitalar da Rede de Atenção à Saúde (RAS). </w:t>
      </w:r>
      <w:hyperlink w:history="1" r:id="rIdepo8ccdwsx2gmbrdjxz9o">
        <w:r>
          <w:rPr>
            <w:rFonts w:ascii="Times New Roman" w:cs="Times New Roman" w:eastAsia="Times New Roman" w:hAnsi="Times New Roman"/>
          </w:rPr>
          <w:t xml:space="preserve">https://bvsms.saude.gov.br/bvs/saudelegis/gm/2013/prt3390_30_12_2013.html</w:t>
        </w:r>
      </w:hyperlink>
    </w:p>
    <w:p>
      <w:pPr>
        <w:spacing w:after="0" w:before="0" w:line="480"/>
        <w:ind w:firstLine="720"/>
        <w:jc w:val="left"/>
      </w:pPr>
      <w:r>
        <w:rPr>
          <w:rFonts w:ascii="Times New Roman" w:cs="Times New Roman" w:eastAsia="Times New Roman" w:hAnsi="Times New Roman"/>
        </w:rPr>
        <w:t xml:space="preserve">– Institui o NIR e a alta hospitalar responsável como transferência do cuidado. É a principal referência normativa para a gestão de leitos e fundamentará a proposta de estratégias e indicadores.</w:t>
      </w:r>
    </w:p>
    <w:p>
      <w:pPr>
        <w:spacing w:after="0" w:before="0" w:line="480"/>
        <w:ind w:left="720" w:hanging="720"/>
        <w:jc w:val="left"/>
      </w:pPr>
      <w:r>
        <w:rPr>
          <w:rFonts w:ascii="Times New Roman" w:cs="Times New Roman" w:eastAsia="Times New Roman" w:hAnsi="Times New Roman"/>
        </w:rPr>
        <w:t xml:space="preserve">Ministério da Saúde. (2017). </w:t>
      </w:r>
      <w:r>
        <w:rPr>
          <w:rFonts w:ascii="Times New Roman" w:cs="Times New Roman" w:eastAsia="Times New Roman" w:hAnsi="Times New Roman"/>
          <w:i/>
          <w:iCs/>
        </w:rPr>
        <w:t xml:space="preserve">Manual de implantação e implementação: Núcleo interno de regulação para hospitais gerais e especializados</w:t>
      </w:r>
      <w:r>
        <w:rPr>
          <w:rFonts w:ascii="Times New Roman" w:cs="Times New Roman" w:eastAsia="Times New Roman" w:hAnsi="Times New Roman"/>
        </w:rPr>
        <w:t xml:space="preserve">.</w:t>
      </w:r>
    </w:p>
    <w:p>
      <w:pPr>
        <w:spacing w:after="0" w:before="0" w:line="480"/>
        <w:ind w:firstLine="720"/>
        <w:jc w:val="left"/>
      </w:pPr>
      <w:r>
        <w:rPr>
          <w:rFonts w:ascii="Times New Roman" w:cs="Times New Roman" w:eastAsia="Times New Roman" w:hAnsi="Times New Roman"/>
        </w:rPr>
        <w:t xml:space="preserve">– Detalha a estrutura e o funcionamento do NIR, incluindo o assistente social em sua composição mínima. Será utilizado para discutir como o núcleo pode incorporar a avaliação social ao planejamento da alta.</w:t>
      </w:r>
    </w:p>
    <w:p>
      <w:pPr>
        <w:spacing w:after="0" w:before="0" w:line="480"/>
        <w:ind w:left="720" w:hanging="720"/>
        <w:jc w:val="left"/>
      </w:pPr>
      <w:r>
        <w:rPr>
          <w:rFonts w:ascii="Times New Roman" w:cs="Times New Roman" w:eastAsia="Times New Roman" w:hAnsi="Times New Roman"/>
        </w:rPr>
        <w:t xml:space="preserve">Hwang, S. W., Weaver, J., Aubry, T., &amp; Hoch, J. S. (2011). Hospital costs and length of stay among homeless patients admitted to medical, surgical, and psychiatric services. </w:t>
      </w:r>
      <w:r>
        <w:rPr>
          <w:rFonts w:ascii="Times New Roman" w:cs="Times New Roman" w:eastAsia="Times New Roman" w:hAnsi="Times New Roman"/>
          <w:i/>
          <w:iCs/>
        </w:rPr>
        <w:t xml:space="preserve">Medical Care</w:t>
      </w:r>
      <w:r>
        <w:rPr>
          <w:rFonts w:ascii="Times New Roman" w:cs="Times New Roman" w:eastAsia="Times New Roman" w:hAnsi="Times New Roman"/>
        </w:rPr>
        <w:t xml:space="preserve">, </w:t>
      </w:r>
      <w:r>
        <w:rPr>
          <w:rFonts w:ascii="Times New Roman" w:cs="Times New Roman" w:eastAsia="Times New Roman" w:hAnsi="Times New Roman"/>
          <w:i/>
          <w:iCs/>
        </w:rPr>
        <w:t xml:space="preserve">49</w:t>
      </w:r>
      <w:r>
        <w:rPr>
          <w:rFonts w:ascii="Times New Roman" w:cs="Times New Roman" w:eastAsia="Times New Roman" w:hAnsi="Times New Roman"/>
        </w:rPr>
        <w:t xml:space="preserve">(4), 350–354. </w:t>
      </w:r>
      <w:hyperlink w:history="1" r:id="rIdpgilrfa9h5rlzwjxscymx">
        <w:r>
          <w:rPr>
            <w:rFonts w:ascii="Times New Roman" w:cs="Times New Roman" w:eastAsia="Times New Roman" w:hAnsi="Times New Roman"/>
          </w:rPr>
          <w:t xml:space="preserve">https://pubmed.ncbi.nlm.nih.gov/21368678/</w:t>
        </w:r>
      </w:hyperlink>
    </w:p>
    <w:p>
      <w:pPr>
        <w:spacing w:after="0" w:before="0" w:line="480"/>
        <w:ind w:firstLine="720"/>
        <w:jc w:val="left"/>
      </w:pPr>
      <w:r>
        <w:rPr>
          <w:rFonts w:ascii="Times New Roman" w:cs="Times New Roman" w:eastAsia="Times New Roman" w:hAnsi="Times New Roman"/>
        </w:rPr>
        <w:t xml:space="preserve">– Coorte com 93.426 internações que associou o custo excedente das internações de pessoas em situação de rua a dias sem necessidade de cuidado agudo. Fundamentará a discussão sobre permanência por motivo social.</w:t>
      </w:r>
    </w:p>
    <w:p>
      <w:pPr>
        <w:spacing w:after="0" w:before="0" w:line="480"/>
        <w:ind w:left="720" w:hanging="720"/>
        <w:jc w:val="left"/>
      </w:pPr>
      <w:r>
        <w:rPr>
          <w:rFonts w:ascii="Times New Roman" w:cs="Times New Roman" w:eastAsia="Times New Roman" w:hAnsi="Times New Roman"/>
        </w:rPr>
        <w:t xml:space="preserve">Lewer, D., Menezes, D., Cornes, M., Blackburn, R. M., Byng, R., Clark, M., Denaxas, S., Evans, H., Fuller, J., Hewett, N., Kilmister, A., Luchenski, S. A., Manthorpe, J., McKee, M., Neale, J., Story, A., Tinelli, M., Whiteford, M., Wurie, F., . . . Aldridge, R. W. (2021). Hospital readmission among people experiencing homelessness in England: A cohort study of 2772 matched homeless and housed inpatients. </w:t>
      </w:r>
      <w:r>
        <w:rPr>
          <w:rFonts w:ascii="Times New Roman" w:cs="Times New Roman" w:eastAsia="Times New Roman" w:hAnsi="Times New Roman"/>
          <w:i/>
          <w:iCs/>
        </w:rPr>
        <w:t xml:space="preserve">Journal of Epidemiology and Community Health</w:t>
      </w:r>
      <w:r>
        <w:rPr>
          <w:rFonts w:ascii="Times New Roman" w:cs="Times New Roman" w:eastAsia="Times New Roman" w:hAnsi="Times New Roman"/>
        </w:rPr>
        <w:t xml:space="preserve">, </w:t>
      </w:r>
      <w:r>
        <w:rPr>
          <w:rFonts w:ascii="Times New Roman" w:cs="Times New Roman" w:eastAsia="Times New Roman" w:hAnsi="Times New Roman"/>
          <w:i/>
          <w:iCs/>
        </w:rPr>
        <w:t xml:space="preserve">75</w:t>
      </w:r>
      <w:r>
        <w:rPr>
          <w:rFonts w:ascii="Times New Roman" w:cs="Times New Roman" w:eastAsia="Times New Roman" w:hAnsi="Times New Roman"/>
        </w:rPr>
        <w:t xml:space="preserve">(7), 681–688. </w:t>
      </w:r>
      <w:hyperlink w:history="1" r:id="rIduzzvvparhk0xxlkrnfib1">
        <w:r>
          <w:rPr>
            <w:rFonts w:ascii="Times New Roman" w:cs="Times New Roman" w:eastAsia="Times New Roman" w:hAnsi="Times New Roman"/>
          </w:rPr>
          <w:t xml:space="preserve">https://doi.org/10.1136/jech-2020-215204</w:t>
        </w:r>
      </w:hyperlink>
    </w:p>
    <w:p>
      <w:pPr>
        <w:spacing w:after="0" w:before="0" w:line="480"/>
        <w:ind w:firstLine="720"/>
        <w:jc w:val="left"/>
      </w:pPr>
      <w:r>
        <w:rPr>
          <w:rFonts w:ascii="Times New Roman" w:cs="Times New Roman" w:eastAsia="Times New Roman" w:hAnsi="Times New Roman"/>
        </w:rPr>
        <w:t xml:space="preserve">– Coorte pareada que encontrou reinternação de emergência 2,49 vezes maior em pessoas em situação de rua. Será utilizado para evidenciar o risco da alta sem condições de continuidade.</w:t>
      </w:r>
    </w:p>
    <w:p>
      <w:pPr>
        <w:spacing w:after="0" w:before="0" w:line="480"/>
        <w:ind w:left="720" w:hanging="720"/>
        <w:jc w:val="left"/>
      </w:pPr>
      <w:r>
        <w:rPr>
          <w:rFonts w:ascii="Times New Roman" w:cs="Times New Roman" w:eastAsia="Times New Roman" w:hAnsi="Times New Roman"/>
        </w:rPr>
        <w:t xml:space="preserve">Racine, M. W., Munson, D., Gaeta, J. M., &amp; Baggett, T. P. (2020). Thirty-day hospital readmission among homeless individuals with Medicaid in Massachusetts. </w:t>
      </w:r>
      <w:r>
        <w:rPr>
          <w:rFonts w:ascii="Times New Roman" w:cs="Times New Roman" w:eastAsia="Times New Roman" w:hAnsi="Times New Roman"/>
          <w:i/>
          <w:iCs/>
        </w:rPr>
        <w:t xml:space="preserve">Medical Care</w:t>
      </w:r>
      <w:r>
        <w:rPr>
          <w:rFonts w:ascii="Times New Roman" w:cs="Times New Roman" w:eastAsia="Times New Roman" w:hAnsi="Times New Roman"/>
        </w:rPr>
        <w:t xml:space="preserve">, </w:t>
      </w:r>
      <w:r>
        <w:rPr>
          <w:rFonts w:ascii="Times New Roman" w:cs="Times New Roman" w:eastAsia="Times New Roman" w:hAnsi="Times New Roman"/>
          <w:i/>
          <w:iCs/>
        </w:rPr>
        <w:t xml:space="preserve">58</w:t>
      </w:r>
      <w:r>
        <w:rPr>
          <w:rFonts w:ascii="Times New Roman" w:cs="Times New Roman" w:eastAsia="Times New Roman" w:hAnsi="Times New Roman"/>
        </w:rPr>
        <w:t xml:space="preserve">(1), 27–32. </w:t>
      </w:r>
      <w:hyperlink w:history="1" r:id="rId4ym8rtckhrsuyhlyldblp">
        <w:r>
          <w:rPr>
            <w:rFonts w:ascii="Times New Roman" w:cs="Times New Roman" w:eastAsia="Times New Roman" w:hAnsi="Times New Roman"/>
          </w:rPr>
          <w:t xml:space="preserve">https://doi.org/10.1097/MLR.0000000000001234</w:t>
        </w:r>
      </w:hyperlink>
    </w:p>
    <w:p>
      <w:pPr>
        <w:spacing w:after="0" w:before="0" w:line="480"/>
        <w:ind w:firstLine="720"/>
        <w:jc w:val="left"/>
      </w:pPr>
      <w:r>
        <w:rPr>
          <w:rFonts w:ascii="Times New Roman" w:cs="Times New Roman" w:eastAsia="Times New Roman" w:hAnsi="Times New Roman"/>
        </w:rPr>
        <w:t xml:space="preserve">– Coorte que mostrou 27% de reinternação em 30 dias, maior risco após alta a pedido e menor risco com acompanhamento na atenção primária. Fundamentará a proposta de indicadores de reinternação.</w:t>
      </w:r>
    </w:p>
    <w:p>
      <w:pPr>
        <w:spacing w:after="0" w:before="0" w:line="480"/>
        <w:ind w:left="720" w:hanging="720"/>
        <w:jc w:val="left"/>
      </w:pPr>
      <w:r>
        <w:rPr>
          <w:rFonts w:ascii="Times New Roman" w:cs="Times New Roman" w:eastAsia="Times New Roman" w:hAnsi="Times New Roman"/>
        </w:rPr>
        <w:t xml:space="preserve">Ti, L., &amp; Ti, L. (2015). Leaving the hospital against medical advice among people who use illicit drugs: A systematic review. </w:t>
      </w:r>
      <w:r>
        <w:rPr>
          <w:rFonts w:ascii="Times New Roman" w:cs="Times New Roman" w:eastAsia="Times New Roman" w:hAnsi="Times New Roman"/>
          <w:i/>
          <w:iCs/>
        </w:rPr>
        <w:t xml:space="preserve">American Journal of Public Health</w:t>
      </w:r>
      <w:r>
        <w:rPr>
          <w:rFonts w:ascii="Times New Roman" w:cs="Times New Roman" w:eastAsia="Times New Roman" w:hAnsi="Times New Roman"/>
        </w:rPr>
        <w:t xml:space="preserve">, </w:t>
      </w:r>
      <w:r>
        <w:rPr>
          <w:rFonts w:ascii="Times New Roman" w:cs="Times New Roman" w:eastAsia="Times New Roman" w:hAnsi="Times New Roman"/>
          <w:i/>
          <w:iCs/>
        </w:rPr>
        <w:t xml:space="preserve">105</w:t>
      </w:r>
      <w:r>
        <w:rPr>
          <w:rFonts w:ascii="Times New Roman" w:cs="Times New Roman" w:eastAsia="Times New Roman" w:hAnsi="Times New Roman"/>
        </w:rPr>
        <w:t xml:space="preserve">(12), e53–e59. </w:t>
      </w:r>
      <w:hyperlink w:history="1" r:id="rIdwmj3h1qzqz7aaoz3wfy3w">
        <w:r>
          <w:rPr>
            <w:rFonts w:ascii="Times New Roman" w:cs="Times New Roman" w:eastAsia="Times New Roman" w:hAnsi="Times New Roman"/>
          </w:rPr>
          <w:t xml:space="preserve">https://doi.org/10.2105/AJPH.2015.302885</w:t>
        </w:r>
      </w:hyperlink>
    </w:p>
    <w:p>
      <w:pPr>
        <w:spacing w:after="0" w:before="0" w:line="480"/>
        <w:ind w:firstLine="720"/>
        <w:jc w:val="left"/>
      </w:pPr>
      <w:r>
        <w:rPr>
          <w:rFonts w:ascii="Times New Roman" w:cs="Times New Roman" w:eastAsia="Times New Roman" w:hAnsi="Times New Roman"/>
        </w:rPr>
        <w:t xml:space="preserve">– Revisão sistemática que indica alta a pedido em 25% a 30% das internações de pessoas que injetam drogas e associa o uso de metadona durante a internação à permanência até a alta. Será utilizada para discutir a saída antecipada e o manejo da abstinência.</w:t>
      </w:r>
    </w:p>
    <w:p>
      <w:pPr>
        <w:spacing w:after="0" w:before="0" w:line="480"/>
        <w:ind w:left="720" w:hanging="720"/>
        <w:jc w:val="left"/>
      </w:pPr>
      <w:r>
        <w:rPr>
          <w:rFonts w:ascii="Times New Roman" w:cs="Times New Roman" w:eastAsia="Times New Roman" w:hAnsi="Times New Roman"/>
        </w:rPr>
        <w:t xml:space="preserve">Doran, K. M., Ragins, K. T., Gross, C. P., &amp; Zerger, S. (2013). Medical respite programs for homeless patients: A systematic review. </w:t>
      </w:r>
      <w:r>
        <w:rPr>
          <w:rFonts w:ascii="Times New Roman" w:cs="Times New Roman" w:eastAsia="Times New Roman" w:hAnsi="Times New Roman"/>
          <w:i/>
          <w:iCs/>
        </w:rPr>
        <w:t xml:space="preserve">Journal of Health Care for the Poor and Underserved</w:t>
      </w:r>
      <w:r>
        <w:rPr>
          <w:rFonts w:ascii="Times New Roman" w:cs="Times New Roman" w:eastAsia="Times New Roman" w:hAnsi="Times New Roman"/>
        </w:rPr>
        <w:t xml:space="preserve">, </w:t>
      </w:r>
      <w:r>
        <w:rPr>
          <w:rFonts w:ascii="Times New Roman" w:cs="Times New Roman" w:eastAsia="Times New Roman" w:hAnsi="Times New Roman"/>
          <w:i/>
          <w:iCs/>
        </w:rPr>
        <w:t xml:space="preserve">24</w:t>
      </w:r>
      <w:r>
        <w:rPr>
          <w:rFonts w:ascii="Times New Roman" w:cs="Times New Roman" w:eastAsia="Times New Roman" w:hAnsi="Times New Roman"/>
        </w:rPr>
        <w:t xml:space="preserve">(2), 499–524. </w:t>
      </w:r>
      <w:hyperlink w:history="1" r:id="rIdxrltjljrlivn-j1tps3iw">
        <w:r>
          <w:rPr>
            <w:rFonts w:ascii="Times New Roman" w:cs="Times New Roman" w:eastAsia="Times New Roman" w:hAnsi="Times New Roman"/>
          </w:rPr>
          <w:t xml:space="preserve">https://doi.org/10.1353/hpu.2013.0053</w:t>
        </w:r>
      </w:hyperlink>
    </w:p>
    <w:p>
      <w:pPr>
        <w:spacing w:after="0" w:before="0" w:line="480"/>
        <w:ind w:firstLine="720"/>
        <w:jc w:val="left"/>
      </w:pPr>
      <w:r>
        <w:rPr>
          <w:rFonts w:ascii="Times New Roman" w:cs="Times New Roman" w:eastAsia="Times New Roman" w:hAnsi="Times New Roman"/>
        </w:rPr>
        <w:t xml:space="preserve">– Revisão de 13 estudos sobre cuidados intermediários pós-alta, que reduziram internações futuras, dias de internação e reinternações. Fundamentará a discussão de alternativas para pacientes sem indicação clínica e sem retaguarda.</w:t>
      </w:r>
    </w:p>
    <w:p>
      <w:pPr>
        <w:spacing w:after="0" w:before="0" w:line="480"/>
        <w:ind w:left="720" w:hanging="720"/>
        <w:jc w:val="left"/>
      </w:pPr>
      <w:r>
        <w:rPr>
          <w:rFonts w:ascii="Times New Roman" w:cs="Times New Roman" w:eastAsia="Times New Roman" w:hAnsi="Times New Roman"/>
        </w:rPr>
        <w:t xml:space="preserve">Bring, C., Kruse, M., Ankarfeldt, M. Z., Brünés, N., Pedersen, M., Petersen, J., &amp; Andersen, O. (2020). Post-hospital medical respite care for homeless people in Denmark: A randomized controlled trial and cost-utility analysis. </w:t>
      </w:r>
      <w:r>
        <w:rPr>
          <w:rFonts w:ascii="Times New Roman" w:cs="Times New Roman" w:eastAsia="Times New Roman" w:hAnsi="Times New Roman"/>
          <w:i/>
          <w:iCs/>
        </w:rPr>
        <w:t xml:space="preserve">BMC Health Services Research</w:t>
      </w:r>
      <w:r>
        <w:rPr>
          <w:rFonts w:ascii="Times New Roman" w:cs="Times New Roman" w:eastAsia="Times New Roman" w:hAnsi="Times New Roman"/>
        </w:rPr>
        <w:t xml:space="preserve">, </w:t>
      </w:r>
      <w:r>
        <w:rPr>
          <w:rFonts w:ascii="Times New Roman" w:cs="Times New Roman" w:eastAsia="Times New Roman" w:hAnsi="Times New Roman"/>
          <w:i/>
          <w:iCs/>
        </w:rPr>
        <w:t xml:space="preserve">20</w:t>
      </w:r>
      <w:r>
        <w:rPr>
          <w:rFonts w:ascii="Times New Roman" w:cs="Times New Roman" w:eastAsia="Times New Roman" w:hAnsi="Times New Roman"/>
        </w:rPr>
        <w:t xml:space="preserve">, Artigo 508. </w:t>
      </w:r>
      <w:hyperlink w:history="1" r:id="rIdgbqguurhv6hipg5o9isc3">
        <w:r>
          <w:rPr>
            <w:rFonts w:ascii="Times New Roman" w:cs="Times New Roman" w:eastAsia="Times New Roman" w:hAnsi="Times New Roman"/>
          </w:rPr>
          <w:t xml:space="preserve">https://doi.org/10.1186/s12913-020-05358-4</w:t>
        </w:r>
      </w:hyperlink>
    </w:p>
    <w:p>
      <w:pPr>
        <w:spacing w:after="0" w:before="0" w:line="480"/>
        <w:ind w:firstLine="720"/>
        <w:jc w:val="left"/>
      </w:pPr>
      <w:r>
        <w:rPr>
          <w:rFonts w:ascii="Times New Roman" w:cs="Times New Roman" w:eastAsia="Times New Roman" w:hAnsi="Times New Roman"/>
        </w:rPr>
        <w:t xml:space="preserve">– Ensaio clínico randomizado que considerou custo-efetiva uma permanência de duas semanas em cuidado intermediário pós-alta. Será utilizado para discutir a viabilidade econômica dessa alternativa.</w:t>
      </w:r>
    </w:p>
    <w:p>
      <w:pPr>
        <w:keepNext/>
        <w:spacing w:after="0" w:before="0" w:line="480"/>
        <w:jc w:val="left"/>
      </w:pPr>
      <w:r>
        <w:rPr>
          <w:rFonts w:ascii="Times New Roman" w:cs="Times New Roman" w:eastAsia="Times New Roman" w:hAnsi="Times New Roman"/>
          <w:b/>
          <w:bCs/>
        </w:rPr>
        <w:t xml:space="preserve">Atuação Multiprofissional e Articulação Intersetorial</w:t>
      </w:r>
    </w:p>
    <w:p>
      <w:pPr>
        <w:spacing w:after="0" w:before="0" w:line="480"/>
        <w:ind w:left="720" w:hanging="720"/>
        <w:jc w:val="left"/>
      </w:pPr>
      <w:r>
        <w:rPr>
          <w:rFonts w:ascii="Times New Roman" w:cs="Times New Roman" w:eastAsia="Times New Roman" w:hAnsi="Times New Roman"/>
        </w:rPr>
        <w:t xml:space="preserve">Ministério da Saúde. (2011a). </w:t>
      </w:r>
      <w:r>
        <w:rPr>
          <w:rFonts w:ascii="Times New Roman" w:cs="Times New Roman" w:eastAsia="Times New Roman" w:hAnsi="Times New Roman"/>
          <w:i/>
          <w:iCs/>
        </w:rPr>
        <w:t xml:space="preserve">Portaria nº 122, de 25 de janeiro de 2011</w:t>
      </w:r>
      <w:r>
        <w:rPr>
          <w:rFonts w:ascii="Times New Roman" w:cs="Times New Roman" w:eastAsia="Times New Roman" w:hAnsi="Times New Roman"/>
        </w:rPr>
        <w:t xml:space="preserve">. Define as diretrizes de organização e funcionamento das Equipes de Consultório na Rua. </w:t>
      </w:r>
      <w:hyperlink w:history="1" r:id="rId2vj3q8yihocr1tvg9l7ul">
        <w:r>
          <w:rPr>
            <w:rFonts w:ascii="Times New Roman" w:cs="Times New Roman" w:eastAsia="Times New Roman" w:hAnsi="Times New Roman"/>
          </w:rPr>
          <w:t xml:space="preserve">https://bvsms.saude.gov.br/bvs/saudelegis/gm/2012/prt0122_25_01_2012.html</w:t>
        </w:r>
      </w:hyperlink>
    </w:p>
    <w:p>
      <w:pPr>
        <w:spacing w:after="0" w:before="0" w:line="480"/>
        <w:ind w:firstLine="720"/>
        <w:jc w:val="left"/>
      </w:pPr>
      <w:r>
        <w:rPr>
          <w:rFonts w:ascii="Times New Roman" w:cs="Times New Roman" w:eastAsia="Times New Roman" w:hAnsi="Times New Roman"/>
        </w:rPr>
        <w:t xml:space="preserve">– Define as equipes multiprofissionais e itinerantes de Consultório na Rua, articuladas às unidades básicas, aos CAPS e à urgência. Fundamentará a análise da continuidade do cuidado no território após a alta.</w:t>
      </w:r>
    </w:p>
    <w:p>
      <w:pPr>
        <w:spacing w:after="0" w:before="0" w:line="480"/>
        <w:ind w:left="720" w:hanging="720"/>
        <w:jc w:val="left"/>
      </w:pPr>
      <w:r>
        <w:rPr>
          <w:rFonts w:ascii="Times New Roman" w:cs="Times New Roman" w:eastAsia="Times New Roman" w:hAnsi="Times New Roman"/>
        </w:rPr>
        <w:t xml:space="preserve">Conselho Nacional de Assistência Social. (2009). </w:t>
      </w:r>
      <w:r>
        <w:rPr>
          <w:rFonts w:ascii="Times New Roman" w:cs="Times New Roman" w:eastAsia="Times New Roman" w:hAnsi="Times New Roman"/>
          <w:i/>
          <w:iCs/>
        </w:rPr>
        <w:t xml:space="preserve">Resolução nº 109, de 11 de novembro de 2009</w:t>
      </w:r>
      <w:r>
        <w:rPr>
          <w:rFonts w:ascii="Times New Roman" w:cs="Times New Roman" w:eastAsia="Times New Roman" w:hAnsi="Times New Roman"/>
        </w:rPr>
        <w:t xml:space="preserve">. Aprova a Tipificação Nacional de Serviços Socioassistenciais.</w:t>
      </w:r>
    </w:p>
    <w:p>
      <w:pPr>
        <w:spacing w:after="0" w:before="0" w:line="480"/>
        <w:ind w:firstLine="720"/>
        <w:jc w:val="left"/>
      </w:pPr>
      <w:r>
        <w:rPr>
          <w:rFonts w:ascii="Times New Roman" w:cs="Times New Roman" w:eastAsia="Times New Roman" w:hAnsi="Times New Roman"/>
        </w:rPr>
        <w:t xml:space="preserve">– Tipifica o Centro POP e o acolhimento institucional para a PSR. Será utilizada para identificar a retaguarda socioassistencial disponível para a transição do cuidado.</w:t>
      </w:r>
    </w:p>
    <w:p>
      <w:pPr>
        <w:spacing w:after="0" w:before="0" w:line="480"/>
        <w:ind w:left="720" w:hanging="720"/>
        <w:jc w:val="left"/>
      </w:pPr>
      <w:r>
        <w:rPr>
          <w:rFonts w:ascii="Times New Roman" w:cs="Times New Roman" w:eastAsia="Times New Roman" w:hAnsi="Times New Roman"/>
        </w:rPr>
        <w:t xml:space="preserve">Supremo Tribunal Federal. (2023). </w:t>
      </w:r>
      <w:r>
        <w:rPr>
          <w:rFonts w:ascii="Times New Roman" w:cs="Times New Roman" w:eastAsia="Times New Roman" w:hAnsi="Times New Roman"/>
          <w:i/>
          <w:iCs/>
        </w:rPr>
        <w:t xml:space="preserve">Arguição de Descumprimento de Preceito Fundamental nº 976</w:t>
      </w:r>
      <w:r>
        <w:rPr>
          <w:rFonts w:ascii="Times New Roman" w:cs="Times New Roman" w:eastAsia="Times New Roman" w:hAnsi="Times New Roman"/>
        </w:rPr>
        <w:t xml:space="preserve"> (Referendo na medida cautelar). Relator: Min. Alexandre de Moraes. </w:t>
      </w:r>
      <w:hyperlink w:history="1" r:id="rIdusadaigxh756iljzlzbmu">
        <w:r>
          <w:rPr>
            <w:rFonts w:ascii="Times New Roman" w:cs="Times New Roman" w:eastAsia="Times New Roman" w:hAnsi="Times New Roman"/>
          </w:rPr>
          <w:t xml:space="preserve">https://portal.stf.jus.br</w:t>
        </w:r>
      </w:hyperlink>
    </w:p>
    <w:p>
      <w:pPr>
        <w:spacing w:after="0" w:before="0" w:line="480"/>
        <w:ind w:firstLine="720"/>
        <w:jc w:val="left"/>
      </w:pPr>
      <w:r>
        <w:rPr>
          <w:rFonts w:ascii="Times New Roman" w:cs="Times New Roman" w:eastAsia="Times New Roman" w:hAnsi="Times New Roman"/>
        </w:rPr>
        <w:t xml:space="preserve">– Determina que todos os entes federados observem as diretrizes do Decreto nº 7.053/2009. Será utilizada para fundamentar a pactuação de fluxos entre o hospital e o município.</w:t>
      </w:r>
    </w:p>
    <w:p>
      <w:pPr>
        <w:spacing w:after="0" w:before="0" w:line="480"/>
        <w:ind w:left="720" w:hanging="720"/>
        <w:jc w:val="left"/>
      </w:pPr>
      <w:r>
        <w:rPr>
          <w:rFonts w:ascii="Times New Roman" w:cs="Times New Roman" w:eastAsia="Times New Roman" w:hAnsi="Times New Roman"/>
        </w:rPr>
        <w:t xml:space="preserve">Ministério dos Direitos Humanos e da Cidadania. (2023). </w:t>
      </w:r>
      <w:r>
        <w:rPr>
          <w:rFonts w:ascii="Times New Roman" w:cs="Times New Roman" w:eastAsia="Times New Roman" w:hAnsi="Times New Roman"/>
          <w:i/>
          <w:iCs/>
        </w:rPr>
        <w:t xml:space="preserve">Plano Ruas Visíveis</w:t>
      </w:r>
      <w:r>
        <w:rPr>
          <w:rFonts w:ascii="Times New Roman" w:cs="Times New Roman" w:eastAsia="Times New Roman" w:hAnsi="Times New Roman"/>
        </w:rPr>
        <w:t xml:space="preserve"> [Folder]. </w:t>
      </w:r>
      <w:hyperlink w:history="1" r:id="rIdxmoc56-shm8-measzg1yi">
        <w:r>
          <w:rPr>
            <w:rFonts w:ascii="Times New Roman" w:cs="Times New Roman" w:eastAsia="Times New Roman" w:hAnsi="Times New Roman"/>
          </w:rPr>
          <w:t xml:space="preserve">https://www.gov.br/mdh/pt-br/navegue-por-temas/populacao-em-situacao-de-rua/publicacoes/folder-ruas-visiveis.pdf</w:t>
        </w:r>
      </w:hyperlink>
    </w:p>
    <w:p>
      <w:pPr>
        <w:spacing w:after="0" w:before="0" w:line="480"/>
        <w:ind w:firstLine="720"/>
        <w:jc w:val="left"/>
      </w:pPr>
      <w:r>
        <w:rPr>
          <w:rFonts w:ascii="Times New Roman" w:cs="Times New Roman" w:eastAsia="Times New Roman" w:hAnsi="Times New Roman"/>
        </w:rPr>
        <w:t xml:space="preserve">– Apresenta o plano federal para a PSR, com eixo dedicado à saúde. Será utilizado para situar as estratégias propostas no contexto das políticas públicas vigentes.</w:t>
      </w:r>
    </w:p>
    <w:p>
      <w:pPr>
        <w:spacing w:after="0" w:before="0" w:line="480"/>
        <w:ind w:left="720" w:hanging="720"/>
        <w:jc w:val="left"/>
      </w:pPr>
      <w:r>
        <w:rPr>
          <w:rFonts w:ascii="Times New Roman" w:cs="Times New Roman" w:eastAsia="Times New Roman" w:hAnsi="Times New Roman"/>
        </w:rPr>
        <w:t xml:space="preserve">Brasil. (2024). </w:t>
      </w:r>
      <w:r>
        <w:rPr>
          <w:rFonts w:ascii="Times New Roman" w:cs="Times New Roman" w:eastAsia="Times New Roman" w:hAnsi="Times New Roman"/>
          <w:i/>
          <w:iCs/>
        </w:rPr>
        <w:t xml:space="preserve">Lei nº 14.821, de 16 de janeiro de 2024</w:t>
      </w:r>
      <w:r>
        <w:rPr>
          <w:rFonts w:ascii="Times New Roman" w:cs="Times New Roman" w:eastAsia="Times New Roman" w:hAnsi="Times New Roman"/>
        </w:rPr>
        <w:t xml:space="preserve">. Institui a Política Nacional de Trabalho Digno e Cidadania para a População em Situação de Rua (PNTC PopRua). </w:t>
      </w:r>
      <w:hyperlink w:history="1" r:id="rIdhqkabcqb_c1xutceobiht">
        <w:r>
          <w:rPr>
            <w:rFonts w:ascii="Times New Roman" w:cs="Times New Roman" w:eastAsia="Times New Roman" w:hAnsi="Times New Roman"/>
          </w:rPr>
          <w:t xml:space="preserve">https://www.planalto.gov.br/ccivil_03/_ato2023-2026/2024/lei/l14821.htm</w:t>
        </w:r>
      </w:hyperlink>
    </w:p>
    <w:p>
      <w:pPr>
        <w:spacing w:after="0" w:before="0" w:line="480"/>
        <w:ind w:firstLine="720"/>
        <w:jc w:val="left"/>
      </w:pPr>
      <w:r>
        <w:rPr>
          <w:rFonts w:ascii="Times New Roman" w:cs="Times New Roman" w:eastAsia="Times New Roman" w:hAnsi="Times New Roman"/>
        </w:rPr>
        <w:t xml:space="preserve">– Amplia a proteção à PSR para as dimensões de trabalho, renda e cidadania. Será utilizada para discutir a articulação intersetorial necessária à saída da rua.</w:t>
      </w:r>
    </w:p>
    <w:p>
      <w:pPr>
        <w:keepNext/>
        <w:spacing w:after="0" w:before="0" w:line="480"/>
        <w:jc w:val="left"/>
      </w:pPr>
      <w:r>
        <w:rPr>
          <w:rFonts w:ascii="Times New Roman" w:cs="Times New Roman" w:eastAsia="Times New Roman" w:hAnsi="Times New Roman"/>
          <w:b/>
          <w:bCs/>
        </w:rPr>
        <w:t xml:space="preserve">Referências Metodológicas</w:t>
      </w:r>
    </w:p>
    <w:p>
      <w:pPr>
        <w:spacing w:after="0" w:before="0" w:line="480"/>
        <w:ind w:left="720" w:hanging="720"/>
        <w:jc w:val="left"/>
      </w:pPr>
      <w:r>
        <w:rPr>
          <w:rFonts w:ascii="Times New Roman" w:cs="Times New Roman" w:eastAsia="Times New Roman" w:hAnsi="Times New Roman"/>
        </w:rPr>
        <w:t xml:space="preserve">Gil, A. C. (2017). </w:t>
      </w:r>
      <w:r>
        <w:rPr>
          <w:rFonts w:ascii="Times New Roman" w:cs="Times New Roman" w:eastAsia="Times New Roman" w:hAnsi="Times New Roman"/>
          <w:i/>
          <w:iCs/>
        </w:rPr>
        <w:t xml:space="preserve">Como elaborar projetos de pesquisa</w:t>
      </w:r>
      <w:r>
        <w:rPr>
          <w:rFonts w:ascii="Times New Roman" w:cs="Times New Roman" w:eastAsia="Times New Roman" w:hAnsi="Times New Roman"/>
        </w:rPr>
        <w:t xml:space="preserve"> (6ª ed.). Atlas.</w:t>
      </w:r>
    </w:p>
    <w:p>
      <w:pPr>
        <w:spacing w:after="0" w:before="0" w:line="480"/>
        <w:ind w:firstLine="720"/>
        <w:jc w:val="left"/>
      </w:pPr>
      <w:r>
        <w:rPr>
          <w:rFonts w:ascii="Times New Roman" w:cs="Times New Roman" w:eastAsia="Times New Roman" w:hAnsi="Times New Roman"/>
        </w:rPr>
        <w:t xml:space="preserve">– Apresenta a classificação das pesquisas quanto aos objetivos e aos procedimentos técnicos. Fundamentará a caracterização deste estudo como exploratório, descritivo, bibliográfico e documental.</w:t>
      </w:r>
    </w:p>
    <w:p>
      <w:pPr>
        <w:spacing w:after="0" w:before="0" w:line="480"/>
        <w:ind w:left="720" w:hanging="720"/>
        <w:jc w:val="left"/>
      </w:pPr>
      <w:r>
        <w:rPr>
          <w:rFonts w:ascii="Times New Roman" w:cs="Times New Roman" w:eastAsia="Times New Roman" w:hAnsi="Times New Roman"/>
        </w:rPr>
        <w:t xml:space="preserve">Rother, E. T. (2007). Revisão sistemática X revisão narrativa [Editorial]. </w:t>
      </w:r>
      <w:r>
        <w:rPr>
          <w:rFonts w:ascii="Times New Roman" w:cs="Times New Roman" w:eastAsia="Times New Roman" w:hAnsi="Times New Roman"/>
          <w:i/>
          <w:iCs/>
        </w:rPr>
        <w:t xml:space="preserve">Acta Paulista de Enfermagem</w:t>
      </w:r>
      <w:r>
        <w:rPr>
          <w:rFonts w:ascii="Times New Roman" w:cs="Times New Roman" w:eastAsia="Times New Roman" w:hAnsi="Times New Roman"/>
        </w:rPr>
        <w:t xml:space="preserve">, </w:t>
      </w:r>
      <w:r>
        <w:rPr>
          <w:rFonts w:ascii="Times New Roman" w:cs="Times New Roman" w:eastAsia="Times New Roman" w:hAnsi="Times New Roman"/>
          <w:i/>
          <w:iCs/>
        </w:rPr>
        <w:t xml:space="preserve">20</w:t>
      </w:r>
      <w:r>
        <w:rPr>
          <w:rFonts w:ascii="Times New Roman" w:cs="Times New Roman" w:eastAsia="Times New Roman" w:hAnsi="Times New Roman"/>
        </w:rPr>
        <w:t xml:space="preserve">(2), v–vi.</w:t>
      </w:r>
    </w:p>
    <w:p>
      <w:pPr>
        <w:spacing w:after="0" w:before="0" w:line="480"/>
        <w:ind w:firstLine="720"/>
        <w:jc w:val="left"/>
      </w:pPr>
      <w:r>
        <w:rPr>
          <w:rFonts w:ascii="Times New Roman" w:cs="Times New Roman" w:eastAsia="Times New Roman" w:hAnsi="Times New Roman"/>
        </w:rPr>
        <w:t xml:space="preserve">– Diferencia a revisão narrativa da sistemática. Será utilizado para justificar a escolha da revisão narrativa diante de um tema amplo e de evidência heterogênea.</w:t>
      </w:r>
    </w:p>
    <w:p>
      <w:pPr>
        <w:spacing w:after="0" w:before="0" w:line="480"/>
        <w:ind w:left="720" w:hanging="720"/>
        <w:jc w:val="left"/>
      </w:pPr>
      <w:r>
        <w:rPr>
          <w:rFonts w:ascii="Times New Roman" w:cs="Times New Roman" w:eastAsia="Times New Roman" w:hAnsi="Times New Roman"/>
        </w:rPr>
        <w:t xml:space="preserve">Bardin, L. (2016). </w:t>
      </w:r>
      <w:r>
        <w:rPr>
          <w:rFonts w:ascii="Times New Roman" w:cs="Times New Roman" w:eastAsia="Times New Roman" w:hAnsi="Times New Roman"/>
          <w:i/>
          <w:iCs/>
        </w:rPr>
        <w:t xml:space="preserve">Análise de conteúdo</w:t>
      </w:r>
      <w:r>
        <w:rPr>
          <w:rFonts w:ascii="Times New Roman" w:cs="Times New Roman" w:eastAsia="Times New Roman" w:hAnsi="Times New Roman"/>
        </w:rPr>
        <w:t xml:space="preserve"> (L. A. Reto &amp; A. Pinheiro, Trads.). Edições 70.</w:t>
      </w:r>
    </w:p>
    <w:p>
      <w:pPr>
        <w:spacing w:after="0" w:before="0" w:line="480"/>
        <w:ind w:firstLine="720"/>
        <w:jc w:val="left"/>
      </w:pPr>
      <w:r>
        <w:rPr>
          <w:rFonts w:ascii="Times New Roman" w:cs="Times New Roman" w:eastAsia="Times New Roman" w:hAnsi="Times New Roman"/>
        </w:rPr>
        <w:t xml:space="preserve">– Descreve as fases da análise de conteúdo. Orientará a análise temática do material em quatro eixos.</w:t>
      </w:r>
    </w:p>
    <w:p>
      <w:pPr>
        <w:spacing w:after="0" w:before="0" w:line="480"/>
        <w:ind w:left="720" w:hanging="720"/>
        <w:jc w:val="left"/>
      </w:pPr>
      <w:r>
        <w:rPr>
          <w:rFonts w:ascii="Times New Roman" w:cs="Times New Roman" w:eastAsia="Times New Roman" w:hAnsi="Times New Roman"/>
        </w:rPr>
        <w:t xml:space="preserve">Conselho Nacional de Saúde. (2016). </w:t>
      </w:r>
      <w:r>
        <w:rPr>
          <w:rFonts w:ascii="Times New Roman" w:cs="Times New Roman" w:eastAsia="Times New Roman" w:hAnsi="Times New Roman"/>
          <w:i/>
          <w:iCs/>
        </w:rPr>
        <w:t xml:space="preserve">Resolução nº 510, de 7 de abril de 2016</w:t>
      </w:r>
      <w:r>
        <w:rPr>
          <w:rFonts w:ascii="Times New Roman" w:cs="Times New Roman" w:eastAsia="Times New Roman" w:hAnsi="Times New Roman"/>
        </w:rPr>
        <w:t xml:space="preserve">. Dispõe sobre as normas aplicáveis a pesquisas em Ciências Humanas e Sociais.</w:t>
      </w:r>
    </w:p>
    <w:p>
      <w:pPr>
        <w:spacing w:after="0" w:before="0" w:line="480"/>
        <w:ind w:firstLine="720"/>
        <w:jc w:val="left"/>
      </w:pPr>
      <w:r>
        <w:rPr>
          <w:rFonts w:ascii="Times New Roman" w:cs="Times New Roman" w:eastAsia="Times New Roman" w:hAnsi="Times New Roman"/>
        </w:rPr>
        <w:t xml:space="preserve">– Define as pesquisas dispensadas de apreciação ética, entre elas a revisão da literatura científica. Fundamentará os aspectos éticos do estudo.</w:t>
      </w:r>
    </w:p>
    <w:p>
      <w:r>
        <w:br w:type="page"/>
      </w:r>
    </w:p>
    <w:p>
      <w:pPr>
        <w:keepNext/>
        <w:spacing w:after="0" w:before="0" w:line="480"/>
        <w:jc w:val="center"/>
      </w:pPr>
      <w:r>
        <w:rPr>
          <w:rFonts w:ascii="Times New Roman" w:cs="Times New Roman" w:eastAsia="Times New Roman" w:hAnsi="Times New Roman"/>
          <w:b/>
          <w:bCs/>
        </w:rPr>
        <w:t xml:space="preserve">Referências</w:t>
      </w:r>
    </w:p>
    <w:p>
      <w:pPr>
        <w:spacing w:after="0" w:before="0" w:line="480"/>
        <w:ind w:left="720" w:hanging="720"/>
        <w:jc w:val="left"/>
      </w:pPr>
      <w:r>
        <w:rPr>
          <w:rFonts w:ascii="Times New Roman" w:cs="Times New Roman" w:eastAsia="Times New Roman" w:hAnsi="Times New Roman"/>
        </w:rPr>
        <w:t xml:space="preserve">Bardin, L. (2016). </w:t>
      </w:r>
      <w:r>
        <w:rPr>
          <w:rFonts w:ascii="Times New Roman" w:cs="Times New Roman" w:eastAsia="Times New Roman" w:hAnsi="Times New Roman"/>
          <w:i/>
          <w:iCs/>
        </w:rPr>
        <w:t xml:space="preserve">Análise de conteúdo</w:t>
      </w:r>
      <w:r>
        <w:rPr>
          <w:rFonts w:ascii="Times New Roman" w:cs="Times New Roman" w:eastAsia="Times New Roman" w:hAnsi="Times New Roman"/>
        </w:rPr>
        <w:t xml:space="preserve"> (L. A. Reto &amp; A. Pinheiro, Trads.). Edições 70.</w:t>
      </w:r>
    </w:p>
    <w:p>
      <w:pPr>
        <w:spacing w:after="0" w:before="0" w:line="480"/>
        <w:ind w:left="720" w:hanging="720"/>
        <w:jc w:val="left"/>
      </w:pPr>
      <w:r>
        <w:rPr>
          <w:rFonts w:ascii="Times New Roman" w:cs="Times New Roman" w:eastAsia="Times New Roman" w:hAnsi="Times New Roman"/>
        </w:rPr>
        <w:t xml:space="preserve">Beauchamp, T. L., &amp; Childress, J. F. (2019). </w:t>
      </w:r>
      <w:r>
        <w:rPr>
          <w:rFonts w:ascii="Times New Roman" w:cs="Times New Roman" w:eastAsia="Times New Roman" w:hAnsi="Times New Roman"/>
          <w:i/>
          <w:iCs/>
        </w:rPr>
        <w:t xml:space="preserve">Principles of biomedical ethics</w:t>
      </w:r>
      <w:r>
        <w:rPr>
          <w:rFonts w:ascii="Times New Roman" w:cs="Times New Roman" w:eastAsia="Times New Roman" w:hAnsi="Times New Roman"/>
        </w:rPr>
        <w:t xml:space="preserve"> (8th ed.). Oxford University Press.</w:t>
      </w:r>
    </w:p>
    <w:p>
      <w:pPr>
        <w:spacing w:after="0" w:before="0" w:line="480"/>
        <w:ind w:left="720" w:hanging="720"/>
        <w:jc w:val="left"/>
      </w:pPr>
      <w:r>
        <w:rPr>
          <w:rFonts w:ascii="Times New Roman" w:cs="Times New Roman" w:eastAsia="Times New Roman" w:hAnsi="Times New Roman"/>
        </w:rPr>
        <w:t xml:space="preserve">Brasil. (1990). </w:t>
      </w:r>
      <w:r>
        <w:rPr>
          <w:rFonts w:ascii="Times New Roman" w:cs="Times New Roman" w:eastAsia="Times New Roman" w:hAnsi="Times New Roman"/>
          <w:i/>
          <w:iCs/>
        </w:rPr>
        <w:t xml:space="preserve">Lei nº 8.080, de 19 de setembro de 1990</w:t>
      </w:r>
      <w:r>
        <w:rPr>
          <w:rFonts w:ascii="Times New Roman" w:cs="Times New Roman" w:eastAsia="Times New Roman" w:hAnsi="Times New Roman"/>
        </w:rPr>
        <w:t xml:space="preserve">. Dispõe sobre as condições para a promoção, proteção e recuperação da saúde, a organização e o funcionamento dos serviços correspondentes e dá outras providências. </w:t>
      </w:r>
      <w:hyperlink w:history="1" r:id="rIdi2-uvhihtk1cdrxqirwgu">
        <w:r>
          <w:rPr>
            <w:rFonts w:ascii="Times New Roman" w:cs="Times New Roman" w:eastAsia="Times New Roman" w:hAnsi="Times New Roman"/>
          </w:rPr>
          <w:t xml:space="preserve">https://www.planalto.gov.br/ccivil_03/leis/l8080.htm</w:t>
        </w:r>
      </w:hyperlink>
    </w:p>
    <w:p>
      <w:pPr>
        <w:spacing w:after="0" w:before="0" w:line="480"/>
        <w:ind w:left="720" w:hanging="720"/>
        <w:jc w:val="left"/>
      </w:pPr>
      <w:r>
        <w:rPr>
          <w:rFonts w:ascii="Times New Roman" w:cs="Times New Roman" w:eastAsia="Times New Roman" w:hAnsi="Times New Roman"/>
        </w:rPr>
        <w:t xml:space="preserve">Brasil. (2009). </w:t>
      </w:r>
      <w:r>
        <w:rPr>
          <w:rFonts w:ascii="Times New Roman" w:cs="Times New Roman" w:eastAsia="Times New Roman" w:hAnsi="Times New Roman"/>
          <w:i/>
          <w:iCs/>
        </w:rPr>
        <w:t xml:space="preserve">Decreto nº 7.053, de 23 de dezembro de 2009</w:t>
      </w:r>
      <w:r>
        <w:rPr>
          <w:rFonts w:ascii="Times New Roman" w:cs="Times New Roman" w:eastAsia="Times New Roman" w:hAnsi="Times New Roman"/>
        </w:rPr>
        <w:t xml:space="preserve">. Institui a Política Nacional para a População em Situação de Rua e seu Comitê Intersetorial de Acompanhamento e Monitoramento, e dá outras providências. </w:t>
      </w:r>
      <w:hyperlink w:history="1" r:id="rIdhoqm0nc5dh1cgzowiczuh">
        <w:r>
          <w:rPr>
            <w:rFonts w:ascii="Times New Roman" w:cs="Times New Roman" w:eastAsia="Times New Roman" w:hAnsi="Times New Roman"/>
          </w:rPr>
          <w:t xml:space="preserve">https://www.planalto.gov.br/ccivil_03/_ato2007-2010/2009/decreto/d7053.htm</w:t>
        </w:r>
      </w:hyperlink>
    </w:p>
    <w:p>
      <w:pPr>
        <w:spacing w:after="0" w:before="0" w:line="480"/>
        <w:ind w:left="720" w:hanging="720"/>
        <w:jc w:val="left"/>
      </w:pPr>
      <w:r>
        <w:rPr>
          <w:rFonts w:ascii="Times New Roman" w:cs="Times New Roman" w:eastAsia="Times New Roman" w:hAnsi="Times New Roman"/>
        </w:rPr>
        <w:t xml:space="preserve">Brasil. (2024). </w:t>
      </w:r>
      <w:r>
        <w:rPr>
          <w:rFonts w:ascii="Times New Roman" w:cs="Times New Roman" w:eastAsia="Times New Roman" w:hAnsi="Times New Roman"/>
          <w:i/>
          <w:iCs/>
        </w:rPr>
        <w:t xml:space="preserve">Lei nº 14.821, de 16 de janeiro de 2024</w:t>
      </w:r>
      <w:r>
        <w:rPr>
          <w:rFonts w:ascii="Times New Roman" w:cs="Times New Roman" w:eastAsia="Times New Roman" w:hAnsi="Times New Roman"/>
        </w:rPr>
        <w:t xml:space="preserve">. Institui a Política Nacional de Trabalho Digno e Cidadania para a População em Situação de Rua (PNTC PopRua). </w:t>
      </w:r>
      <w:hyperlink w:history="1" r:id="rIdkwnapslgry4ls9scppn8s">
        <w:r>
          <w:rPr>
            <w:rFonts w:ascii="Times New Roman" w:cs="Times New Roman" w:eastAsia="Times New Roman" w:hAnsi="Times New Roman"/>
          </w:rPr>
          <w:t xml:space="preserve">https://www.planalto.gov.br/ccivil_03/_ato2023-2026/2024/lei/l14821.htm</w:t>
        </w:r>
      </w:hyperlink>
    </w:p>
    <w:p>
      <w:pPr>
        <w:spacing w:after="0" w:before="0" w:line="480"/>
        <w:ind w:left="720" w:hanging="720"/>
        <w:jc w:val="left"/>
      </w:pPr>
      <w:r>
        <w:rPr>
          <w:rFonts w:ascii="Times New Roman" w:cs="Times New Roman" w:eastAsia="Times New Roman" w:hAnsi="Times New Roman"/>
        </w:rPr>
        <w:t xml:space="preserve">Bring, C., Kruse, M., Ankarfeldt, M. Z., Brünés, N., Pedersen, M., Petersen, J., &amp; Andersen, O. (2020). Post-hospital medical respite care for homeless people in Denmark: A randomized controlled trial and cost-utility analysis. </w:t>
      </w:r>
      <w:r>
        <w:rPr>
          <w:rFonts w:ascii="Times New Roman" w:cs="Times New Roman" w:eastAsia="Times New Roman" w:hAnsi="Times New Roman"/>
          <w:i/>
          <w:iCs/>
        </w:rPr>
        <w:t xml:space="preserve">BMC Health Services Research</w:t>
      </w:r>
      <w:r>
        <w:rPr>
          <w:rFonts w:ascii="Times New Roman" w:cs="Times New Roman" w:eastAsia="Times New Roman" w:hAnsi="Times New Roman"/>
        </w:rPr>
        <w:t xml:space="preserve">, </w:t>
      </w:r>
      <w:r>
        <w:rPr>
          <w:rFonts w:ascii="Times New Roman" w:cs="Times New Roman" w:eastAsia="Times New Roman" w:hAnsi="Times New Roman"/>
          <w:i/>
          <w:iCs/>
        </w:rPr>
        <w:t xml:space="preserve">20</w:t>
      </w:r>
      <w:r>
        <w:rPr>
          <w:rFonts w:ascii="Times New Roman" w:cs="Times New Roman" w:eastAsia="Times New Roman" w:hAnsi="Times New Roman"/>
        </w:rPr>
        <w:t xml:space="preserve">, Artigo 508. </w:t>
      </w:r>
      <w:hyperlink w:history="1" r:id="rIdrofa5bruktcnym7xksftg">
        <w:r>
          <w:rPr>
            <w:rFonts w:ascii="Times New Roman" w:cs="Times New Roman" w:eastAsia="Times New Roman" w:hAnsi="Times New Roman"/>
          </w:rPr>
          <w:t xml:space="preserve">https://doi.org/10.1186/s12913-020-05358-4</w:t>
        </w:r>
      </w:hyperlink>
    </w:p>
    <w:p>
      <w:pPr>
        <w:spacing w:after="0" w:before="0" w:line="480"/>
        <w:ind w:left="720" w:hanging="720"/>
        <w:jc w:val="left"/>
      </w:pPr>
      <w:r>
        <w:rPr>
          <w:rFonts w:ascii="Times New Roman" w:cs="Times New Roman" w:eastAsia="Times New Roman" w:hAnsi="Times New Roman"/>
        </w:rPr>
        <w:t xml:space="preserve">Conselho Nacional de Assistência Social. (2009). </w:t>
      </w:r>
      <w:r>
        <w:rPr>
          <w:rFonts w:ascii="Times New Roman" w:cs="Times New Roman" w:eastAsia="Times New Roman" w:hAnsi="Times New Roman"/>
          <w:i/>
          <w:iCs/>
        </w:rPr>
        <w:t xml:space="preserve">Resolução nº 109, de 11 de novembro de 2009</w:t>
      </w:r>
      <w:r>
        <w:rPr>
          <w:rFonts w:ascii="Times New Roman" w:cs="Times New Roman" w:eastAsia="Times New Roman" w:hAnsi="Times New Roman"/>
        </w:rPr>
        <w:t xml:space="preserve">. Aprova a Tipificação Nacional de Serviços Socioassistenciais.</w:t>
      </w:r>
    </w:p>
    <w:p>
      <w:pPr>
        <w:spacing w:after="0" w:before="0" w:line="480"/>
        <w:ind w:left="720" w:hanging="720"/>
        <w:jc w:val="left"/>
      </w:pPr>
      <w:r>
        <w:rPr>
          <w:rFonts w:ascii="Times New Roman" w:cs="Times New Roman" w:eastAsia="Times New Roman" w:hAnsi="Times New Roman"/>
        </w:rPr>
        <w:t xml:space="preserve">Conselho Nacional de Saúde. (2016). </w:t>
      </w:r>
      <w:r>
        <w:rPr>
          <w:rFonts w:ascii="Times New Roman" w:cs="Times New Roman" w:eastAsia="Times New Roman" w:hAnsi="Times New Roman"/>
          <w:i/>
          <w:iCs/>
        </w:rPr>
        <w:t xml:space="preserve">Resolução nº 510, de 7 de abril de 2016</w:t>
      </w:r>
      <w:r>
        <w:rPr>
          <w:rFonts w:ascii="Times New Roman" w:cs="Times New Roman" w:eastAsia="Times New Roman" w:hAnsi="Times New Roman"/>
        </w:rPr>
        <w:t xml:space="preserve">. Dispõe sobre as normas aplicáveis a pesquisas em Ciências Humanas e Sociais.</w:t>
      </w:r>
    </w:p>
    <w:p>
      <w:pPr>
        <w:spacing w:after="0" w:before="0" w:line="480"/>
        <w:ind w:left="720" w:hanging="720"/>
        <w:jc w:val="left"/>
      </w:pPr>
      <w:r>
        <w:rPr>
          <w:rFonts w:ascii="Times New Roman" w:cs="Times New Roman" w:eastAsia="Times New Roman" w:hAnsi="Times New Roman"/>
        </w:rPr>
        <w:t xml:space="preserve">Doran, K. M., Ragins, K. T., Gross, C. P., &amp; Zerger, S. (2013). Medical respite programs for homeless patients: A systematic review. </w:t>
      </w:r>
      <w:r>
        <w:rPr>
          <w:rFonts w:ascii="Times New Roman" w:cs="Times New Roman" w:eastAsia="Times New Roman" w:hAnsi="Times New Roman"/>
          <w:i/>
          <w:iCs/>
        </w:rPr>
        <w:t xml:space="preserve">Journal of Health Care for the Poor and Underserved</w:t>
      </w:r>
      <w:r>
        <w:rPr>
          <w:rFonts w:ascii="Times New Roman" w:cs="Times New Roman" w:eastAsia="Times New Roman" w:hAnsi="Times New Roman"/>
        </w:rPr>
        <w:t xml:space="preserve">, </w:t>
      </w:r>
      <w:r>
        <w:rPr>
          <w:rFonts w:ascii="Times New Roman" w:cs="Times New Roman" w:eastAsia="Times New Roman" w:hAnsi="Times New Roman"/>
          <w:i/>
          <w:iCs/>
        </w:rPr>
        <w:t xml:space="preserve">24</w:t>
      </w:r>
      <w:r>
        <w:rPr>
          <w:rFonts w:ascii="Times New Roman" w:cs="Times New Roman" w:eastAsia="Times New Roman" w:hAnsi="Times New Roman"/>
        </w:rPr>
        <w:t xml:space="preserve">(2), 499–524. </w:t>
      </w:r>
      <w:hyperlink w:history="1" r:id="rIdqb8-v12zb-adjunhy1zl5">
        <w:r>
          <w:rPr>
            <w:rFonts w:ascii="Times New Roman" w:cs="Times New Roman" w:eastAsia="Times New Roman" w:hAnsi="Times New Roman"/>
          </w:rPr>
          <w:t xml:space="preserve">https://doi.org/10.1353/hpu.2013.0053</w:t>
        </w:r>
      </w:hyperlink>
    </w:p>
    <w:p>
      <w:pPr>
        <w:spacing w:after="0" w:before="0" w:line="480"/>
        <w:ind w:left="720" w:hanging="720"/>
        <w:jc w:val="left"/>
      </w:pPr>
      <w:r>
        <w:rPr>
          <w:rFonts w:ascii="Times New Roman" w:cs="Times New Roman" w:eastAsia="Times New Roman" w:hAnsi="Times New Roman"/>
        </w:rPr>
        <w:t xml:space="preserve">Fazel, S., Geddes, J. R., &amp; Kushel, M. (2014). The health of homeless people in high-income countries: Descriptive epidemiology, health consequences, and clinical and policy recommendations. </w:t>
      </w:r>
      <w:r>
        <w:rPr>
          <w:rFonts w:ascii="Times New Roman" w:cs="Times New Roman" w:eastAsia="Times New Roman" w:hAnsi="Times New Roman"/>
          <w:i/>
          <w:iCs/>
        </w:rPr>
        <w:t xml:space="preserve">The Lancet</w:t>
      </w:r>
      <w:r>
        <w:rPr>
          <w:rFonts w:ascii="Times New Roman" w:cs="Times New Roman" w:eastAsia="Times New Roman" w:hAnsi="Times New Roman"/>
        </w:rPr>
        <w:t xml:space="preserve">, </w:t>
      </w:r>
      <w:r>
        <w:rPr>
          <w:rFonts w:ascii="Times New Roman" w:cs="Times New Roman" w:eastAsia="Times New Roman" w:hAnsi="Times New Roman"/>
          <w:i/>
          <w:iCs/>
        </w:rPr>
        <w:t xml:space="preserve">384</w:t>
      </w:r>
      <w:r>
        <w:rPr>
          <w:rFonts w:ascii="Times New Roman" w:cs="Times New Roman" w:eastAsia="Times New Roman" w:hAnsi="Times New Roman"/>
        </w:rPr>
        <w:t xml:space="preserve">(9953), 1529–1540. </w:t>
      </w:r>
      <w:hyperlink w:history="1" r:id="rIdtpcdr06wnmshzxymklacz">
        <w:r>
          <w:rPr>
            <w:rFonts w:ascii="Times New Roman" w:cs="Times New Roman" w:eastAsia="Times New Roman" w:hAnsi="Times New Roman"/>
          </w:rPr>
          <w:t xml:space="preserve">https://doi.org/10.1016/S0140-6736(14)61132-6</w:t>
        </w:r>
      </w:hyperlink>
    </w:p>
    <w:p>
      <w:pPr>
        <w:spacing w:after="0" w:before="0" w:line="480"/>
        <w:ind w:left="720" w:hanging="720"/>
        <w:jc w:val="left"/>
      </w:pPr>
      <w:r>
        <w:rPr>
          <w:rFonts w:ascii="Times New Roman" w:cs="Times New Roman" w:eastAsia="Times New Roman" w:hAnsi="Times New Roman"/>
        </w:rPr>
        <w:t xml:space="preserve">Gil, A. C. (2017). </w:t>
      </w:r>
      <w:r>
        <w:rPr>
          <w:rFonts w:ascii="Times New Roman" w:cs="Times New Roman" w:eastAsia="Times New Roman" w:hAnsi="Times New Roman"/>
          <w:i/>
          <w:iCs/>
        </w:rPr>
        <w:t xml:space="preserve">Como elaborar projetos de pesquisa</w:t>
      </w:r>
      <w:r>
        <w:rPr>
          <w:rFonts w:ascii="Times New Roman" w:cs="Times New Roman" w:eastAsia="Times New Roman" w:hAnsi="Times New Roman"/>
        </w:rPr>
        <w:t xml:space="preserve"> (6ª ed.). Atlas.</w:t>
      </w:r>
    </w:p>
    <w:p>
      <w:pPr>
        <w:spacing w:after="0" w:before="0" w:line="480"/>
        <w:ind w:left="720" w:hanging="720"/>
        <w:jc w:val="left"/>
      </w:pPr>
      <w:r>
        <w:rPr>
          <w:rFonts w:ascii="Times New Roman" w:cs="Times New Roman" w:eastAsia="Times New Roman" w:hAnsi="Times New Roman"/>
        </w:rPr>
        <w:t xml:space="preserve">Hallais, J. A. S., &amp; Barros, N. F. (2015). Consultório na Rua: Visibilidades, invisibilidades e hipervisibilidade. </w:t>
      </w:r>
      <w:r>
        <w:rPr>
          <w:rFonts w:ascii="Times New Roman" w:cs="Times New Roman" w:eastAsia="Times New Roman" w:hAnsi="Times New Roman"/>
          <w:i/>
          <w:iCs/>
        </w:rPr>
        <w:t xml:space="preserve">Cadernos de Saúde Pública</w:t>
      </w:r>
      <w:r>
        <w:rPr>
          <w:rFonts w:ascii="Times New Roman" w:cs="Times New Roman" w:eastAsia="Times New Roman" w:hAnsi="Times New Roman"/>
        </w:rPr>
        <w:t xml:space="preserve">, </w:t>
      </w:r>
      <w:r>
        <w:rPr>
          <w:rFonts w:ascii="Times New Roman" w:cs="Times New Roman" w:eastAsia="Times New Roman" w:hAnsi="Times New Roman"/>
          <w:i/>
          <w:iCs/>
        </w:rPr>
        <w:t xml:space="preserve">31</w:t>
      </w:r>
      <w:r>
        <w:rPr>
          <w:rFonts w:ascii="Times New Roman" w:cs="Times New Roman" w:eastAsia="Times New Roman" w:hAnsi="Times New Roman"/>
        </w:rPr>
        <w:t xml:space="preserve">(7), 1497–1504. </w:t>
      </w:r>
      <w:hyperlink w:history="1" r:id="rIdk6cwrxp_cd03ngeetw2me">
        <w:r>
          <w:rPr>
            <w:rFonts w:ascii="Times New Roman" w:cs="Times New Roman" w:eastAsia="Times New Roman" w:hAnsi="Times New Roman"/>
          </w:rPr>
          <w:t xml:space="preserve">https://doi.org/10.1590/0102-311X00143114</w:t>
        </w:r>
      </w:hyperlink>
    </w:p>
    <w:p>
      <w:pPr>
        <w:spacing w:after="0" w:before="0" w:line="480"/>
        <w:ind w:left="720" w:hanging="720"/>
        <w:jc w:val="left"/>
      </w:pPr>
      <w:r>
        <w:rPr>
          <w:rFonts w:ascii="Times New Roman" w:cs="Times New Roman" w:eastAsia="Times New Roman" w:hAnsi="Times New Roman"/>
        </w:rPr>
        <w:t xml:space="preserve">Hwang, S. W., Weaver, J., Aubry, T., &amp; Hoch, J. S. (2011). Hospital costs and length of stay among homeless patients admitted to medical, surgical, and psychiatric services. </w:t>
      </w:r>
      <w:r>
        <w:rPr>
          <w:rFonts w:ascii="Times New Roman" w:cs="Times New Roman" w:eastAsia="Times New Roman" w:hAnsi="Times New Roman"/>
          <w:i/>
          <w:iCs/>
        </w:rPr>
        <w:t xml:space="preserve">Medical Care</w:t>
      </w:r>
      <w:r>
        <w:rPr>
          <w:rFonts w:ascii="Times New Roman" w:cs="Times New Roman" w:eastAsia="Times New Roman" w:hAnsi="Times New Roman"/>
        </w:rPr>
        <w:t xml:space="preserve">, </w:t>
      </w:r>
      <w:r>
        <w:rPr>
          <w:rFonts w:ascii="Times New Roman" w:cs="Times New Roman" w:eastAsia="Times New Roman" w:hAnsi="Times New Roman"/>
          <w:i/>
          <w:iCs/>
        </w:rPr>
        <w:t xml:space="preserve">49</w:t>
      </w:r>
      <w:r>
        <w:rPr>
          <w:rFonts w:ascii="Times New Roman" w:cs="Times New Roman" w:eastAsia="Times New Roman" w:hAnsi="Times New Roman"/>
        </w:rPr>
        <w:t xml:space="preserve">(4), 350–354. </w:t>
      </w:r>
      <w:hyperlink w:history="1" r:id="rIdyaw9zj-x-s1agl9utv5rw">
        <w:r>
          <w:rPr>
            <w:rFonts w:ascii="Times New Roman" w:cs="Times New Roman" w:eastAsia="Times New Roman" w:hAnsi="Times New Roman"/>
          </w:rPr>
          <w:t xml:space="preserve">https://pubmed.ncbi.nlm.nih.gov/21368678/</w:t>
        </w:r>
      </w:hyperlink>
    </w:p>
    <w:p>
      <w:pPr>
        <w:spacing w:after="0" w:before="0" w:line="480"/>
        <w:ind w:left="720" w:hanging="720"/>
        <w:jc w:val="left"/>
      </w:pPr>
      <w:r>
        <w:rPr>
          <w:rFonts w:ascii="Times New Roman" w:cs="Times New Roman" w:eastAsia="Times New Roman" w:hAnsi="Times New Roman"/>
        </w:rPr>
        <w:t xml:space="preserve">Lewer, D., Menezes, D., Cornes, M., Blackburn, R. M., Byng, R., Clark, M., Denaxas, S., Evans, H., Fuller, J., Hewett, N., Kilmister, A., Luchenski, S. A., Manthorpe, J., McKee, M., Neale, J., Story, A., Tinelli, M., Whiteford, M., Wurie, F., . . . Aldridge, R. W. (2021). Hospital readmission among people experiencing homelessness in England: A cohort study of 2772 matched homeless and housed inpatients. </w:t>
      </w:r>
      <w:r>
        <w:rPr>
          <w:rFonts w:ascii="Times New Roman" w:cs="Times New Roman" w:eastAsia="Times New Roman" w:hAnsi="Times New Roman"/>
          <w:i/>
          <w:iCs/>
        </w:rPr>
        <w:t xml:space="preserve">Journal of Epidemiology and Community Health</w:t>
      </w:r>
      <w:r>
        <w:rPr>
          <w:rFonts w:ascii="Times New Roman" w:cs="Times New Roman" w:eastAsia="Times New Roman" w:hAnsi="Times New Roman"/>
        </w:rPr>
        <w:t xml:space="preserve">, </w:t>
      </w:r>
      <w:r>
        <w:rPr>
          <w:rFonts w:ascii="Times New Roman" w:cs="Times New Roman" w:eastAsia="Times New Roman" w:hAnsi="Times New Roman"/>
          <w:i/>
          <w:iCs/>
        </w:rPr>
        <w:t xml:space="preserve">75</w:t>
      </w:r>
      <w:r>
        <w:rPr>
          <w:rFonts w:ascii="Times New Roman" w:cs="Times New Roman" w:eastAsia="Times New Roman" w:hAnsi="Times New Roman"/>
        </w:rPr>
        <w:t xml:space="preserve">(7), 681–688. </w:t>
      </w:r>
      <w:hyperlink w:history="1" r:id="rIdzwvxtq1g7yk5jnnslyvvj">
        <w:r>
          <w:rPr>
            <w:rFonts w:ascii="Times New Roman" w:cs="Times New Roman" w:eastAsia="Times New Roman" w:hAnsi="Times New Roman"/>
          </w:rPr>
          <w:t xml:space="preserve">https://doi.org/10.1136/jech-2020-215204</w:t>
        </w:r>
      </w:hyperlink>
    </w:p>
    <w:p>
      <w:pPr>
        <w:spacing w:after="0" w:before="0" w:line="480"/>
        <w:ind w:left="720" w:hanging="720"/>
        <w:jc w:val="left"/>
      </w:pPr>
      <w:r>
        <w:rPr>
          <w:rFonts w:ascii="Times New Roman" w:cs="Times New Roman" w:eastAsia="Times New Roman" w:hAnsi="Times New Roman"/>
        </w:rPr>
        <w:t xml:space="preserve">Ministério da Saúde. (2011a). </w:t>
      </w:r>
      <w:r>
        <w:rPr>
          <w:rFonts w:ascii="Times New Roman" w:cs="Times New Roman" w:eastAsia="Times New Roman" w:hAnsi="Times New Roman"/>
          <w:i/>
          <w:iCs/>
        </w:rPr>
        <w:t xml:space="preserve">Portaria nº 122, de 25 de janeiro de 2011</w:t>
      </w:r>
      <w:r>
        <w:rPr>
          <w:rFonts w:ascii="Times New Roman" w:cs="Times New Roman" w:eastAsia="Times New Roman" w:hAnsi="Times New Roman"/>
        </w:rPr>
        <w:t xml:space="preserve">. Define as diretrizes de organização e funcionamento das Equipes de Consultório na Rua. </w:t>
      </w:r>
      <w:hyperlink w:history="1" r:id="rIdf7eeut-ebbcnu18xz8n5u">
        <w:r>
          <w:rPr>
            <w:rFonts w:ascii="Times New Roman" w:cs="Times New Roman" w:eastAsia="Times New Roman" w:hAnsi="Times New Roman"/>
          </w:rPr>
          <w:t xml:space="preserve">https://bvsms.saude.gov.br/bvs/saudelegis/gm/2012/prt0122_25_01_2012.html</w:t>
        </w:r>
      </w:hyperlink>
    </w:p>
    <w:p>
      <w:pPr>
        <w:spacing w:after="0" w:before="0" w:line="480"/>
        <w:ind w:left="720" w:hanging="720"/>
        <w:jc w:val="left"/>
      </w:pPr>
      <w:r>
        <w:rPr>
          <w:rFonts w:ascii="Times New Roman" w:cs="Times New Roman" w:eastAsia="Times New Roman" w:hAnsi="Times New Roman"/>
        </w:rPr>
        <w:t xml:space="preserve">Ministério da Saúde. (2011b). </w:t>
      </w:r>
      <w:r>
        <w:rPr>
          <w:rFonts w:ascii="Times New Roman" w:cs="Times New Roman" w:eastAsia="Times New Roman" w:hAnsi="Times New Roman"/>
          <w:i/>
          <w:iCs/>
        </w:rPr>
        <w:t xml:space="preserve">Portaria nº 940, de 28 de abril de 2011</w:t>
      </w:r>
      <w:r>
        <w:rPr>
          <w:rFonts w:ascii="Times New Roman" w:cs="Times New Roman" w:eastAsia="Times New Roman" w:hAnsi="Times New Roman"/>
        </w:rPr>
        <w:t xml:space="preserve">. Regulamenta o Sistema Cartão Nacional de Saúde. </w:t>
      </w:r>
      <w:hyperlink w:history="1" r:id="rIdgvt2kh2xsz5leqtb6ulfh">
        <w:r>
          <w:rPr>
            <w:rFonts w:ascii="Times New Roman" w:cs="Times New Roman" w:eastAsia="Times New Roman" w:hAnsi="Times New Roman"/>
          </w:rPr>
          <w:t xml:space="preserve">https://bvsms.saude.gov.br/bvs/saudelegis/gm/2011/prt0940_28_04_2011.html</w:t>
        </w:r>
      </w:hyperlink>
    </w:p>
    <w:p>
      <w:pPr>
        <w:spacing w:after="0" w:before="0" w:line="480"/>
        <w:ind w:left="720" w:hanging="720"/>
        <w:jc w:val="left"/>
      </w:pPr>
      <w:r>
        <w:rPr>
          <w:rFonts w:ascii="Times New Roman" w:cs="Times New Roman" w:eastAsia="Times New Roman" w:hAnsi="Times New Roman"/>
        </w:rPr>
        <w:t xml:space="preserve">Ministério da Saúde. (2012). </w:t>
      </w:r>
      <w:r>
        <w:rPr>
          <w:rFonts w:ascii="Times New Roman" w:cs="Times New Roman" w:eastAsia="Times New Roman" w:hAnsi="Times New Roman"/>
          <w:i/>
          <w:iCs/>
        </w:rPr>
        <w:t xml:space="preserve">Manual sobre o cuidado à saúde junto a população em situação de rua</w:t>
      </w:r>
      <w:r>
        <w:rPr>
          <w:rFonts w:ascii="Times New Roman" w:cs="Times New Roman" w:eastAsia="Times New Roman" w:hAnsi="Times New Roman"/>
        </w:rPr>
        <w:t xml:space="preserve">.</w:t>
      </w:r>
    </w:p>
    <w:p>
      <w:pPr>
        <w:spacing w:after="0" w:before="0" w:line="480"/>
        <w:ind w:left="720" w:hanging="720"/>
        <w:jc w:val="left"/>
      </w:pPr>
      <w:r>
        <w:rPr>
          <w:rFonts w:ascii="Times New Roman" w:cs="Times New Roman" w:eastAsia="Times New Roman" w:hAnsi="Times New Roman"/>
        </w:rPr>
        <w:t xml:space="preserve">Ministério da Saúde. (2013a). </w:t>
      </w:r>
      <w:r>
        <w:rPr>
          <w:rFonts w:ascii="Times New Roman" w:cs="Times New Roman" w:eastAsia="Times New Roman" w:hAnsi="Times New Roman"/>
          <w:i/>
          <w:iCs/>
        </w:rPr>
        <w:t xml:space="preserve">Política Nacional de Humanização – PNH</w:t>
      </w:r>
      <w:r>
        <w:rPr>
          <w:rFonts w:ascii="Times New Roman" w:cs="Times New Roman" w:eastAsia="Times New Roman" w:hAnsi="Times New Roman"/>
        </w:rPr>
        <w:t xml:space="preserve"> (1ª ed., 1ª reimpr.). </w:t>
      </w:r>
      <w:hyperlink w:history="1" r:id="rIdpkwmecyurjawvrm5y0gjz">
        <w:r>
          <w:rPr>
            <w:rFonts w:ascii="Times New Roman" w:cs="Times New Roman" w:eastAsia="Times New Roman" w:hAnsi="Times New Roman"/>
          </w:rPr>
          <w:t xml:space="preserve">https://bvsms.saude.gov.br/bvs/publicacoes/politica_nacional_humanizacao_pnh_folheto.pdf</w:t>
        </w:r>
      </w:hyperlink>
    </w:p>
    <w:p>
      <w:pPr>
        <w:spacing w:after="0" w:before="0" w:line="480"/>
        <w:ind w:left="720" w:hanging="720"/>
        <w:jc w:val="left"/>
      </w:pPr>
      <w:r>
        <w:rPr>
          <w:rFonts w:ascii="Times New Roman" w:cs="Times New Roman" w:eastAsia="Times New Roman" w:hAnsi="Times New Roman"/>
        </w:rPr>
        <w:t xml:space="preserve">Ministério da Saúde. (2013b). </w:t>
      </w:r>
      <w:r>
        <w:rPr>
          <w:rFonts w:ascii="Times New Roman" w:cs="Times New Roman" w:eastAsia="Times New Roman" w:hAnsi="Times New Roman"/>
          <w:i/>
          <w:iCs/>
        </w:rPr>
        <w:t xml:space="preserve">Portaria nº 3.390, de 30 de dezembro de 2013</w:t>
      </w:r>
      <w:r>
        <w:rPr>
          <w:rFonts w:ascii="Times New Roman" w:cs="Times New Roman" w:eastAsia="Times New Roman" w:hAnsi="Times New Roman"/>
        </w:rPr>
        <w:t xml:space="preserve">. Institui a Política Nacional de Atenção Hospitalar (PNHOSP) no âmbito do Sistema Único de Saúde (SUS), estabelecendo-se as diretrizes para a organização do componente hospitalar da Rede de Atenção à Saúde (RAS). </w:t>
      </w:r>
      <w:hyperlink w:history="1" r:id="rIdic_d73v33y7l3d3oxtnks">
        <w:r>
          <w:rPr>
            <w:rFonts w:ascii="Times New Roman" w:cs="Times New Roman" w:eastAsia="Times New Roman" w:hAnsi="Times New Roman"/>
          </w:rPr>
          <w:t xml:space="preserve">https://bvsms.saude.gov.br/bvs/saudelegis/gm/2013/prt3390_30_12_2013.html</w:t>
        </w:r>
      </w:hyperlink>
    </w:p>
    <w:p>
      <w:pPr>
        <w:spacing w:after="0" w:before="0" w:line="480"/>
        <w:ind w:left="720" w:hanging="720"/>
        <w:jc w:val="left"/>
      </w:pPr>
      <w:r>
        <w:rPr>
          <w:rFonts w:ascii="Times New Roman" w:cs="Times New Roman" w:eastAsia="Times New Roman" w:hAnsi="Times New Roman"/>
        </w:rPr>
        <w:t xml:space="preserve">Ministério da Saúde. (2017). </w:t>
      </w:r>
      <w:r>
        <w:rPr>
          <w:rFonts w:ascii="Times New Roman" w:cs="Times New Roman" w:eastAsia="Times New Roman" w:hAnsi="Times New Roman"/>
          <w:i/>
          <w:iCs/>
        </w:rPr>
        <w:t xml:space="preserve">Manual de implantação e implementação: Núcleo interno de regulação para hospitais gerais e especializados</w:t>
      </w:r>
      <w:r>
        <w:rPr>
          <w:rFonts w:ascii="Times New Roman" w:cs="Times New Roman" w:eastAsia="Times New Roman" w:hAnsi="Times New Roman"/>
        </w:rPr>
        <w:t xml:space="preserve">.</w:t>
      </w:r>
    </w:p>
    <w:p>
      <w:pPr>
        <w:spacing w:after="0" w:before="0" w:line="480"/>
        <w:ind w:left="720" w:hanging="720"/>
        <w:jc w:val="left"/>
      </w:pPr>
      <w:r>
        <w:rPr>
          <w:rFonts w:ascii="Times New Roman" w:cs="Times New Roman" w:eastAsia="Times New Roman" w:hAnsi="Times New Roman"/>
        </w:rPr>
        <w:t xml:space="preserve">Ministério dos Direitos Humanos e da Cidadania. (2023). </w:t>
      </w:r>
      <w:r>
        <w:rPr>
          <w:rFonts w:ascii="Times New Roman" w:cs="Times New Roman" w:eastAsia="Times New Roman" w:hAnsi="Times New Roman"/>
          <w:i/>
          <w:iCs/>
        </w:rPr>
        <w:t xml:space="preserve">Plano Ruas Visíveis</w:t>
      </w:r>
      <w:r>
        <w:rPr>
          <w:rFonts w:ascii="Times New Roman" w:cs="Times New Roman" w:eastAsia="Times New Roman" w:hAnsi="Times New Roman"/>
        </w:rPr>
        <w:t xml:space="preserve"> [Folder]. </w:t>
      </w:r>
      <w:hyperlink w:history="1" r:id="rIdw-7fk-tig8gbnonhohzlu">
        <w:r>
          <w:rPr>
            <w:rFonts w:ascii="Times New Roman" w:cs="Times New Roman" w:eastAsia="Times New Roman" w:hAnsi="Times New Roman"/>
          </w:rPr>
          <w:t xml:space="preserve">https://www.gov.br/mdh/pt-br/navegue-por-temas/populacao-em-situacao-de-rua/publicacoes/folder-ruas-visiveis.pdf</w:t>
        </w:r>
      </w:hyperlink>
    </w:p>
    <w:p>
      <w:pPr>
        <w:spacing w:after="0" w:before="0" w:line="480"/>
        <w:ind w:left="720" w:hanging="720"/>
        <w:jc w:val="left"/>
      </w:pPr>
      <w:r>
        <w:rPr>
          <w:rFonts w:ascii="Times New Roman" w:cs="Times New Roman" w:eastAsia="Times New Roman" w:hAnsi="Times New Roman"/>
        </w:rPr>
        <w:t xml:space="preserve">Natalino, M. A. C. (2023). </w:t>
      </w:r>
      <w:r>
        <w:rPr>
          <w:rFonts w:ascii="Times New Roman" w:cs="Times New Roman" w:eastAsia="Times New Roman" w:hAnsi="Times New Roman"/>
          <w:i/>
          <w:iCs/>
        </w:rPr>
        <w:t xml:space="preserve">Estimativa da população em situação de rua no Brasil (2012-2022)</w:t>
      </w:r>
      <w:r>
        <w:rPr>
          <w:rFonts w:ascii="Times New Roman" w:cs="Times New Roman" w:eastAsia="Times New Roman" w:hAnsi="Times New Roman"/>
        </w:rPr>
        <w:t xml:space="preserve"> (Nota Técnica Disoc nº 103). Instituto de Pesquisa Econômica Aplicada. </w:t>
      </w:r>
      <w:hyperlink w:history="1" r:id="rIdcbuceattmtpelpsm6vkaz">
        <w:r>
          <w:rPr>
            <w:rFonts w:ascii="Times New Roman" w:cs="Times New Roman" w:eastAsia="Times New Roman" w:hAnsi="Times New Roman"/>
          </w:rPr>
          <w:t xml:space="preserve">https://repositorio.ipea.gov.br/bitstream/11058/11604/4/NT_103_Disoc_Estimativa_da_Populacao.pdf</w:t>
        </w:r>
      </w:hyperlink>
    </w:p>
    <w:p>
      <w:pPr>
        <w:spacing w:after="0" w:before="0" w:line="480"/>
        <w:ind w:left="720" w:hanging="720"/>
        <w:jc w:val="left"/>
      </w:pPr>
      <w:r>
        <w:rPr>
          <w:rFonts w:ascii="Times New Roman" w:cs="Times New Roman" w:eastAsia="Times New Roman" w:hAnsi="Times New Roman"/>
        </w:rPr>
        <w:t xml:space="preserve">Paiva, I. K. S., Lira, C. D. G., Justino, J. M. R., Miranda, M. G. O., &amp; Saraiva, A. K. M. (2016). Direito à saúde da população em situação de rua: Reflexões sobre a problemática. </w:t>
      </w:r>
      <w:r>
        <w:rPr>
          <w:rFonts w:ascii="Times New Roman" w:cs="Times New Roman" w:eastAsia="Times New Roman" w:hAnsi="Times New Roman"/>
          <w:i/>
          <w:iCs/>
        </w:rPr>
        <w:t xml:space="preserve">Ciência &amp; Saúde Coletiva</w:t>
      </w:r>
      <w:r>
        <w:rPr>
          <w:rFonts w:ascii="Times New Roman" w:cs="Times New Roman" w:eastAsia="Times New Roman" w:hAnsi="Times New Roman"/>
        </w:rPr>
        <w:t xml:space="preserve">, </w:t>
      </w:r>
      <w:r>
        <w:rPr>
          <w:rFonts w:ascii="Times New Roman" w:cs="Times New Roman" w:eastAsia="Times New Roman" w:hAnsi="Times New Roman"/>
          <w:i/>
          <w:iCs/>
        </w:rPr>
        <w:t xml:space="preserve">21</w:t>
      </w:r>
      <w:r>
        <w:rPr>
          <w:rFonts w:ascii="Times New Roman" w:cs="Times New Roman" w:eastAsia="Times New Roman" w:hAnsi="Times New Roman"/>
        </w:rPr>
        <w:t xml:space="preserve">(8), 2595–2606. </w:t>
      </w:r>
      <w:hyperlink w:history="1" r:id="rId2cgandrngenvnl0tcr9ct">
        <w:r>
          <w:rPr>
            <w:rFonts w:ascii="Times New Roman" w:cs="Times New Roman" w:eastAsia="Times New Roman" w:hAnsi="Times New Roman"/>
          </w:rPr>
          <w:t xml:space="preserve">https://www.scielo.br/scielo.php?script=sci_arttext&amp;pid=S1413-81232016000802595</w:t>
        </w:r>
      </w:hyperlink>
    </w:p>
    <w:p>
      <w:pPr>
        <w:spacing w:after="0" w:before="0" w:line="480"/>
        <w:ind w:left="720" w:hanging="720"/>
        <w:jc w:val="left"/>
      </w:pPr>
      <w:r>
        <w:rPr>
          <w:rFonts w:ascii="Times New Roman" w:cs="Times New Roman" w:eastAsia="Times New Roman" w:hAnsi="Times New Roman"/>
        </w:rPr>
        <w:t xml:space="preserve">Pavinati, G., Lima, L. V., Radovanovic, C. A. T., &amp; Magnabosco, G. T. (2023). Disparidades geoprogramáticas do desempenho de indicadores da tuberculose na população em situação de rua no Brasil: Uma abordagem ecológica. </w:t>
      </w:r>
      <w:r>
        <w:rPr>
          <w:rFonts w:ascii="Times New Roman" w:cs="Times New Roman" w:eastAsia="Times New Roman" w:hAnsi="Times New Roman"/>
          <w:i/>
          <w:iCs/>
        </w:rPr>
        <w:t xml:space="preserve">Revista Brasileira de Epidemiologia</w:t>
      </w:r>
      <w:r>
        <w:rPr>
          <w:rFonts w:ascii="Times New Roman" w:cs="Times New Roman" w:eastAsia="Times New Roman" w:hAnsi="Times New Roman"/>
        </w:rPr>
        <w:t xml:space="preserve">, </w:t>
      </w:r>
      <w:r>
        <w:rPr>
          <w:rFonts w:ascii="Times New Roman" w:cs="Times New Roman" w:eastAsia="Times New Roman" w:hAnsi="Times New Roman"/>
          <w:i/>
          <w:iCs/>
        </w:rPr>
        <w:t xml:space="preserve">26</w:t>
      </w:r>
      <w:r>
        <w:rPr>
          <w:rFonts w:ascii="Times New Roman" w:cs="Times New Roman" w:eastAsia="Times New Roman" w:hAnsi="Times New Roman"/>
        </w:rPr>
        <w:t xml:space="preserve">, Artigo e230048. </w:t>
      </w:r>
      <w:hyperlink w:history="1" r:id="rId6-fsysqfhtrvwy3ykz36e">
        <w:r>
          <w:rPr>
            <w:rFonts w:ascii="Times New Roman" w:cs="Times New Roman" w:eastAsia="Times New Roman" w:hAnsi="Times New Roman"/>
          </w:rPr>
          <w:t xml:space="preserve">https://doi.org/10.1590/1980-549720230048.2</w:t>
        </w:r>
      </w:hyperlink>
    </w:p>
    <w:p>
      <w:pPr>
        <w:spacing w:after="0" w:before="0" w:line="480"/>
        <w:ind w:left="720" w:hanging="720"/>
        <w:jc w:val="left"/>
      </w:pPr>
      <w:r>
        <w:rPr>
          <w:rFonts w:ascii="Times New Roman" w:cs="Times New Roman" w:eastAsia="Times New Roman" w:hAnsi="Times New Roman"/>
        </w:rPr>
        <w:t xml:space="preserve">Racine, M. W., Munson, D., Gaeta, J. M., &amp; Baggett, T. P. (2020). Thirty-day hospital readmission among homeless individuals with Medicaid in Massachusetts. </w:t>
      </w:r>
      <w:r>
        <w:rPr>
          <w:rFonts w:ascii="Times New Roman" w:cs="Times New Roman" w:eastAsia="Times New Roman" w:hAnsi="Times New Roman"/>
          <w:i/>
          <w:iCs/>
        </w:rPr>
        <w:t xml:space="preserve">Medical Care</w:t>
      </w:r>
      <w:r>
        <w:rPr>
          <w:rFonts w:ascii="Times New Roman" w:cs="Times New Roman" w:eastAsia="Times New Roman" w:hAnsi="Times New Roman"/>
        </w:rPr>
        <w:t xml:space="preserve">, </w:t>
      </w:r>
      <w:r>
        <w:rPr>
          <w:rFonts w:ascii="Times New Roman" w:cs="Times New Roman" w:eastAsia="Times New Roman" w:hAnsi="Times New Roman"/>
          <w:i/>
          <w:iCs/>
        </w:rPr>
        <w:t xml:space="preserve">58</w:t>
      </w:r>
      <w:r>
        <w:rPr>
          <w:rFonts w:ascii="Times New Roman" w:cs="Times New Roman" w:eastAsia="Times New Roman" w:hAnsi="Times New Roman"/>
        </w:rPr>
        <w:t xml:space="preserve">(1), 27–32. </w:t>
      </w:r>
      <w:hyperlink w:history="1" r:id="rIdsb7wwt1yiu0owlhx3ae-c">
        <w:r>
          <w:rPr>
            <w:rFonts w:ascii="Times New Roman" w:cs="Times New Roman" w:eastAsia="Times New Roman" w:hAnsi="Times New Roman"/>
          </w:rPr>
          <w:t xml:space="preserve">https://doi.org/10.1097/MLR.0000000000001234</w:t>
        </w:r>
      </w:hyperlink>
    </w:p>
    <w:p>
      <w:pPr>
        <w:spacing w:after="0" w:before="0" w:line="480"/>
        <w:ind w:left="720" w:hanging="720"/>
        <w:jc w:val="left"/>
      </w:pPr>
      <w:r>
        <w:rPr>
          <w:rFonts w:ascii="Times New Roman" w:cs="Times New Roman" w:eastAsia="Times New Roman" w:hAnsi="Times New Roman"/>
        </w:rPr>
        <w:t xml:space="preserve">Rother, E. T. (2007). Revisão sistemática X revisão narrativa [Editorial]. </w:t>
      </w:r>
      <w:r>
        <w:rPr>
          <w:rFonts w:ascii="Times New Roman" w:cs="Times New Roman" w:eastAsia="Times New Roman" w:hAnsi="Times New Roman"/>
          <w:i/>
          <w:iCs/>
        </w:rPr>
        <w:t xml:space="preserve">Acta Paulista de Enfermagem</w:t>
      </w:r>
      <w:r>
        <w:rPr>
          <w:rFonts w:ascii="Times New Roman" w:cs="Times New Roman" w:eastAsia="Times New Roman" w:hAnsi="Times New Roman"/>
        </w:rPr>
        <w:t xml:space="preserve">, </w:t>
      </w:r>
      <w:r>
        <w:rPr>
          <w:rFonts w:ascii="Times New Roman" w:cs="Times New Roman" w:eastAsia="Times New Roman" w:hAnsi="Times New Roman"/>
          <w:i/>
          <w:iCs/>
        </w:rPr>
        <w:t xml:space="preserve">20</w:t>
      </w:r>
      <w:r>
        <w:rPr>
          <w:rFonts w:ascii="Times New Roman" w:cs="Times New Roman" w:eastAsia="Times New Roman" w:hAnsi="Times New Roman"/>
        </w:rPr>
        <w:t xml:space="preserve">(2), v–vi.</w:t>
      </w:r>
    </w:p>
    <w:p>
      <w:pPr>
        <w:spacing w:after="0" w:before="0" w:line="480"/>
        <w:ind w:left="720" w:hanging="720"/>
        <w:jc w:val="left"/>
      </w:pPr>
      <w:r>
        <w:rPr>
          <w:rFonts w:ascii="Times New Roman" w:cs="Times New Roman" w:eastAsia="Times New Roman" w:hAnsi="Times New Roman"/>
        </w:rPr>
        <w:t xml:space="preserve">Supremo Tribunal Federal. (2023). </w:t>
      </w:r>
      <w:r>
        <w:rPr>
          <w:rFonts w:ascii="Times New Roman" w:cs="Times New Roman" w:eastAsia="Times New Roman" w:hAnsi="Times New Roman"/>
          <w:i/>
          <w:iCs/>
        </w:rPr>
        <w:t xml:space="preserve">Arguição de Descumprimento de Preceito Fundamental nº 976</w:t>
      </w:r>
      <w:r>
        <w:rPr>
          <w:rFonts w:ascii="Times New Roman" w:cs="Times New Roman" w:eastAsia="Times New Roman" w:hAnsi="Times New Roman"/>
        </w:rPr>
        <w:t xml:space="preserve"> (Referendo na medida cautelar). Relator: Min. Alexandre de Moraes. </w:t>
      </w:r>
      <w:hyperlink w:history="1" r:id="rIdwmwuk1_wg5dg0g6ama9qo">
        <w:r>
          <w:rPr>
            <w:rFonts w:ascii="Times New Roman" w:cs="Times New Roman" w:eastAsia="Times New Roman" w:hAnsi="Times New Roman"/>
          </w:rPr>
          <w:t xml:space="preserve">https://portal.stf.jus.br</w:t>
        </w:r>
      </w:hyperlink>
    </w:p>
    <w:p>
      <w:pPr>
        <w:spacing w:after="0" w:before="0" w:line="480"/>
        <w:ind w:left="720" w:hanging="720"/>
        <w:jc w:val="left"/>
      </w:pPr>
      <w:r>
        <w:rPr>
          <w:rFonts w:ascii="Times New Roman" w:cs="Times New Roman" w:eastAsia="Times New Roman" w:hAnsi="Times New Roman"/>
        </w:rPr>
        <w:t xml:space="preserve">Ti, L., &amp; Ti, L. (2015). Leaving the hospital against medical advice among people who use illicit drugs: A systematic review. </w:t>
      </w:r>
      <w:r>
        <w:rPr>
          <w:rFonts w:ascii="Times New Roman" w:cs="Times New Roman" w:eastAsia="Times New Roman" w:hAnsi="Times New Roman"/>
          <w:i/>
          <w:iCs/>
        </w:rPr>
        <w:t xml:space="preserve">American Journal of Public Health</w:t>
      </w:r>
      <w:r>
        <w:rPr>
          <w:rFonts w:ascii="Times New Roman" w:cs="Times New Roman" w:eastAsia="Times New Roman" w:hAnsi="Times New Roman"/>
        </w:rPr>
        <w:t xml:space="preserve">, </w:t>
      </w:r>
      <w:r>
        <w:rPr>
          <w:rFonts w:ascii="Times New Roman" w:cs="Times New Roman" w:eastAsia="Times New Roman" w:hAnsi="Times New Roman"/>
          <w:i/>
          <w:iCs/>
        </w:rPr>
        <w:t xml:space="preserve">105</w:t>
      </w:r>
      <w:r>
        <w:rPr>
          <w:rFonts w:ascii="Times New Roman" w:cs="Times New Roman" w:eastAsia="Times New Roman" w:hAnsi="Times New Roman"/>
        </w:rPr>
        <w:t xml:space="preserve">(12), e53–e59. </w:t>
      </w:r>
      <w:hyperlink w:history="1" r:id="rIdg-jhlhdmwbgfxdfgfrgxz">
        <w:r>
          <w:rPr>
            <w:rFonts w:ascii="Times New Roman" w:cs="Times New Roman" w:eastAsia="Times New Roman" w:hAnsi="Times New Roman"/>
          </w:rPr>
          <w:t xml:space="preserve">https://doi.org/10.2105/AJPH.2015.302885</w:t>
        </w:r>
      </w:hyperlink>
    </w:p>
    <w:p>
      <w:pPr>
        <w:spacing w:after="0" w:before="0" w:line="480"/>
        <w:ind w:left="720" w:hanging="720"/>
        <w:jc w:val="left"/>
      </w:pPr>
      <w:r>
        <w:rPr>
          <w:rFonts w:ascii="Times New Roman" w:cs="Times New Roman" w:eastAsia="Times New Roman" w:hAnsi="Times New Roman"/>
        </w:rPr>
        <w:t xml:space="preserve">Whitehead, M. (1992). The concepts and principles of equity and health. </w:t>
      </w:r>
      <w:r>
        <w:rPr>
          <w:rFonts w:ascii="Times New Roman" w:cs="Times New Roman" w:eastAsia="Times New Roman" w:hAnsi="Times New Roman"/>
          <w:i/>
          <w:iCs/>
        </w:rPr>
        <w:t xml:space="preserve">International Journal of Health Services</w:t>
      </w:r>
      <w:r>
        <w:rPr>
          <w:rFonts w:ascii="Times New Roman" w:cs="Times New Roman" w:eastAsia="Times New Roman" w:hAnsi="Times New Roman"/>
        </w:rPr>
        <w:t xml:space="preserve">, </w:t>
      </w:r>
      <w:r>
        <w:rPr>
          <w:rFonts w:ascii="Times New Roman" w:cs="Times New Roman" w:eastAsia="Times New Roman" w:hAnsi="Times New Roman"/>
          <w:i/>
          <w:iCs/>
        </w:rPr>
        <w:t xml:space="preserve">22</w:t>
      </w:r>
      <w:r>
        <w:rPr>
          <w:rFonts w:ascii="Times New Roman" w:cs="Times New Roman" w:eastAsia="Times New Roman" w:hAnsi="Times New Roman"/>
        </w:rPr>
        <w:t xml:space="preserve">(3), 429–445. </w:t>
      </w:r>
      <w:hyperlink w:history="1" r:id="rIdkdol9bwclplmp2nqgvbcd">
        <w:r>
          <w:rPr>
            <w:rFonts w:ascii="Times New Roman" w:cs="Times New Roman" w:eastAsia="Times New Roman" w:hAnsi="Times New Roman"/>
          </w:rPr>
          <w:t xml:space="preserve">https://doi.org/10.2190/986L-LHQ6-2VTE-YRRN</w:t>
        </w:r>
      </w:hyperlink>
    </w:p>
    <w:sectPr>
      <w:headerReference w:type="default" r:id="rId7"/>
      <w:pgSz w:w="11906" w:h="16838"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shd w:fill="FFF200" w:color="auto" w:val="clear"/>
        </w:rPr>
        <w:t xml:space="preserve">[Titulação]</w:t>
      </w:r>
      <w:r>
        <w:rPr>
          <w:rFonts w:ascii="Times New Roman" w:cs="Times New Roman" w:eastAsia="Times New Roman" w:hAnsi="Times New Roman"/>
          <w:sz w:val="20"/>
          <w:szCs w:val="20"/>
        </w:rPr>
        <w:t xml:space="preserve">. MUST University. E-mail: </w:t>
      </w:r>
      <w:r>
        <w:rPr>
          <w:rFonts w:ascii="Times New Roman" w:cs="Times New Roman" w:eastAsia="Times New Roman" w:hAnsi="Times New Roman"/>
          <w:sz w:val="20"/>
          <w:szCs w:val="20"/>
          <w:shd w:fill="FFF200" w:color="auto" w:val="clear"/>
        </w:rPr>
        <w:t xml:space="preserve">[e-mail]</w:t>
      </w:r>
      <w:r>
        <w:rPr>
          <w:rFonts w:ascii="Times New Roman" w:cs="Times New Roman" w:eastAsia="Times New Roman" w:hAnsi="Times New Roman"/>
          <w:sz w:val="20"/>
          <w:szCs w:val="20"/>
        </w:rPr>
        <w:t xml:space="preserv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e2tvdruapbbatirg9c_b6" Type="http://schemas.openxmlformats.org/officeDocument/2006/relationships/hyperlink" Target="https://bvsms.saude.gov.br/bvs/publicacoes/politica_nacional_humanizacao_pnh_folheto.pdf" TargetMode="External"/><Relationship Id="rId994u3g7iu6c4ladysuewp" Type="http://schemas.openxmlformats.org/officeDocument/2006/relationships/hyperlink" Target="https://www.planalto.gov.br/ccivil_03/leis/l8080.htm" TargetMode="External"/><Relationship Id="rIdfmz0bslu8kuuqxzt2zvg-" Type="http://schemas.openxmlformats.org/officeDocument/2006/relationships/hyperlink" Target="https://doi.org/10.2190/986L-LHQ6-2VTE-YRRN" TargetMode="External"/><Relationship Id="rIdqjdelj3eft_csrmnbxkc-" Type="http://schemas.openxmlformats.org/officeDocument/2006/relationships/hyperlink" Target="https://doi.org/10.1590/0102-311X00143114" TargetMode="External"/><Relationship Id="rIdjffgprat9d-ufiqeccjui" Type="http://schemas.openxmlformats.org/officeDocument/2006/relationships/hyperlink" Target="https://www.scielo.br/scielo.php?script=sci_arttext&amp;pid=S1413-81232016000802595" TargetMode="External"/><Relationship Id="rIdnfwsewbhxdtppyy-pmgbm" Type="http://schemas.openxmlformats.org/officeDocument/2006/relationships/hyperlink" Target="https://www.planalto.gov.br/ccivil_03/_ato2007-2010/2009/decreto/d7053.htm" TargetMode="External"/><Relationship Id="rIdl99jaygy71jbeu0uoyuzp" Type="http://schemas.openxmlformats.org/officeDocument/2006/relationships/hyperlink" Target="https://repositorio.ipea.gov.br/bitstream/11058/11604/4/NT_103_Disoc_Estimativa_da_Populacao.pdf" TargetMode="External"/><Relationship Id="rIdmjkr6k9jqxolyrvh8mxch" Type="http://schemas.openxmlformats.org/officeDocument/2006/relationships/hyperlink" Target="https://doi.org/10.1016/S0140-6736(14)61132-6" TargetMode="External"/><Relationship Id="rIdgezm1nognvzj4ezdauped" Type="http://schemas.openxmlformats.org/officeDocument/2006/relationships/hyperlink" Target="https://doi.org/10.1590/1980-549720230048.2" TargetMode="External"/><Relationship Id="rIdqipcvpkbowzegynhaukm_" Type="http://schemas.openxmlformats.org/officeDocument/2006/relationships/hyperlink" Target="https://bvsms.saude.gov.br/bvs/saudelegis/gm/2011/prt0940_28_04_2011.html" TargetMode="External"/><Relationship Id="rIdepo8ccdwsx2gmbrdjxz9o" Type="http://schemas.openxmlformats.org/officeDocument/2006/relationships/hyperlink" Target="https://bvsms.saude.gov.br/bvs/saudelegis/gm/2013/prt3390_30_12_2013.html" TargetMode="External"/><Relationship Id="rIdpgilrfa9h5rlzwjxscymx" Type="http://schemas.openxmlformats.org/officeDocument/2006/relationships/hyperlink" Target="https://pubmed.ncbi.nlm.nih.gov/21368678/" TargetMode="External"/><Relationship Id="rIduzzvvparhk0xxlkrnfib1" Type="http://schemas.openxmlformats.org/officeDocument/2006/relationships/hyperlink" Target="https://doi.org/10.1136/jech-2020-215204" TargetMode="External"/><Relationship Id="rId4ym8rtckhrsuyhlyldblp" Type="http://schemas.openxmlformats.org/officeDocument/2006/relationships/hyperlink" Target="https://doi.org/10.1097/MLR.0000000000001234" TargetMode="External"/><Relationship Id="rIdwmj3h1qzqz7aaoz3wfy3w" Type="http://schemas.openxmlformats.org/officeDocument/2006/relationships/hyperlink" Target="https://doi.org/10.2105/AJPH.2015.302885" TargetMode="External"/><Relationship Id="rIdxrltjljrlivn-j1tps3iw" Type="http://schemas.openxmlformats.org/officeDocument/2006/relationships/hyperlink" Target="https://doi.org/10.1353/hpu.2013.0053" TargetMode="External"/><Relationship Id="rIdgbqguurhv6hipg5o9isc3" Type="http://schemas.openxmlformats.org/officeDocument/2006/relationships/hyperlink" Target="https://doi.org/10.1186/s12913-020-05358-4" TargetMode="External"/><Relationship Id="rId2vj3q8yihocr1tvg9l7ul" Type="http://schemas.openxmlformats.org/officeDocument/2006/relationships/hyperlink" Target="https://bvsms.saude.gov.br/bvs/saudelegis/gm/2012/prt0122_25_01_2012.html" TargetMode="External"/><Relationship Id="rIdusadaigxh756iljzlzbmu" Type="http://schemas.openxmlformats.org/officeDocument/2006/relationships/hyperlink" Target="https://portal.stf.jus.br" TargetMode="External"/><Relationship Id="rIdxmoc56-shm8-measzg1yi" Type="http://schemas.openxmlformats.org/officeDocument/2006/relationships/hyperlink" Target="https://www.gov.br/mdh/pt-br/navegue-por-temas/populacao-em-situacao-de-rua/publicacoes/folder-ruas-visiveis.pdf" TargetMode="External"/><Relationship Id="rIdhqkabcqb_c1xutceobiht" Type="http://schemas.openxmlformats.org/officeDocument/2006/relationships/hyperlink" Target="https://www.planalto.gov.br/ccivil_03/_ato2023-2026/2024/lei/l14821.htm" TargetMode="External"/><Relationship Id="rIdi2-uvhihtk1cdrxqirwgu" Type="http://schemas.openxmlformats.org/officeDocument/2006/relationships/hyperlink" Target="https://www.planalto.gov.br/ccivil_03/leis/l8080.htm" TargetMode="External"/><Relationship Id="rIdhoqm0nc5dh1cgzowiczuh" Type="http://schemas.openxmlformats.org/officeDocument/2006/relationships/hyperlink" Target="https://www.planalto.gov.br/ccivil_03/_ato2007-2010/2009/decreto/d7053.htm" TargetMode="External"/><Relationship Id="rIdkwnapslgry4ls9scppn8s" Type="http://schemas.openxmlformats.org/officeDocument/2006/relationships/hyperlink" Target="https://www.planalto.gov.br/ccivil_03/_ato2023-2026/2024/lei/l14821.htm" TargetMode="External"/><Relationship Id="rIdrofa5bruktcnym7xksftg" Type="http://schemas.openxmlformats.org/officeDocument/2006/relationships/hyperlink" Target="https://doi.org/10.1186/s12913-020-05358-4" TargetMode="External"/><Relationship Id="rIdqb8-v12zb-adjunhy1zl5" Type="http://schemas.openxmlformats.org/officeDocument/2006/relationships/hyperlink" Target="https://doi.org/10.1353/hpu.2013.0053" TargetMode="External"/><Relationship Id="rIdtpcdr06wnmshzxymklacz" Type="http://schemas.openxmlformats.org/officeDocument/2006/relationships/hyperlink" Target="https://doi.org/10.1016/S0140-6736(14)61132-6" TargetMode="External"/><Relationship Id="rIdk6cwrxp_cd03ngeetw2me" Type="http://schemas.openxmlformats.org/officeDocument/2006/relationships/hyperlink" Target="https://doi.org/10.1590/0102-311X00143114" TargetMode="External"/><Relationship Id="rIdyaw9zj-x-s1agl9utv5rw" Type="http://schemas.openxmlformats.org/officeDocument/2006/relationships/hyperlink" Target="https://pubmed.ncbi.nlm.nih.gov/21368678/" TargetMode="External"/><Relationship Id="rIdzwvxtq1g7yk5jnnslyvvj" Type="http://schemas.openxmlformats.org/officeDocument/2006/relationships/hyperlink" Target="https://doi.org/10.1136/jech-2020-215204" TargetMode="External"/><Relationship Id="rIdf7eeut-ebbcnu18xz8n5u" Type="http://schemas.openxmlformats.org/officeDocument/2006/relationships/hyperlink" Target="https://bvsms.saude.gov.br/bvs/saudelegis/gm/2012/prt0122_25_01_2012.html" TargetMode="External"/><Relationship Id="rIdgvt2kh2xsz5leqtb6ulfh" Type="http://schemas.openxmlformats.org/officeDocument/2006/relationships/hyperlink" Target="https://bvsms.saude.gov.br/bvs/saudelegis/gm/2011/prt0940_28_04_2011.html" TargetMode="External"/><Relationship Id="rIdpkwmecyurjawvrm5y0gjz" Type="http://schemas.openxmlformats.org/officeDocument/2006/relationships/hyperlink" Target="https://bvsms.saude.gov.br/bvs/publicacoes/politica_nacional_humanizacao_pnh_folheto.pdf" TargetMode="External"/><Relationship Id="rIdic_d73v33y7l3d3oxtnks" Type="http://schemas.openxmlformats.org/officeDocument/2006/relationships/hyperlink" Target="https://bvsms.saude.gov.br/bvs/saudelegis/gm/2013/prt3390_30_12_2013.html" TargetMode="External"/><Relationship Id="rIdw-7fk-tig8gbnonhohzlu" Type="http://schemas.openxmlformats.org/officeDocument/2006/relationships/hyperlink" Target="https://www.gov.br/mdh/pt-br/navegue-por-temas/populacao-em-situacao-de-rua/publicacoes/folder-ruas-visiveis.pdf" TargetMode="External"/><Relationship Id="rIdcbuceattmtpelpsm6vkaz" Type="http://schemas.openxmlformats.org/officeDocument/2006/relationships/hyperlink" Target="https://repositorio.ipea.gov.br/bitstream/11058/11604/4/NT_103_Disoc_Estimativa_da_Populacao.pdf" TargetMode="External"/><Relationship Id="rId2cgandrngenvnl0tcr9ct" Type="http://schemas.openxmlformats.org/officeDocument/2006/relationships/hyperlink" Target="https://www.scielo.br/scielo.php?script=sci_arttext&amp;pid=S1413-81232016000802595" TargetMode="External"/><Relationship Id="rId6-fsysqfhtrvwy3ykz36e" Type="http://schemas.openxmlformats.org/officeDocument/2006/relationships/hyperlink" Target="https://doi.org/10.1590/1980-549720230048.2" TargetMode="External"/><Relationship Id="rIdsb7wwt1yiu0owlhx3ae-c" Type="http://schemas.openxmlformats.org/officeDocument/2006/relationships/hyperlink" Target="https://doi.org/10.1097/MLR.0000000000001234" TargetMode="External"/><Relationship Id="rIdwmwuk1_wg5dg0g6ama9qo" Type="http://schemas.openxmlformats.org/officeDocument/2006/relationships/hyperlink" Target="https://portal.stf.jus.br" TargetMode="External"/><Relationship Id="rIdg-jhlhdmwbgfxdfgfrgxz" Type="http://schemas.openxmlformats.org/officeDocument/2006/relationships/hyperlink" Target="https://doi.org/10.2105/AJPH.2015.302885" TargetMode="External"/><Relationship Id="rIdkdol9bwclplmp2nqgvbcd" Type="http://schemas.openxmlformats.org/officeDocument/2006/relationships/hyperlink" Target="https://doi.org/10.2190/986L-LHQ6-2VTE-YRRN"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de artigo – Humanização, equidade e gestão do cuidado hospitalar à população em situação de rua</dc:title>
  <dc:creator>Ana Rosa Pessoa Peixoto Barreto</dc:creator>
  <cp:lastModifiedBy>Un-named</cp:lastModifiedBy>
  <cp:revision>1</cp:revision>
  <dcterms:created xsi:type="dcterms:W3CDTF">2026-10-17T18:22:03.553Z</dcterms:created>
  <dcterms:modified xsi:type="dcterms:W3CDTF">2026-10-17T18:22:03.554Z</dcterms:modified>
</cp:coreProperties>
</file>

<file path=docProps/custom.xml><?xml version="1.0" encoding="utf-8"?>
<Properties xmlns="http://schemas.openxmlformats.org/officeDocument/2006/custom-properties" xmlns:vt="http://schemas.openxmlformats.org/officeDocument/2006/docPropsVTypes"/>
</file>