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ORÇAMENTAÇÃO DE OBRAS PÚBLICAS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Programático — legislação federal e municipal e jurisprudência de controle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 curso é ancorado em três camadas normativas: (i) legislação federal (Lei nº 14.133/2021 e Decreto nº 7.983/2013); (ii) legislação municipal de São Paulo, com destaque para o Decreto Municipal nº 62.100/2022, que regulamenta as licitações e os contratos administrativos da Prefeitura; e (iii) jurisprudência de controle externo (TCU, CGU e TCM/SP — Tribunal de Contas do Município de São Paulo, órgão que fiscaliza a Prefeitura).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Para não sobrecarregar os subtópicos, a correspondência com a legislação municipal e com a jurisprudência do TCM/SP é indicada, de forma sintética, no bloco "Base legal e de controle" ao final de cada módulo. O detalhamento consta dos Apêndices A (Decreto nº 62.100/2022) e B (ementário do TCM/SP).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PROGRAMÁTICO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1 — Fundamentos, Estrutura do Orçamento e Encargos Sociais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 orçamentação de obras no marco da Lei nº 14.133/2021 (art. 23): valor estimado e compatibilidade com os preços de mercado.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Fontes e parâmetros de preços; bancos de dados públicos; ordem de prioridade dos parâmetros (art. 23, § 2º).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Estrutura do valor estimado: Custo Direto + BDI + Encargos Sociais; sigilo do orçamento (art. 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Economia de escala e peculiaridades do local de execução do objeto.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Encargos sociais sobre a mão de obra horista e mensalista; composição e demonstrativo analítico.</w:t>
      </w:r>
    </w:p>
    <w:p>
      <w:pPr>
        <w:pBdr>
          <w:top w:val="single" w:color="AAAAAA" w:sz="4" w:space="4"/>
        </w:pBdr>
        <w:spacing w:after="30" w:before="120" w:line="240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legal e de controle contemplada no módulo: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Legislação municipal — Decreto nº 62.100/2022:</w:t>
      </w:r>
      <w:r>
        <w:rPr>
          <w:rFonts w:ascii="Arial" w:cs="Arial" w:eastAsia="Arial" w:hAnsi="Arial"/>
          <w:sz w:val="19"/>
          <w:szCs w:val="19"/>
        </w:rPr>
        <w:t xml:space="preserve"> art. 27 (pesquisa de preços); art. 28, "caput" e § 1º (obras e serviços de engenharia: valor estimado + BDI + Encargos Sociais; Tabela de Custos SIURB e ordem de parâmetros); arts. 29, 31 a 33 (pesquisa excepcional, repetição, sigilo e diretrizes de valores de referência).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Jurisprudência do TCM/SP:</w:t>
      </w:r>
      <w:r>
        <w:rPr>
          <w:rFonts w:ascii="Arial" w:cs="Arial" w:eastAsia="Arial" w:hAnsi="Arial"/>
          <w:sz w:val="19"/>
          <w:szCs w:val="19"/>
        </w:rPr>
        <w:t xml:space="preserve"> TC 12.754/2023 (Bol. 55); TC 12.324/2023 (Bol. 67); TC 466/2016 (Bol. 68); TC 1.757/2026 (Bol. 81); TC 6.148/2026 (Bol. 83); encargos e planilha: TC 10.920/2020 (Bol. 60) e TC 12.532/2025 (Bol. 81); economia de escala: TC 11.232/2022 (Bol. 60), TC 11.131/2022 (Bol. 69) e TC 6.872/2026 (Bol. 83).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2 — Custos Indiretos e BDI (Bonificação e Despesas Indiretas)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Conceito de custos indiretos nos sistemas SINAPI e SICRO (Acórdão 2.622/2013-TCU-Plenário).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Administração Local: definição, faixas referenciais e pagamento proporcional à execução física (Acórdãos 2.622/2013, 1.247/2016 e 845/2021; arts. 62 e 63 da Lei nº 4.320/1964).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Instalação e manutenção do canteiro de obras (NBR nº 12.284/1991; cadernos técnicos do DNIT e do SINAPI).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Mobilização e desmobilização como custo direto (Manual do SICRO).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Conceito e composição do BDI; despesas indiretas e bonificação; fórmula Preço = (1 + BDI) × Custo.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Taxas referenciais de BDI por tipo de obra; BDI reduzido/diferenciado e Súmula nº 253/TCU (Decreto nº 7.983/2013; Acórdão 2.340/2024).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Composição analítica do BDI: Administração Central, Despesas Financeiras (SELIC), Seguros e Garantias, Riscos, Lucro e Tributos (PIS, COFINS e ISSQN).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Desoneração da folha e CPRB; escolha do menor valor global (Leis nos 12.844/2013, 13.043/2014, 13.161/2015 e 14.973/2024).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IRPJ e CSLL no BDI: natureza direta e personalística (Súmula nº 254/2010; Acórdão 648/2016).</w:t>
      </w:r>
    </w:p>
    <w:p>
      <w:pPr>
        <w:pBdr>
          <w:top w:val="single" w:color="AAAAAA" w:sz="4" w:space="4"/>
        </w:pBdr>
        <w:spacing w:after="30" w:before="120" w:line="240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legal e de controle contemplada no módulo: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Legislação municipal — Decreto nº 62.100/2022:</w:t>
      </w:r>
      <w:r>
        <w:rPr>
          <w:rFonts w:ascii="Arial" w:cs="Arial" w:eastAsia="Arial" w:hAnsi="Arial"/>
          <w:sz w:val="19"/>
          <w:szCs w:val="19"/>
        </w:rPr>
        <w:t xml:space="preserve"> art. 28, "caput" (composição de custos unitários; BDI de referência e Encargos Sociais no valor estimado de obras e serviços de engenharia).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Jurisprudência do TCM/SP:</w:t>
      </w:r>
      <w:r>
        <w:rPr>
          <w:rFonts w:ascii="Arial" w:cs="Arial" w:eastAsia="Arial" w:hAnsi="Arial"/>
          <w:sz w:val="19"/>
          <w:szCs w:val="19"/>
        </w:rPr>
        <w:t xml:space="preserve"> TC 5.323/2021 (Bol. 75 — Adm. Local e Transportes fora do BDI, como custos diretos); TC 5.468/2022 (Bol. 80 — BDI diferenciado obrigatório); TC 16.909/2019 (Bol. 76) e TC 16.943/2019 (Bol. 80 — vedação à "administração contratada").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3 — Tipos de Orçamento e Composições de Custos Unitários (CPU)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sintético: conceito, anteprojeto e regime de contratação integrada.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Metodologias de estimativa de custos: paramétrica e expedita.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detalhado (analítico): composições de custos unitários e pesquisa de preços (IBRAOP OT — IBR 004/2012).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Documentos que acompanham o orçamento detalhado: cronograma físico-financeiro, curvas ABC e Curva S, composições e memórias de cálculo.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Margem de precisão do orçamento e sua distinção dos limites de aditamento (art. 125).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Composições SICRO e SINAPI; Tabela de Custos Unitários; ficha técnica de insumo; atualizações a partir de 2025.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Escolha entre composições do SICRO e do SINAPI conforme as peculiaridades locais.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Cotação local e economia de escala (art. 23; art. 8º do Decreto nº 7.983/2013).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Exercícios práticos integrando orçamento, cronograma e CPU; uso de inteligência artificial em cadernos técnicos.</w:t>
      </w:r>
    </w:p>
    <w:p>
      <w:pPr>
        <w:pBdr>
          <w:top w:val="single" w:color="AAAAAA" w:sz="4" w:space="4"/>
        </w:pBdr>
        <w:spacing w:after="30" w:before="120" w:line="240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legal e de controle contemplada no módulo: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Legislação municipal — Decreto nº 62.100/2022:</w:t>
      </w:r>
      <w:r>
        <w:rPr>
          <w:rFonts w:ascii="Arial" w:cs="Arial" w:eastAsia="Arial" w:hAnsi="Arial"/>
          <w:sz w:val="19"/>
          <w:szCs w:val="19"/>
        </w:rPr>
        <w:t xml:space="preserve"> art. 28, §§ 3º e 4º (contratação integrada e semi-integrada; orçamento sintético; metodologia expedita/paramétrica; anteprojeto; nível de detalhamento exigido nas propostas).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Jurisprudência do TCM/SP:</w:t>
      </w:r>
      <w:r>
        <w:rPr>
          <w:rFonts w:ascii="Arial" w:cs="Arial" w:eastAsia="Arial" w:hAnsi="Arial"/>
          <w:sz w:val="19"/>
          <w:szCs w:val="19"/>
        </w:rPr>
        <w:t xml:space="preserve"> TC 15.372/2024 (Bol. 60 — tabela de custos unitários atualizada); TC 10.049/2023 (Bol. 83 — projeto básico); TC 16.943/2019 (Bol. 80 — remuneração por composições de preços unitários).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4 — Planejamento e Controle da Execução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Planejamento da contratação: Estudo Técnico Preliminar (ETP) e projeto básico como base do orçamento.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Cronograma físico-financeiro: elaboração e análise crítica da distribuição dos percentuais.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Curva de Valor Agregado (Curva S): benefícios, cálculo de atrasos e Índice de Desempenho de Prazo (IDP); multa de mora (art. 162).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Reflexos dos atrasos nos contratos de supervisão e gerenciamento; matriz de risco (Acórdão 266/2024).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Curva ABC de serviços e de insumos como instrumentos de gestão, fiscalização e auditoria.</w:t>
      </w:r>
    </w:p>
    <w:p>
      <w:pPr>
        <w:pBdr>
          <w:top w:val="single" w:color="AAAAAA" w:sz="4" w:space="4"/>
        </w:pBdr>
        <w:spacing w:after="30" w:before="120" w:line="240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legal e de controle contemplada no módulo: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Legislação municipal — Decreto nº 62.100/2022:</w:t>
      </w:r>
      <w:r>
        <w:rPr>
          <w:rFonts w:ascii="Arial" w:cs="Arial" w:eastAsia="Arial" w:hAnsi="Arial"/>
          <w:sz w:val="19"/>
          <w:szCs w:val="19"/>
        </w:rPr>
        <w:t xml:space="preserve"> arts. 5º e 6º (Plano de Contratações Anual — planejamento); arts. 117 e 118 (gestão de contratos; controle do cronograma físico-financeiro e dos recursos orçamentários); arts. 119 e 120 (fiscalização; conformidade de obras e quantidades).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Jurisprudência do TCM/SP:</w:t>
      </w:r>
      <w:r>
        <w:rPr>
          <w:rFonts w:ascii="Arial" w:cs="Arial" w:eastAsia="Arial" w:hAnsi="Arial"/>
          <w:sz w:val="19"/>
          <w:szCs w:val="19"/>
        </w:rPr>
        <w:t xml:space="preserve"> TC 12.010/2019 (Bol. 57 — ETP); TC 9.789/2025 (Bol. 76 — memória de cálculo da demanda); TC 19.116/2019 (Bol. 82 — falha de planejamento); TC 19.711/2019 (Bol. 54 — ART/fiscalização); TC 12.845/2018 (Bol. 69 — fiscalização instrumental).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5 — Sobrepreço e Superfaturamento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Sobrepreço: conceito legal (art. 6º, LVI) e objetivo do processo licitatório (art. 11, III).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Tolerância e "expressividade" do sobrepreço (Acórdãos TCU 1.254/2020 e 1.742/2025); margem de tolerância × margem de precisão.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Governança e responsabilidade da alta administração (art. 11, parágrafo único); boas práticas de prevenção.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Jogo de planilha e jogo de cronograma (Súmula nº 259/2010; Acórdãos 2.307/2017 e 1.695/2018).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Métodos de apuração: MPLU (Limitação dos Preços Unitários) e MPLG (Limitação do Preço Global).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Superfaturamento: conceito legal (art. 6º, LVII) e modalidades (Casos 1 a 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Responsabilização dos agentes: projetista/orçamentista, fiscalização e contratado.</w:t>
      </w:r>
    </w:p>
    <w:p>
      <w:pPr>
        <w:pBdr>
          <w:top w:val="single" w:color="AAAAAA" w:sz="4" w:space="4"/>
        </w:pBdr>
        <w:spacing w:after="30" w:before="120" w:line="240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legal e de controle contemplada no módulo: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Legislação municipal — Decreto nº 62.100/2022:</w:t>
      </w:r>
      <w:r>
        <w:rPr>
          <w:rFonts w:ascii="Arial" w:cs="Arial" w:eastAsia="Arial" w:hAnsi="Arial"/>
          <w:sz w:val="19"/>
          <w:szCs w:val="19"/>
        </w:rPr>
        <w:t xml:space="preserve"> art. 7º (governança das contratações — art. 11, § único, da Lei nº 14.133/2021); arts. 34 a 36 (programa de integridade em obras de grande vulto; gestão de riscos); art. 119 (fiscalização — conformidade das quantidades executadas).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Jurisprudência do TCM/SP:</w:t>
      </w:r>
      <w:r>
        <w:rPr>
          <w:rFonts w:ascii="Arial" w:cs="Arial" w:eastAsia="Arial" w:hAnsi="Arial"/>
          <w:sz w:val="19"/>
          <w:szCs w:val="19"/>
        </w:rPr>
        <w:t xml:space="preserve"> TC 5.947/2018 (Bol. 77 — medição a maior); TC 5.323/2021 (Bol. 75 — duplicidade); TC 5.468/2022 (Bol. 80 — superavaliação); TC 12.532/2025 (Bol. 81) e TC 14.163/2025 (Bol. 82 — inexequibilidade); TC 10.132/2023 (Bol. 82 — jogo de planilha/conluio).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6 — Alterações Contratuais e Equilíbrio Econômico-Financeiro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Aditivos: hipóteses de alteração (art. 124) — unilaterais (qualitativa e quantitativa) e por acordo.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Limites das alterações e tratamento isolado de acréscimos e supressões (Acórdãos 1.271/2025 e 1.981/2009).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Métodos de aditamento: método do balanço e método do desconto (arts. 128 e 15).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Aplicações práticas: aditivos com novos serviços e com alteração de quantidades.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Reequilíbrio econômico-financeiro e teoria da imprevisão (art. 124, II, "d"); cláusula rebus sic stantibus.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Engenharia de custos: equidade global, expurgo do reajuste, onerosidade excessiva e expurgo do lucro (Acórdãos 1.466/2013 e 4.072/2020); OT — IBRAOP 009/2024.</w:t>
      </w:r>
    </w:p>
    <w:p>
      <w:pPr>
        <w:pBdr>
          <w:top w:val="single" w:color="AAAAAA" w:sz="4" w:space="4"/>
        </w:pBdr>
        <w:spacing w:after="30" w:before="120" w:line="240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legal e de controle contemplada no módulo: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Legislação municipal — Decreto nº 62.100/2022:</w:t>
      </w:r>
      <w:r>
        <w:rPr>
          <w:rFonts w:ascii="Arial" w:cs="Arial" w:eastAsia="Arial" w:hAnsi="Arial"/>
          <w:sz w:val="19"/>
          <w:szCs w:val="19"/>
        </w:rPr>
        <w:t xml:space="preserve"> art. 127 (alterações contratuais e limites); arts. 128 a 137 (reajuste e repactuação; planilha de custos); arts. 138 e 139 (reequilíbrio econômico-financeiro; alocação de riscos; termo aditivo).</w:t>
      </w:r>
    </w:p>
    <w:p>
      <w:pPr>
        <w:spacing w:after="30" w:before="0" w:line="240" w:lineRule="auto"/>
        <w:ind w:left="34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Jurisprudência do TCM/SP:</w:t>
      </w:r>
      <w:r>
        <w:rPr>
          <w:rFonts w:ascii="Arial" w:cs="Arial" w:eastAsia="Arial" w:hAnsi="Arial"/>
          <w:sz w:val="19"/>
          <w:szCs w:val="19"/>
        </w:rPr>
        <w:t xml:space="preserve"> TC 4.602/2021 (Bol. 81 — limites de acréscimo e alteração qualitativa). Reequilíbrio: sem ementa específica nos Boletins 54–83 analisados.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DO CURSO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1.</w:t>
      </w:r>
      <w:r>
        <w:rPr>
          <w:rFonts w:ascii="Arial" w:cs="Arial" w:eastAsia="Arial" w:hAnsi="Arial"/>
          <w:sz w:val="24"/>
          <w:szCs w:val="24"/>
        </w:rPr>
        <w:t xml:space="preserve"> Capacitar os participantes a elaborar e analisar criticamente orçamentos de obras públicas, dominando as referências legais federais (Lei nº 14.133/2021 e Decreto nº 7.983/2013) e municipais (Decreto nº 62.100/2022), bem como os sistemas oficiais de custos (SINAPI e SICRO), com a correta composição do custo direto, dos custos indiretos, dos encargos sociais e do BDI.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2.</w:t>
      </w:r>
      <w:r>
        <w:rPr>
          <w:rFonts w:ascii="Arial" w:cs="Arial" w:eastAsia="Arial" w:hAnsi="Arial"/>
          <w:sz w:val="24"/>
          <w:szCs w:val="24"/>
        </w:rPr>
        <w:t xml:space="preserve"> Habilitar à identificação, mensuração e prevenção de irregularidades orçamentárias — sobrepreço e superfaturamento —, mediante a aplicação dos métodos de apuração (MPLU e MPLG) e da jurisprudência consolidada do TCU, da CGU e do TCM/SP (órgão de controle externo da Prefeitura de São Paulo).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3.</w:t>
      </w:r>
      <w:r>
        <w:rPr>
          <w:rFonts w:ascii="Arial" w:cs="Arial" w:eastAsia="Arial" w:hAnsi="Arial"/>
          <w:sz w:val="24"/>
          <w:szCs w:val="24"/>
        </w:rPr>
        <w:t xml:space="preserve"> Desenvolver competências de planejamento e controle da execução contratual por meio do cronograma físico-financeiro, das curvas ABC e da Curva S, permitindo o monitoramento de desempenho, a antecipação de atrasos e a adequada fiscalização das obras.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4.</w:t>
      </w:r>
      <w:r>
        <w:rPr>
          <w:rFonts w:ascii="Arial" w:cs="Arial" w:eastAsia="Arial" w:hAnsi="Arial"/>
          <w:sz w:val="24"/>
          <w:szCs w:val="24"/>
        </w:rPr>
        <w:t xml:space="preserve"> Instrumentalizar a gestão de alterações contratuais — aditivos e reequilíbrio econômico-financeiro —, com fundamento na teoria da imprevisão, no método do desconto e nas diretrizes técnicas (IBRAOP) e jurisprudenciais aplicáveis.</w:t>
      </w:r>
    </w:p>
    <w:p>
      <w:r>
        <w:br w:type="page"/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A — Correspondência com o Decreto Municipal nº 62.100/2022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 Decreto nº 62.100/2022 (com as alterações do Decreto nº 64.863/2025) regulamenta as licitações e os contratos administrativos da Administração direta, autárquica e fundacional do Município de São Paulo. Abaixo, os dispositivos contemplados pelo curso, por módulo.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1 — Fundamentos, estrutura do orçamento e encargos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27 — pesquisa de preços para bens e serviços em geral (critérios combinados; PNCP; mídia especializada; contratos similares; consulta a fornecedores).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28, "caput" e § 1º — obras e serviços de engenharia: valor estimado acrescido de BDI de referência e Encargos Sociais, por composição de custos unitários ≤ mediana da Tabela de Custos Unitários da SIURB; ordem de parâmetros na ausência da tabela.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28, § 2º — contratações com recursos da União (formação do preço de referência).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29 — pesquisa excepcional com menos de três preços/fornecedores.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31 — repetição da pesquisa de preços (tempo decorrido, sazonalidade).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32 — sigilo do orçamento até a fase recursal (art. 24 da Lei nº 14.133/2021).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33 — diretrizes da Secretaria Municipal de Gestão para a formação dos valores de referência.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2 — Custos indiretos e BDI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28, "caput" — composição de custos unitários; BDI de referência e Encargos Sociais como componentes do valor estimado de obras e serviços de engenharia.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3 — Tipos de orçamento e composições de custos unitários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28, § 3º — contratação integrada e semi-integrada: valor estimado com parcela de remuneração do risco; orçamento sintético balizado em sistema de custos; metodologia expedita/paramétrica reservada às frações não detalhadas do anteprojeto.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28, § 4º — exigência do mesmo nível de detalhamento do orçamento sintético nas propostas dos licitantes.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4 — Planejamento e controle da execução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Arts. 5º e 6º — Plano de Contratações Anual (descrição do objeto, estimativa preliminar do valor, prioridade, calendário; divulgação).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7º — governança das contratações; segregação de funções na fase preparatória (pesquisa de preços, reserva de recursos, termo de referência, orçamento, análise de riscos).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Arts. 117 e 118 — gestão dos contratos: conhecimento do cronograma físico-financeiro e controle dos recursos orçamentários.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Arts. 119 e 120 — fiscalização dos contratos: conformidade das obras, serviços e quantidades executadas com o objeto contratado.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5 — Sobrepreço e superfaturamento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7º — governança e controles internos das contratações (art. 11, parágrafo único, da Lei nº 14.133/2021).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Arts. 34 a 36 — programa de integridade em obras e serviços de grande vulto; gestão de riscos e controles internos.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119 — fiscalização: verificação de quantidades e qualidade, prevenindo medição e pagamento por quantidade superior à executada.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6 — Alterações contratuais e equilíbrio econômico-financeiro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Art. 127 — alterações contratuais nos limites da Lei nº 14.133/2021.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Arts. 128 a 137 — reajuste e repactuação; demonstração analítica da variação de custos por planilha de custos e formação de preços.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Arts. 138 e 139 — reequilíbrio econômico-financeiro: instrução com subsídios, observância da alocação de riscos e formalização por termo aditivo.</w:t>
      </w:r>
    </w:p>
    <w:p>
      <w:r>
        <w:br w:type="page"/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B — Ementário do TCM/SP correlacionado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Síntese das teses do TCM/SP que dão suporte aos módulos. Cada entrada indica o processo (TC), o boletim (Bol.) e, quando existente, a decisão correlata do TCU registrada no próprio boletim. Base: Boletins de Jurisprudência nos 54 a 83 (novembro/2023 a junho/2026).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1 — Estimativa de preços, valores de referência e encargos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12.754/2023 (Bol. 55)</w:t>
      </w:r>
      <w:r>
        <w:rPr>
          <w:rFonts w:ascii="Arial" w:cs="Arial" w:eastAsia="Arial" w:hAnsi="Arial"/>
          <w:sz w:val="24"/>
          <w:szCs w:val="24"/>
        </w:rPr>
        <w:t xml:space="preserve"> — valor estimado compatível com o mercado, com a documentação e as propostas comerciais da pesquisa juntadas aos autos (art. 23, Lei nº 14.133/2021; art. 58, Lei Municipal nº 17.273/2020).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12.324/2023 (Bol. 67)</w:t>
      </w:r>
      <w:r>
        <w:rPr>
          <w:rFonts w:ascii="Arial" w:cs="Arial" w:eastAsia="Arial" w:hAnsi="Arial"/>
          <w:sz w:val="24"/>
          <w:szCs w:val="24"/>
        </w:rPr>
        <w:t xml:space="preserve"> — preço estimado alinhado ao mercado, admitidas fontes alternativas (Manuais SEGES/COBES e STJ). Correlato: TCU Ac. 2.816/2014.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466/2016 (Bol. 68)</w:t>
      </w:r>
      <w:r>
        <w:rPr>
          <w:rFonts w:ascii="Arial" w:cs="Arial" w:eastAsia="Arial" w:hAnsi="Arial"/>
          <w:sz w:val="24"/>
          <w:szCs w:val="24"/>
        </w:rPr>
        <w:t xml:space="preserve"> — obrigatória a ampliação da base da pesquisa (contratos similares de outros entes). Correlato: TCU Ac. 1.445/2015 e 2.816/2014.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1.757/2026 (Bol. 81)</w:t>
      </w:r>
      <w:r>
        <w:rPr>
          <w:rFonts w:ascii="Arial" w:cs="Arial" w:eastAsia="Arial" w:hAnsi="Arial"/>
          <w:sz w:val="24"/>
          <w:szCs w:val="24"/>
        </w:rPr>
        <w:t xml:space="preserve"> — pesquisa com pluralidade de fornecedores; orçamento sigiloso exige demonstração das razões. Correlato: TCU Ac. 1.875/2021.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6.148/2026 (Bol. 83)</w:t>
      </w:r>
      <w:r>
        <w:rPr>
          <w:rFonts w:ascii="Arial" w:cs="Arial" w:eastAsia="Arial" w:hAnsi="Arial"/>
          <w:sz w:val="24"/>
          <w:szCs w:val="24"/>
        </w:rPr>
        <w:t xml:space="preserve"> — cotações de fornecedores têm caráter subsidiário; priorizar parâmetros públicos e vedar escolha arbitrária. Correlato: TCU Ac. 2.401/2022 e 2.637/2015.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10.920/2020 (Bol. 60)</w:t>
      </w:r>
      <w:r>
        <w:rPr>
          <w:rFonts w:ascii="Arial" w:cs="Arial" w:eastAsia="Arial" w:hAnsi="Arial"/>
          <w:sz w:val="24"/>
          <w:szCs w:val="24"/>
        </w:rPr>
        <w:t xml:space="preserve"> — planilha de custos com todas as funções e remuneração compatível com o piso da categoria. Correlato: TCU Ac. 662/2011.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12.532/2025 (Bol. 81)</w:t>
      </w:r>
      <w:r>
        <w:rPr>
          <w:rFonts w:ascii="Arial" w:cs="Arial" w:eastAsia="Arial" w:hAnsi="Arial"/>
          <w:sz w:val="24"/>
          <w:szCs w:val="24"/>
        </w:rPr>
        <w:t xml:space="preserve"> — custos horários de mão de obra ≥ pisos da CCT; compatibilidade dos encargos sociais na planilha. Correlato: TCU Ac. 981/2023.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11.232/2022 (Bol. 60), TC 11.131/2022 (Bol. 69) e TC 6.872/2026 (Bol. 83)</w:t>
      </w:r>
      <w:r>
        <w:rPr>
          <w:rFonts w:ascii="Arial" w:cs="Arial" w:eastAsia="Arial" w:hAnsi="Arial"/>
          <w:sz w:val="24"/>
          <w:szCs w:val="24"/>
        </w:rPr>
        <w:t xml:space="preserve"> — parcelamento é regra; unificação exige justificativa (economia de escala). Correlato: Súmulas nos 8/TCMSP e 247/TCU.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2 — Custos indiretos e BDI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5.323/2021 (Bol. 75)</w:t>
      </w:r>
      <w:r>
        <w:rPr>
          <w:rFonts w:ascii="Arial" w:cs="Arial" w:eastAsia="Arial" w:hAnsi="Arial"/>
          <w:sz w:val="24"/>
          <w:szCs w:val="24"/>
        </w:rPr>
        <w:t xml:space="preserve"> — Administração Local e Transportes Internos não podem compor o BDI; são custos diretos individualizados na planilha, sob pena de duplicidade de pagamento. Correlato: TCU Ac. 740/2017 e 1.678/2011.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5.468/2022 (Bol. 80)</w:t>
      </w:r>
      <w:r>
        <w:rPr>
          <w:rFonts w:ascii="Arial" w:cs="Arial" w:eastAsia="Arial" w:hAnsi="Arial"/>
          <w:sz w:val="24"/>
          <w:szCs w:val="24"/>
        </w:rPr>
        <w:t xml:space="preserve"> — obrigatório BDI diferenciado e reduzido para serviços especializados (ex.: elevadores). Correlato: TCU Ac. 624/2010.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16.909/2019 (Bol. 76) e TC 16.943/2019 (Bol. 80)</w:t>
      </w:r>
      <w:r>
        <w:rPr>
          <w:rFonts w:ascii="Arial" w:cs="Arial" w:eastAsia="Arial" w:hAnsi="Arial"/>
          <w:sz w:val="24"/>
          <w:szCs w:val="24"/>
        </w:rPr>
        <w:t xml:space="preserve"> — vedação à "administração contratada" (insumos + taxa de BDI); a remuneração deve basear-se em composições de preços unitários.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3 — Tipos de orçamento e composições de custos unitários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15.372/2024 (Bol. 60)</w:t>
      </w:r>
      <w:r>
        <w:rPr>
          <w:rFonts w:ascii="Arial" w:cs="Arial" w:eastAsia="Arial" w:hAnsi="Arial"/>
          <w:sz w:val="24"/>
          <w:szCs w:val="24"/>
        </w:rPr>
        <w:t xml:space="preserve"> — orçamento de referência em tabela de custos unitários atualizada, refletindo o valor de mercado à época do certame.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10.049/2023 (Bol. 83)</w:t>
      </w:r>
      <w:r>
        <w:rPr>
          <w:rFonts w:ascii="Arial" w:cs="Arial" w:eastAsia="Arial" w:hAnsi="Arial"/>
          <w:sz w:val="24"/>
          <w:szCs w:val="24"/>
        </w:rPr>
        <w:t xml:space="preserve"> — projeto básico deve caracterizar o objeto e permitir as propostas, sem se confundir com o executivo. Correlato: Súmulas nos 261 e 177 do TCU.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4 — Planejamento e controle da execução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12.010/2019 (Bol. 57)</w:t>
      </w:r>
      <w:r>
        <w:rPr>
          <w:rFonts w:ascii="Arial" w:cs="Arial" w:eastAsia="Arial" w:hAnsi="Arial"/>
          <w:sz w:val="24"/>
          <w:szCs w:val="24"/>
        </w:rPr>
        <w:t xml:space="preserve"> — o ETP deve seguir o rito legal do planejamento da contratação (art. 6º, XX, e art. 18, V).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9.789/2025 (Bol. 76)</w:t>
      </w:r>
      <w:r>
        <w:rPr>
          <w:rFonts w:ascii="Arial" w:cs="Arial" w:eastAsia="Arial" w:hAnsi="Arial"/>
          <w:sz w:val="24"/>
          <w:szCs w:val="24"/>
        </w:rPr>
        <w:t xml:space="preserve"> — estimativa da demanda com memória de cálculo idônea, assegurando planejamento, controle e gestão (art. 40). Correlato: TCU Ac. 2.155/2012.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19.116/2019 (Bol. 82)</w:t>
      </w:r>
      <w:r>
        <w:rPr>
          <w:rFonts w:ascii="Arial" w:cs="Arial" w:eastAsia="Arial" w:hAnsi="Arial"/>
          <w:sz w:val="24"/>
          <w:szCs w:val="24"/>
        </w:rPr>
        <w:t xml:space="preserve"> — sobreposição de objetos é falha de planejamento (economicidade; risco de duplicidade). Correlato: TCU Ac. 2.080/2005.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19.711/2019 (Bol. 54)</w:t>
      </w:r>
      <w:r>
        <w:rPr>
          <w:rFonts w:ascii="Arial" w:cs="Arial" w:eastAsia="Arial" w:hAnsi="Arial"/>
          <w:sz w:val="24"/>
          <w:szCs w:val="24"/>
        </w:rPr>
        <w:t xml:space="preserve"> — ART obrigatória em obras e serviços de engenharia, consignada no processo de contratação.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12.845/2018 (Bol. 69)</w:t>
      </w:r>
      <w:r>
        <w:rPr>
          <w:rFonts w:ascii="Arial" w:cs="Arial" w:eastAsia="Arial" w:hAnsi="Arial"/>
          <w:sz w:val="24"/>
          <w:szCs w:val="24"/>
        </w:rPr>
        <w:t xml:space="preserve"> — legítima a fiscalização instrumental (auditoria) sobre a execução contratual.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5 — Sobrepreço e superfaturamento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5.947/2018 (Bol. 77)</w:t>
      </w:r>
      <w:r>
        <w:rPr>
          <w:rFonts w:ascii="Arial" w:cs="Arial" w:eastAsia="Arial" w:hAnsi="Arial"/>
          <w:sz w:val="24"/>
          <w:szCs w:val="24"/>
        </w:rPr>
        <w:t xml:space="preserve"> — medição e pagamento por quantidade superior à executada: irregularidade grave e prejuízo ao erário (art. 63, Lei nº 4.320/1964).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5.323/2021 (Bol. 75)</w:t>
      </w:r>
      <w:r>
        <w:rPr>
          <w:rFonts w:ascii="Arial" w:cs="Arial" w:eastAsia="Arial" w:hAnsi="Arial"/>
          <w:sz w:val="24"/>
          <w:szCs w:val="24"/>
        </w:rPr>
        <w:t xml:space="preserve"> — duplicidade de pagamento pela alocação da Adm. Local no BDI e na planilha.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5.468/2022 (Bol. 80)</w:t>
      </w:r>
      <w:r>
        <w:rPr>
          <w:rFonts w:ascii="Arial" w:cs="Arial" w:eastAsia="Arial" w:hAnsi="Arial"/>
          <w:sz w:val="24"/>
          <w:szCs w:val="24"/>
        </w:rPr>
        <w:t xml:space="preserve"> — ausência de BDI diferenciado gera superavaliação do orçamento.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12.532/2025 (Bol. 81) e TC 14.163/2025 (Bol. 82)</w:t>
      </w:r>
      <w:r>
        <w:rPr>
          <w:rFonts w:ascii="Arial" w:cs="Arial" w:eastAsia="Arial" w:hAnsi="Arial"/>
          <w:sz w:val="24"/>
          <w:szCs w:val="24"/>
        </w:rPr>
        <w:t xml:space="preserve"> — proposta &lt; 75% do orçamento é presunção relativa de inexequibilidade (art. 59, § 4º); exige diligência e composição analítica de custos. Correlato: Súmula TCU nº 262; Ac. 2.378/2024.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10.132/2023 (Bol. 82)</w:t>
      </w:r>
      <w:r>
        <w:rPr>
          <w:rFonts w:ascii="Arial" w:cs="Arial" w:eastAsia="Arial" w:hAnsi="Arial"/>
          <w:sz w:val="24"/>
          <w:szCs w:val="24"/>
        </w:rPr>
        <w:t xml:space="preserve"> — a mera similaridade de descontos na planilha não caracteriza conluio sem outros indícios.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6 — Alterações contratuais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4.602/2021 (Bol. 81)</w:t>
      </w:r>
      <w:r>
        <w:rPr>
          <w:rFonts w:ascii="Arial" w:cs="Arial" w:eastAsia="Arial" w:hAnsi="Arial"/>
          <w:sz w:val="24"/>
          <w:szCs w:val="24"/>
        </w:rPr>
        <w:t xml:space="preserve"> — a extrapolação dos limites de acréscimo só se admite em alteração consensual qualitativa excepcionalíssima, com requisitos cumulativos; jamais por falha de planejamento, deficiência de projeto básico ou alteração meramente quantitativa. Correlato: TCU Ac. 215/1999 e 749/2010.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Conteudo_Programatico_Consolidado.docx</dc:title>
  <dc:creator>Documento gerado</dc:creator>
  <cp:lastModifiedBy>Un-named</cp:lastModifiedBy>
  <cp:revision>1</cp:revision>
  <dcterms:created xsi:type="dcterms:W3CDTF">2026-08-06T09:48:09.530Z</dcterms:created>
  <dcterms:modified xsi:type="dcterms:W3CDTF">2026-08-06T09:48:09.547Z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