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D1219" w14:textId="77777777" w:rsidR="00A46262" w:rsidRPr="002A725C" w:rsidRDefault="00A46262" w:rsidP="00A46262">
      <w:pPr>
        <w:jc w:val="center"/>
        <w:rPr>
          <w:szCs w:val="20"/>
          <w:u w:val="single"/>
          <w:lang w:eastAsia="pt-BR"/>
        </w:rPr>
      </w:pPr>
      <w:r w:rsidRPr="002A725C">
        <w:rPr>
          <w:szCs w:val="20"/>
          <w:lang w:eastAsia="pt-BR"/>
        </w:rPr>
        <w:t>VOTO</w:t>
      </w:r>
    </w:p>
    <w:p w14:paraId="4F0C0DDE" w14:textId="77777777" w:rsidR="00A46262" w:rsidRPr="002A725C" w:rsidRDefault="00A46262" w:rsidP="00A46262">
      <w:pPr>
        <w:spacing w:before="160"/>
        <w:ind w:firstLine="1134"/>
        <w:jc w:val="both"/>
        <w:rPr>
          <w:szCs w:val="24"/>
        </w:rPr>
      </w:pPr>
      <w:r>
        <w:rPr>
          <w:szCs w:val="24"/>
        </w:rPr>
        <w:t>Trata</w:t>
      </w:r>
      <w:r w:rsidRPr="002A725C">
        <w:rPr>
          <w:szCs w:val="24"/>
        </w:rPr>
        <w:t xml:space="preserve">-se de </w:t>
      </w:r>
      <w:r>
        <w:rPr>
          <w:szCs w:val="24"/>
        </w:rPr>
        <w:t>t</w:t>
      </w:r>
      <w:r w:rsidRPr="002A725C">
        <w:rPr>
          <w:szCs w:val="24"/>
        </w:rPr>
        <w:t xml:space="preserve">omada de </w:t>
      </w:r>
      <w:r>
        <w:rPr>
          <w:szCs w:val="24"/>
        </w:rPr>
        <w:t>c</w:t>
      </w:r>
      <w:r w:rsidRPr="002A725C">
        <w:rPr>
          <w:szCs w:val="24"/>
        </w:rPr>
        <w:t xml:space="preserve">ontas </w:t>
      </w:r>
      <w:r>
        <w:rPr>
          <w:szCs w:val="24"/>
        </w:rPr>
        <w:t>e</w:t>
      </w:r>
      <w:r w:rsidRPr="002A725C">
        <w:rPr>
          <w:szCs w:val="24"/>
        </w:rPr>
        <w:t>special instaurada em cumprimento ao Acórdão 1.632/2022-TCU-Plenário, de minha relatoria, para apurar irregularidades identificadas nas obras de construção do Trecho Norte do Rodoanel Mário Covas</w:t>
      </w:r>
      <w:r>
        <w:rPr>
          <w:szCs w:val="24"/>
        </w:rPr>
        <w:t xml:space="preserve"> (</w:t>
      </w:r>
      <w:r w:rsidRPr="002A725C">
        <w:rPr>
          <w:szCs w:val="24"/>
        </w:rPr>
        <w:t>Lote 2</w:t>
      </w:r>
      <w:r>
        <w:rPr>
          <w:szCs w:val="24"/>
        </w:rPr>
        <w:t>)</w:t>
      </w:r>
      <w:r w:rsidRPr="002A725C">
        <w:rPr>
          <w:szCs w:val="24"/>
        </w:rPr>
        <w:t xml:space="preserve">, realizadas pela Construtora OAS S.A., atual Construtora </w:t>
      </w:r>
      <w:r>
        <w:rPr>
          <w:szCs w:val="24"/>
        </w:rPr>
        <w:t>Coesa</w:t>
      </w:r>
      <w:r w:rsidRPr="002A725C">
        <w:rPr>
          <w:szCs w:val="24"/>
        </w:rPr>
        <w:t xml:space="preserve"> S.A.</w:t>
      </w:r>
      <w:r>
        <w:rPr>
          <w:szCs w:val="24"/>
        </w:rPr>
        <w:t xml:space="preserve"> (</w:t>
      </w:r>
      <w:r w:rsidRPr="002A725C">
        <w:rPr>
          <w:szCs w:val="24"/>
        </w:rPr>
        <w:t>em recuperação judicial</w:t>
      </w:r>
      <w:r>
        <w:rPr>
          <w:szCs w:val="24"/>
        </w:rPr>
        <w:t>)</w:t>
      </w:r>
      <w:r w:rsidRPr="002A725C">
        <w:rPr>
          <w:szCs w:val="24"/>
        </w:rPr>
        <w:t xml:space="preserve">, </w:t>
      </w:r>
      <w:r>
        <w:rPr>
          <w:szCs w:val="24"/>
        </w:rPr>
        <w:t>no âmbito d</w:t>
      </w:r>
      <w:r w:rsidRPr="002A725C">
        <w:rPr>
          <w:szCs w:val="24"/>
        </w:rPr>
        <w:t>o Contrato 4.349/2013, firmado com a Dersa Desenvolvimento Rodoviário S.A.</w:t>
      </w:r>
    </w:p>
    <w:p w14:paraId="1C7CCDC0" w14:textId="77777777" w:rsidR="00A46262" w:rsidRPr="002A725C" w:rsidRDefault="00A46262" w:rsidP="00A46262">
      <w:pPr>
        <w:spacing w:before="160"/>
        <w:ind w:firstLine="1134"/>
        <w:jc w:val="both"/>
        <w:rPr>
          <w:szCs w:val="24"/>
        </w:rPr>
      </w:pPr>
      <w:r w:rsidRPr="002A725C">
        <w:rPr>
          <w:szCs w:val="24"/>
        </w:rPr>
        <w:t>Os objetos da fiscalização foram o Termo de Compromisso TC-004/1999, celebrado entre a União e o Estado de São Paulo, com a Dersa</w:t>
      </w:r>
      <w:r>
        <w:rPr>
          <w:szCs w:val="24"/>
        </w:rPr>
        <w:t>,</w:t>
      </w:r>
      <w:r w:rsidRPr="002A725C">
        <w:rPr>
          <w:szCs w:val="24"/>
        </w:rPr>
        <w:t xml:space="preserve"> como interveniente</w:t>
      </w:r>
      <w:r>
        <w:rPr>
          <w:szCs w:val="24"/>
        </w:rPr>
        <w:t>-</w:t>
      </w:r>
      <w:r w:rsidRPr="002A725C">
        <w:rPr>
          <w:szCs w:val="24"/>
        </w:rPr>
        <w:t>executor, e o Contrato 4.349/2013, relativo ao Lote 2, firmado entre a Dersa e a Construtora OAS S.A.</w:t>
      </w:r>
      <w:r>
        <w:rPr>
          <w:szCs w:val="24"/>
        </w:rPr>
        <w:t>, decorrente da</w:t>
      </w:r>
      <w:r w:rsidRPr="002A725C">
        <w:rPr>
          <w:szCs w:val="24"/>
        </w:rPr>
        <w:t xml:space="preserve"> Licitação Pública Internacional (LPI) 6/2011-CI.</w:t>
      </w:r>
    </w:p>
    <w:p w14:paraId="7AEDF8E4" w14:textId="77777777" w:rsidR="00A46262" w:rsidRDefault="00A46262" w:rsidP="00A46262">
      <w:pPr>
        <w:spacing w:before="160"/>
        <w:ind w:firstLine="1134"/>
        <w:jc w:val="both"/>
        <w:rPr>
          <w:szCs w:val="24"/>
        </w:rPr>
      </w:pPr>
      <w:r>
        <w:rPr>
          <w:szCs w:val="24"/>
        </w:rPr>
        <w:t>No âmbito desta tomada de contas especial, foram promovidas citações em razão da ocorrência de três irregularidades:</w:t>
      </w:r>
      <w:r w:rsidRPr="002A725C">
        <w:rPr>
          <w:szCs w:val="24"/>
        </w:rPr>
        <w:t xml:space="preserve"> (a) superfaturamento decorrente da indevida inclusão de novos serviços relativos a </w:t>
      </w:r>
      <w:r>
        <w:rPr>
          <w:szCs w:val="24"/>
        </w:rPr>
        <w:t>“</w:t>
      </w:r>
      <w:r w:rsidRPr="002A725C">
        <w:rPr>
          <w:szCs w:val="24"/>
        </w:rPr>
        <w:t>matacões</w:t>
      </w:r>
      <w:r>
        <w:rPr>
          <w:szCs w:val="24"/>
        </w:rPr>
        <w:t>”</w:t>
      </w:r>
      <w:r w:rsidRPr="002A725C">
        <w:rPr>
          <w:szCs w:val="24"/>
        </w:rPr>
        <w:t>; (b) superfaturamento no reequilíbrio econômico-financeiro, em decorrência de metodologia inadequada de cálculo e de duplicidade de pagamento; e (c) superfaturamento pelo não reaproveitamento do material pétreo de 3ª categoria escavado na obra.</w:t>
      </w:r>
    </w:p>
    <w:p w14:paraId="1672413C" w14:textId="77777777" w:rsidR="00A46262" w:rsidRPr="002A725C" w:rsidRDefault="00A46262" w:rsidP="00A46262">
      <w:pPr>
        <w:spacing w:before="160"/>
        <w:ind w:firstLine="1134"/>
        <w:jc w:val="both"/>
        <w:rPr>
          <w:szCs w:val="24"/>
        </w:rPr>
      </w:pPr>
      <w:r w:rsidRPr="002A725C">
        <w:rPr>
          <w:szCs w:val="24"/>
        </w:rPr>
        <w:t xml:space="preserve">Foram </w:t>
      </w:r>
      <w:r>
        <w:rPr>
          <w:szCs w:val="24"/>
        </w:rPr>
        <w:t>citados</w:t>
      </w:r>
      <w:r w:rsidRPr="002A725C">
        <w:rPr>
          <w:szCs w:val="24"/>
        </w:rPr>
        <w:t xml:space="preserve">: Benedito Aparecido Trida, engenheiro </w:t>
      </w:r>
      <w:r>
        <w:rPr>
          <w:szCs w:val="24"/>
        </w:rPr>
        <w:t xml:space="preserve">e </w:t>
      </w:r>
      <w:r w:rsidRPr="002A725C">
        <w:rPr>
          <w:szCs w:val="24"/>
        </w:rPr>
        <w:t xml:space="preserve">fiscal do Lote 2; Pedro da Silva, Diretor de Engenharia da Dersa; Laurence Casagrande Lourenço, Diretor-Presidente (12/1/2011 a 30/4/2018); Pedro Paulo Dantas do Amaral Campos, </w:t>
      </w:r>
      <w:r>
        <w:rPr>
          <w:szCs w:val="24"/>
        </w:rPr>
        <w:t>G</w:t>
      </w:r>
      <w:r w:rsidRPr="002A725C">
        <w:rPr>
          <w:szCs w:val="24"/>
        </w:rPr>
        <w:t>estor do empreendimento (a partir de 10/9/2015); Carlos Satoru Miyasato, Gerente da Divisão de Aquisições, Contratos e Medições; João Carlos de Lima Pereira, Gerente de Divisão de Planejamento; Wild Gonçalves Fischer, Chefe da Divisão de Orçamentos e Preços; José Arnaldo Almeida dos Santos, responsável pelo Departamento de Medições; Estanislau Marcka, Gerente da Divisão de Medições; e Emílio Urbano Squarcina, Gerente de Divisão de Obras; Benjamim Venâncio de Melo Júnior, Diretor Administrativo-Financeiro (28/1/2013 a 31/5/2018); Nilson Rogério Baroni, Diretor de Operações (a partir de 14/8/2015);</w:t>
      </w:r>
      <w:r>
        <w:rPr>
          <w:szCs w:val="24"/>
        </w:rPr>
        <w:t xml:space="preserve"> </w:t>
      </w:r>
      <w:r w:rsidRPr="002A725C">
        <w:rPr>
          <w:szCs w:val="24"/>
        </w:rPr>
        <w:t>e</w:t>
      </w:r>
      <w:r>
        <w:rPr>
          <w:szCs w:val="24"/>
        </w:rPr>
        <w:t> </w:t>
      </w:r>
      <w:r w:rsidRPr="002A725C">
        <w:rPr>
          <w:szCs w:val="24"/>
        </w:rPr>
        <w:t>Construtora OAS S.A.</w:t>
      </w:r>
    </w:p>
    <w:p w14:paraId="383D5EC2" w14:textId="77777777" w:rsidR="00A46262" w:rsidRPr="002A725C" w:rsidRDefault="00A46262" w:rsidP="00A46262">
      <w:pPr>
        <w:spacing w:before="160"/>
        <w:ind w:firstLine="1134"/>
        <w:jc w:val="both"/>
        <w:rPr>
          <w:szCs w:val="24"/>
        </w:rPr>
      </w:pPr>
      <w:r w:rsidRPr="002A725C">
        <w:rPr>
          <w:szCs w:val="24"/>
        </w:rPr>
        <w:t>As audiências</w:t>
      </w:r>
      <w:r>
        <w:rPr>
          <w:szCs w:val="24"/>
        </w:rPr>
        <w:t>, por sua vez,</w:t>
      </w:r>
      <w:r w:rsidRPr="002A725C">
        <w:rPr>
          <w:szCs w:val="24"/>
        </w:rPr>
        <w:t xml:space="preserve"> foram promovidas em razão de: (a) aprovação de aditivos com impacto financeiro declarado como nulo; (b) subcontratação irregular dos serviços de escavação dos Túneis 201 e 301; (c) pagamento por serviços da </w:t>
      </w:r>
      <w:r>
        <w:rPr>
          <w:szCs w:val="24"/>
        </w:rPr>
        <w:t>Obra de Arte Especial (</w:t>
      </w:r>
      <w:r w:rsidRPr="002A725C">
        <w:rPr>
          <w:szCs w:val="24"/>
        </w:rPr>
        <w:t>OAE</w:t>
      </w:r>
      <w:r>
        <w:rPr>
          <w:szCs w:val="24"/>
        </w:rPr>
        <w:t>)</w:t>
      </w:r>
      <w:r w:rsidRPr="002A725C">
        <w:rPr>
          <w:szCs w:val="24"/>
        </w:rPr>
        <w:t xml:space="preserve"> 204</w:t>
      </w:r>
      <w:r>
        <w:rPr>
          <w:szCs w:val="24"/>
        </w:rPr>
        <w:t>,</w:t>
      </w:r>
      <w:r w:rsidRPr="002A725C">
        <w:rPr>
          <w:szCs w:val="24"/>
        </w:rPr>
        <w:t xml:space="preserve"> medidos de modo diverso do executado; e (d) omissão na análise de mérito das prestações de contas do TC-004/1999.</w:t>
      </w:r>
    </w:p>
    <w:p w14:paraId="256908A7" w14:textId="77777777" w:rsidR="00A46262" w:rsidRPr="002A725C" w:rsidRDefault="00A46262" w:rsidP="00A46262">
      <w:pPr>
        <w:spacing w:before="160"/>
        <w:ind w:firstLine="1134"/>
        <w:jc w:val="both"/>
        <w:rPr>
          <w:szCs w:val="24"/>
        </w:rPr>
      </w:pPr>
      <w:r w:rsidRPr="002A725C">
        <w:rPr>
          <w:szCs w:val="24"/>
        </w:rPr>
        <w:t xml:space="preserve">Foram </w:t>
      </w:r>
      <w:r>
        <w:rPr>
          <w:szCs w:val="24"/>
        </w:rPr>
        <w:t>ouvidos em audiênci</w:t>
      </w:r>
      <w:r w:rsidRPr="002A725C">
        <w:rPr>
          <w:szCs w:val="24"/>
        </w:rPr>
        <w:t xml:space="preserve">a: Benedito Aparecido Trida, Pedro da Silva, Laurence Casagrande Lourenço, Benjamim Venâncio de Melo Júnior, Nilson Rogério Baroni, Sílvia Cristina Aranega Menezes, Diretora Jurídica (22/9/2011 a 17/3/2015); João Henrique Poiani, Diretor de Operações (12/1/2011 a 4/3/2015); Pedro Paulo Dantas do Amaral Campos; Arabenes Pereira de Andrade Correa e Jaqueline Costa da Silva, </w:t>
      </w:r>
      <w:r>
        <w:rPr>
          <w:szCs w:val="24"/>
        </w:rPr>
        <w:t>servidoras do Departamento Nacional de Infraestrutura de Transportes (Dnit)</w:t>
      </w:r>
      <w:r w:rsidRPr="002A725C">
        <w:rPr>
          <w:szCs w:val="24"/>
        </w:rPr>
        <w:t>.</w:t>
      </w:r>
    </w:p>
    <w:p w14:paraId="497DAFC8" w14:textId="77777777" w:rsidR="00A46262" w:rsidRPr="002A725C" w:rsidRDefault="00A46262" w:rsidP="00A46262">
      <w:pPr>
        <w:spacing w:before="160"/>
        <w:jc w:val="center"/>
        <w:rPr>
          <w:szCs w:val="24"/>
        </w:rPr>
      </w:pPr>
      <w:r w:rsidRPr="002A725C">
        <w:rPr>
          <w:szCs w:val="24"/>
        </w:rPr>
        <w:t>II</w:t>
      </w:r>
    </w:p>
    <w:p w14:paraId="75CD5F93" w14:textId="77777777" w:rsidR="00A46262" w:rsidRDefault="00A46262" w:rsidP="00A46262">
      <w:pPr>
        <w:spacing w:before="160" w:after="160"/>
        <w:ind w:firstLine="1134"/>
        <w:jc w:val="both"/>
        <w:rPr>
          <w:szCs w:val="24"/>
          <w:lang w:eastAsia="pt-BR"/>
        </w:rPr>
      </w:pPr>
      <w:r w:rsidRPr="002A725C">
        <w:rPr>
          <w:szCs w:val="24"/>
          <w:lang w:eastAsia="pt-BR"/>
        </w:rPr>
        <w:t xml:space="preserve">Os responsáveis alegam, em linhas gerais, que se operou a </w:t>
      </w:r>
      <w:r w:rsidRPr="008B5622">
        <w:rPr>
          <w:b/>
          <w:bCs/>
          <w:szCs w:val="24"/>
          <w:lang w:eastAsia="pt-BR"/>
        </w:rPr>
        <w:t>prescrição</w:t>
      </w:r>
      <w:r w:rsidRPr="002A725C">
        <w:rPr>
          <w:szCs w:val="24"/>
          <w:lang w:eastAsia="pt-BR"/>
        </w:rPr>
        <w:t xml:space="preserve"> das pretensões punitiva e ressarcitória do TCU, sustentando que os sucessivos retornos do TC 034.481/2016-8</w:t>
      </w:r>
      <w:r>
        <w:rPr>
          <w:szCs w:val="24"/>
          <w:lang w:eastAsia="pt-BR"/>
        </w:rPr>
        <w:t xml:space="preserve"> – que que deu origem ao presente processo – à </w:t>
      </w:r>
      <w:r w:rsidRPr="002A725C">
        <w:rPr>
          <w:szCs w:val="24"/>
          <w:lang w:eastAsia="pt-BR"/>
        </w:rPr>
        <w:t>unidade técnica</w:t>
      </w:r>
      <w:r>
        <w:rPr>
          <w:szCs w:val="24"/>
          <w:lang w:eastAsia="pt-BR"/>
        </w:rPr>
        <w:t>,</w:t>
      </w:r>
      <w:r w:rsidRPr="002A725C">
        <w:rPr>
          <w:szCs w:val="24"/>
          <w:lang w:eastAsia="pt-BR"/>
        </w:rPr>
        <w:t xml:space="preserve"> não constituem marcos interruptivos autônomos, à luz da tese da unicidade da interrupção firmada pelo Supremo Tribunal Federal</w:t>
      </w:r>
      <w:r w:rsidRPr="008B48BD">
        <w:rPr>
          <w:szCs w:val="24"/>
          <w:lang w:eastAsia="pt-BR"/>
        </w:rPr>
        <w:t xml:space="preserve">, e que a interrupção dependeria da ciência individual de cada responsável. </w:t>
      </w:r>
    </w:p>
    <w:p w14:paraId="62D87506" w14:textId="77777777" w:rsidR="00A46262" w:rsidRDefault="00A46262" w:rsidP="00A46262">
      <w:pPr>
        <w:spacing w:before="160" w:after="160"/>
        <w:ind w:firstLine="1134"/>
        <w:jc w:val="both"/>
        <w:rPr>
          <w:szCs w:val="24"/>
          <w:lang w:eastAsia="pt-BR"/>
        </w:rPr>
      </w:pPr>
      <w:r w:rsidRPr="008B48BD">
        <w:rPr>
          <w:szCs w:val="24"/>
          <w:lang w:eastAsia="pt-BR"/>
        </w:rPr>
        <w:lastRenderedPageBreak/>
        <w:t>Benedito Aparecido Trida e Sílvia Cristina Aranega Menezes sustentam</w:t>
      </w:r>
      <w:r>
        <w:rPr>
          <w:szCs w:val="24"/>
          <w:lang w:eastAsia="pt-BR"/>
        </w:rPr>
        <w:t xml:space="preserve"> </w:t>
      </w:r>
      <w:r w:rsidRPr="008B48BD">
        <w:rPr>
          <w:szCs w:val="24"/>
          <w:lang w:eastAsia="pt-BR"/>
        </w:rPr>
        <w:t xml:space="preserve">que o termo inicial da contagem seria anterior ao Relatório de Fiscalização 539/2016, seja porque o TCU fiscaliza o empreendimento desde a fase de licitação (Fiscalis 175/2012), seja porque o Ministério Público Federal, a Polícia Federal e a Controladoria-Geral da União já apuravam os fatos desde 2015 e 2016. </w:t>
      </w:r>
    </w:p>
    <w:p w14:paraId="250E534E" w14:textId="77777777" w:rsidR="00A46262" w:rsidRPr="002A725C" w:rsidRDefault="00A46262" w:rsidP="00A46262">
      <w:pPr>
        <w:spacing w:before="160" w:after="160"/>
        <w:ind w:firstLine="1134"/>
        <w:jc w:val="both"/>
        <w:rPr>
          <w:szCs w:val="24"/>
          <w:lang w:eastAsia="pt-BR"/>
        </w:rPr>
      </w:pPr>
      <w:r w:rsidRPr="008B48BD">
        <w:rPr>
          <w:szCs w:val="24"/>
          <w:lang w:eastAsia="pt-BR"/>
        </w:rPr>
        <w:t>A Construtora OAS S.A. requer, subsidiariamente, o reconhecimento da prescrição quanto aos débitos relativos ao não reaproveitamento do material pétreo escavado, ao argumento de que essa imputação somente surgiu na instrução de 8/2/2022 (peça 654 do TC 034.481/2016-8) e de que o ato de apuração de uma irregularidade não interrompe a prescrição das demais.</w:t>
      </w:r>
      <w:r>
        <w:rPr>
          <w:szCs w:val="24"/>
          <w:lang w:eastAsia="pt-BR"/>
        </w:rPr>
        <w:t xml:space="preserve"> </w:t>
      </w:r>
    </w:p>
    <w:p w14:paraId="319E8EEF" w14:textId="77777777" w:rsidR="00A46262" w:rsidRDefault="00A46262" w:rsidP="00A46262">
      <w:pPr>
        <w:spacing w:before="160" w:after="160"/>
        <w:ind w:firstLine="1134"/>
        <w:jc w:val="both"/>
        <w:rPr>
          <w:szCs w:val="24"/>
          <w:lang w:eastAsia="pt-BR"/>
        </w:rPr>
      </w:pPr>
      <w:r w:rsidRPr="002A725C">
        <w:rPr>
          <w:szCs w:val="24"/>
          <w:lang w:eastAsia="pt-BR"/>
        </w:rPr>
        <w:t xml:space="preserve">Quanto aos </w:t>
      </w:r>
      <w:r w:rsidRPr="002A725C">
        <w:rPr>
          <w:b/>
          <w:bCs/>
          <w:szCs w:val="24"/>
          <w:lang w:eastAsia="pt-BR"/>
        </w:rPr>
        <w:t>matacões</w:t>
      </w:r>
      <w:r w:rsidRPr="002A725C">
        <w:rPr>
          <w:szCs w:val="24"/>
          <w:lang w:eastAsia="pt-BR"/>
        </w:rPr>
        <w:t xml:space="preserve">, Benedito Aparecido Trida, Pedro da Silva, Laurence Casagrande Lourenço, Pedro Paulo Dantas do Amaral Campos, Benjamim Venâncio de Melo Júnior, Nilson Rogério Baroni e Construtora </w:t>
      </w:r>
      <w:r>
        <w:rPr>
          <w:szCs w:val="24"/>
          <w:lang w:eastAsia="pt-BR"/>
        </w:rPr>
        <w:t>Coesa</w:t>
      </w:r>
      <w:r w:rsidRPr="002A725C">
        <w:rPr>
          <w:szCs w:val="24"/>
          <w:lang w:eastAsia="pt-BR"/>
        </w:rPr>
        <w:t xml:space="preserve"> S.A. invocam a teoria da imprevisão: os matacões teriam ocorrido em volume superior ao que o projeto básico permitia estimar, tornando inadequados os custos originais e necessária a adoção de metodologias construtivas diversas para sua remoção. </w:t>
      </w:r>
    </w:p>
    <w:p w14:paraId="2ADE381F" w14:textId="77777777" w:rsidR="00A46262" w:rsidRDefault="00A46262" w:rsidP="00A46262">
      <w:pPr>
        <w:spacing w:before="160" w:after="160"/>
        <w:ind w:firstLine="1134"/>
        <w:jc w:val="both"/>
        <w:rPr>
          <w:szCs w:val="24"/>
          <w:lang w:eastAsia="pt-BR"/>
        </w:rPr>
      </w:pPr>
      <w:r>
        <w:rPr>
          <w:szCs w:val="24"/>
          <w:lang w:eastAsia="pt-BR"/>
        </w:rPr>
        <w:t>Os responsáveis alegam, ainda,</w:t>
      </w:r>
      <w:r w:rsidRPr="002A725C">
        <w:rPr>
          <w:szCs w:val="24"/>
          <w:lang w:eastAsia="pt-BR"/>
        </w:rPr>
        <w:t xml:space="preserve"> que o relatório do </w:t>
      </w:r>
      <w:r>
        <w:rPr>
          <w:szCs w:val="24"/>
          <w:lang w:eastAsia="pt-BR"/>
        </w:rPr>
        <w:t>Instituto de Pesquisas Tecnológicas (</w:t>
      </w:r>
      <w:r w:rsidRPr="002A725C">
        <w:rPr>
          <w:szCs w:val="24"/>
          <w:lang w:eastAsia="pt-BR"/>
        </w:rPr>
        <w:t>IPT</w:t>
      </w:r>
      <w:r>
        <w:rPr>
          <w:szCs w:val="24"/>
          <w:lang w:eastAsia="pt-BR"/>
        </w:rPr>
        <w:t>)</w:t>
      </w:r>
      <w:r w:rsidRPr="002A725C">
        <w:rPr>
          <w:szCs w:val="24"/>
          <w:lang w:eastAsia="pt-BR"/>
        </w:rPr>
        <w:t xml:space="preserve"> reconhecia as limitações das técnicas de estimativa. A Construtora </w:t>
      </w:r>
      <w:r>
        <w:rPr>
          <w:szCs w:val="24"/>
          <w:lang w:eastAsia="pt-BR"/>
        </w:rPr>
        <w:t>Coesa</w:t>
      </w:r>
      <w:r w:rsidRPr="002A725C">
        <w:rPr>
          <w:szCs w:val="24"/>
          <w:lang w:eastAsia="pt-BR"/>
        </w:rPr>
        <w:t xml:space="preserve"> S.A. acrescenta que as sondagens foram deficientes e a escavação em solo misturado com matacões exigia metodologia qualitativamente distinta da de material de 3ª categoria, bem assim que o projeto básico indicava produtividade de 50 m³/h para escavação de material de 3ª categoria, coeficiente superior ao do </w:t>
      </w:r>
      <w:r>
        <w:rPr>
          <w:szCs w:val="24"/>
          <w:lang w:eastAsia="pt-BR"/>
        </w:rPr>
        <w:t>Sicro</w:t>
      </w:r>
      <w:r w:rsidRPr="002A725C">
        <w:rPr>
          <w:szCs w:val="24"/>
          <w:lang w:eastAsia="pt-BR"/>
        </w:rPr>
        <w:t xml:space="preserve"> 2 (34,6 m³/h) e muito superior ao verificado em campo na escavação de solo misturado com matacões, o que teria conduzido todos os licitantes a subestimar os custos associados a essa condição geológica. </w:t>
      </w:r>
    </w:p>
    <w:p w14:paraId="2A1BDA2D" w14:textId="77777777" w:rsidR="00A46262" w:rsidRDefault="00A46262" w:rsidP="00A46262">
      <w:pPr>
        <w:spacing w:before="160" w:after="160"/>
        <w:ind w:firstLine="1134"/>
        <w:jc w:val="both"/>
        <w:rPr>
          <w:szCs w:val="24"/>
          <w:lang w:eastAsia="pt-BR"/>
        </w:rPr>
      </w:pPr>
      <w:r w:rsidRPr="002A725C">
        <w:rPr>
          <w:szCs w:val="24"/>
          <w:lang w:eastAsia="pt-BR"/>
        </w:rPr>
        <w:t xml:space="preserve">Pedro da Silva argumenta que: a responsabilização por divergência de interpretação técnica era descabida, agiu com técnica e diligência, valendo-se de fontes confiáveis, e o contrato tinha características próprias de licitação internacional, com regras impostas pelo </w:t>
      </w:r>
      <w:r>
        <w:rPr>
          <w:szCs w:val="24"/>
          <w:lang w:eastAsia="pt-BR"/>
        </w:rPr>
        <w:t>Banco Interamericano de Desenvolvimento</w:t>
      </w:r>
      <w:r w:rsidRPr="002A725C">
        <w:rPr>
          <w:szCs w:val="24"/>
          <w:lang w:eastAsia="pt-BR"/>
        </w:rPr>
        <w:t xml:space="preserve">, e previa Junta de Conflitos, que concluiu pela legitimidade da inclusão dos serviços. </w:t>
      </w:r>
    </w:p>
    <w:p w14:paraId="098DACD2" w14:textId="77777777" w:rsidR="00A46262" w:rsidRPr="002A725C" w:rsidRDefault="00A46262" w:rsidP="00A46262">
      <w:pPr>
        <w:spacing w:before="160" w:after="160"/>
        <w:ind w:firstLine="1134"/>
        <w:jc w:val="both"/>
        <w:rPr>
          <w:szCs w:val="24"/>
          <w:lang w:eastAsia="pt-BR"/>
        </w:rPr>
      </w:pPr>
      <w:r w:rsidRPr="002A725C">
        <w:rPr>
          <w:szCs w:val="24"/>
          <w:lang w:eastAsia="pt-BR"/>
        </w:rPr>
        <w:t>Laurence Casagrande Lourenço acrescenta que</w:t>
      </w:r>
      <w:r>
        <w:rPr>
          <w:szCs w:val="24"/>
          <w:lang w:eastAsia="pt-BR"/>
        </w:rPr>
        <w:t xml:space="preserve"> </w:t>
      </w:r>
      <w:r w:rsidRPr="002A725C">
        <w:rPr>
          <w:szCs w:val="24"/>
          <w:lang w:eastAsia="pt-BR"/>
        </w:rPr>
        <w:t>a Dersa discordou do pleito da OAS, contratou o IPT e recorreu da decisão da Junta. Benjamim Venâncio de Melo Júnior e Nilson Rogério Baroni</w:t>
      </w:r>
      <w:r>
        <w:rPr>
          <w:szCs w:val="24"/>
          <w:lang w:eastAsia="pt-BR"/>
        </w:rPr>
        <w:t>, por sua vez,</w:t>
      </w:r>
      <w:r w:rsidRPr="002A725C">
        <w:rPr>
          <w:szCs w:val="24"/>
          <w:lang w:eastAsia="pt-BR"/>
        </w:rPr>
        <w:t xml:space="preserve"> alegam que, como diretores de áreas não técnicas, não lhes competia examinar o mérito de questões de engenharia.</w:t>
      </w:r>
    </w:p>
    <w:p w14:paraId="1B2B97CF" w14:textId="77777777" w:rsidR="00A46262" w:rsidRDefault="00A46262" w:rsidP="00A46262">
      <w:pPr>
        <w:spacing w:before="160" w:after="160"/>
        <w:ind w:firstLine="1134"/>
        <w:jc w:val="both"/>
        <w:rPr>
          <w:szCs w:val="24"/>
          <w:lang w:eastAsia="pt-BR"/>
        </w:rPr>
      </w:pPr>
      <w:r w:rsidRPr="002A725C">
        <w:rPr>
          <w:szCs w:val="24"/>
          <w:lang w:eastAsia="pt-BR"/>
        </w:rPr>
        <w:t xml:space="preserve">Quanto ao </w:t>
      </w:r>
      <w:r w:rsidRPr="002A725C">
        <w:rPr>
          <w:b/>
          <w:bCs/>
          <w:szCs w:val="24"/>
          <w:lang w:eastAsia="pt-BR"/>
        </w:rPr>
        <w:t>reequilíbrio econômico-financeiro</w:t>
      </w:r>
      <w:r w:rsidRPr="002A725C">
        <w:rPr>
          <w:szCs w:val="24"/>
          <w:lang w:eastAsia="pt-BR"/>
        </w:rPr>
        <w:t xml:space="preserve">, Carlos Satoru Miyasato, João Carlos de Lima Pereira, Pedro da Silva, Pedro Paulo Dantas do Amaral Campos, Wild Gonçalves Fischer e Construtora </w:t>
      </w:r>
      <w:r>
        <w:rPr>
          <w:szCs w:val="24"/>
          <w:lang w:eastAsia="pt-BR"/>
        </w:rPr>
        <w:t>Coesa</w:t>
      </w:r>
      <w:r w:rsidRPr="002A725C">
        <w:rPr>
          <w:szCs w:val="24"/>
          <w:lang w:eastAsia="pt-BR"/>
        </w:rPr>
        <w:t xml:space="preserve"> S.A. sustentam que: a aprovação foi lastreada no parecer Mozart e chancelada em várias instâncias; a metodologia se baseou no</w:t>
      </w:r>
      <w:r>
        <w:rPr>
          <w:szCs w:val="24"/>
          <w:lang w:eastAsia="pt-BR"/>
        </w:rPr>
        <w:t>s Benefícios e Despesas Indiretas (</w:t>
      </w:r>
      <w:r w:rsidRPr="002A725C">
        <w:rPr>
          <w:szCs w:val="24"/>
          <w:lang w:eastAsia="pt-BR"/>
        </w:rPr>
        <w:t>BDI</w:t>
      </w:r>
      <w:r>
        <w:rPr>
          <w:szCs w:val="24"/>
          <w:lang w:eastAsia="pt-BR"/>
        </w:rPr>
        <w:t>)</w:t>
      </w:r>
      <w:r w:rsidRPr="002A725C">
        <w:rPr>
          <w:szCs w:val="24"/>
          <w:lang w:eastAsia="pt-BR"/>
        </w:rPr>
        <w:t xml:space="preserve"> previsto</w:t>
      </w:r>
      <w:r>
        <w:rPr>
          <w:szCs w:val="24"/>
          <w:lang w:eastAsia="pt-BR"/>
        </w:rPr>
        <w:t>s</w:t>
      </w:r>
      <w:r w:rsidRPr="002A725C">
        <w:rPr>
          <w:szCs w:val="24"/>
          <w:lang w:eastAsia="pt-BR"/>
        </w:rPr>
        <w:t xml:space="preserve"> no contrato e considerou itens diretamente relacionados ao prazo de execução; não cabe apontar irregularidade fundada em mera divergência de interpretação técnica. Carlos Satoru Miyasato, João Carlos de Lima Pereira e Wild Gonçalves Fischer alegam, adicionalmente, que suas participações foram pontuais e que suas atribuições eram limitadas ou distantes da matéria objeto do parecer. </w:t>
      </w:r>
    </w:p>
    <w:p w14:paraId="726B976B" w14:textId="77777777" w:rsidR="00A46262" w:rsidRPr="002A725C" w:rsidRDefault="00A46262" w:rsidP="00A46262">
      <w:pPr>
        <w:spacing w:before="160" w:after="160"/>
        <w:ind w:firstLine="1134"/>
        <w:jc w:val="both"/>
        <w:rPr>
          <w:szCs w:val="24"/>
          <w:lang w:eastAsia="pt-BR"/>
        </w:rPr>
      </w:pPr>
      <w:r w:rsidRPr="002A725C">
        <w:rPr>
          <w:szCs w:val="24"/>
          <w:lang w:eastAsia="pt-BR"/>
        </w:rPr>
        <w:t xml:space="preserve">A Construtora </w:t>
      </w:r>
      <w:r>
        <w:rPr>
          <w:szCs w:val="24"/>
          <w:lang w:eastAsia="pt-BR"/>
        </w:rPr>
        <w:t>Coesa</w:t>
      </w:r>
      <w:r w:rsidRPr="002A725C">
        <w:rPr>
          <w:szCs w:val="24"/>
          <w:lang w:eastAsia="pt-BR"/>
        </w:rPr>
        <w:t xml:space="preserve"> S.A. acrescenta que: o BDI total se encontrava dentro dos limites aceitáveis pelo Tribunal; a complexidade da obra justificava a proximidade </w:t>
      </w:r>
      <w:r w:rsidRPr="002A725C">
        <w:rPr>
          <w:szCs w:val="24"/>
          <w:lang w:eastAsia="pt-BR"/>
        </w:rPr>
        <w:lastRenderedPageBreak/>
        <w:t>com o quartil superior; instrução anterior do Tribunal havia reconhecido que a Administração Central gerava custos mensais e que a prorrogação do Seguro Responsabilidade Civil implicava despesas adicionais; e os percentuais utilizados no reequilíbrio eram os mesmos originalmente previstos no contrato, não cabendo contestá-los isoladamente nessa fase.</w:t>
      </w:r>
    </w:p>
    <w:p w14:paraId="249CDF0E" w14:textId="77777777" w:rsidR="00A46262" w:rsidRPr="002A725C" w:rsidRDefault="00A46262" w:rsidP="00A46262">
      <w:pPr>
        <w:spacing w:before="160" w:after="160"/>
        <w:ind w:firstLine="1134"/>
        <w:jc w:val="both"/>
        <w:rPr>
          <w:szCs w:val="24"/>
          <w:lang w:eastAsia="pt-BR"/>
        </w:rPr>
      </w:pPr>
      <w:r w:rsidRPr="002A725C">
        <w:rPr>
          <w:szCs w:val="24"/>
          <w:lang w:eastAsia="pt-BR"/>
        </w:rPr>
        <w:t xml:space="preserve">Quanto aos </w:t>
      </w:r>
      <w:r w:rsidRPr="002A725C">
        <w:rPr>
          <w:b/>
          <w:bCs/>
          <w:szCs w:val="24"/>
          <w:lang w:eastAsia="pt-BR"/>
        </w:rPr>
        <w:t>aditivos com impacto financeiro declarado como nulo</w:t>
      </w:r>
      <w:r w:rsidRPr="002A725C">
        <w:rPr>
          <w:szCs w:val="24"/>
          <w:lang w:eastAsia="pt-BR"/>
        </w:rPr>
        <w:t>, Pedro da Silva, Laurence Casagrande Lourenço, Benjamim Venâncio de Melo Júnior, Nilson Rogério Baroni, Sílvia Cristina Aranega Menezes e João Henrique Poiani sustentam que: as deliberações foram colegiadas, baseadas em pareceres e visavam evitar a paralisação das obras, tendo os aditivos sido validados pelo BID. Sílvia Cristina Aranega Menezes acrescenta que a denúncia contra ela foi rejeitada com trânsito em julgado, vinculando este Tribunal. João Henrique Poiani alega não ter atribuições vinculadas à área de engenharia. Nilson Rogério Baroni alega que a matéria tinha caráter estritamente técnico, além de seus conhecimentos. Benedito Aparecido Trida alega que executou as alterações por ordem da Diretoria.</w:t>
      </w:r>
    </w:p>
    <w:p w14:paraId="3125E73E" w14:textId="77777777" w:rsidR="00A46262" w:rsidRPr="002A725C" w:rsidRDefault="00A46262" w:rsidP="00A46262">
      <w:pPr>
        <w:spacing w:before="160" w:after="160"/>
        <w:ind w:firstLine="1134"/>
        <w:jc w:val="both"/>
        <w:rPr>
          <w:szCs w:val="24"/>
          <w:lang w:eastAsia="pt-BR"/>
        </w:rPr>
      </w:pPr>
      <w:r w:rsidRPr="002A725C">
        <w:rPr>
          <w:szCs w:val="24"/>
          <w:lang w:eastAsia="pt-BR"/>
        </w:rPr>
        <w:t xml:space="preserve">Quanto à </w:t>
      </w:r>
      <w:r w:rsidRPr="002A725C">
        <w:rPr>
          <w:b/>
          <w:bCs/>
          <w:szCs w:val="24"/>
          <w:lang w:eastAsia="pt-BR"/>
        </w:rPr>
        <w:t>subcontratação</w:t>
      </w:r>
      <w:r w:rsidRPr="002A725C">
        <w:rPr>
          <w:szCs w:val="24"/>
          <w:lang w:eastAsia="pt-BR"/>
        </w:rPr>
        <w:t xml:space="preserve">, Benedito Aparecido, Pedro da Silva, Laurence Casagrande Lourenço, Pedro Paulo Dantas do Amaral Campos, Benjamim Venâncio de Melo Júnior e Nilson Rogério Baroni argumentam que: a Construtora OAS, </w:t>
      </w:r>
      <w:r>
        <w:rPr>
          <w:szCs w:val="24"/>
          <w:lang w:eastAsia="pt-BR"/>
        </w:rPr>
        <w:t xml:space="preserve">que já se encontrava </w:t>
      </w:r>
      <w:r w:rsidRPr="002A725C">
        <w:rPr>
          <w:szCs w:val="24"/>
          <w:lang w:eastAsia="pt-BR"/>
        </w:rPr>
        <w:t>em recuperação judicial, enfrentava dificuldades financeiras que colocavam em risco a continuidade da escavação dos túneis, a subcontratação à Toniolo Busnello S.A. representou providência pragmática sem prejuízo ao Erário, os serviços foram executados a contento, o percentual subcontratado foi de apenas 9% do valor contratado e a Diretoria da Dersa formalizou a autorização após tramitação por todas as áreas competentes, contando com parecer jurídico favorável.</w:t>
      </w:r>
    </w:p>
    <w:p w14:paraId="1624F01F" w14:textId="77777777" w:rsidR="00A46262" w:rsidRPr="002A725C" w:rsidRDefault="00A46262" w:rsidP="00A46262">
      <w:pPr>
        <w:spacing w:before="160" w:after="160"/>
        <w:ind w:firstLine="1134"/>
        <w:jc w:val="both"/>
        <w:rPr>
          <w:szCs w:val="24"/>
          <w:lang w:eastAsia="pt-BR"/>
        </w:rPr>
      </w:pPr>
      <w:r w:rsidRPr="002A725C">
        <w:rPr>
          <w:szCs w:val="24"/>
          <w:lang w:eastAsia="pt-BR"/>
        </w:rPr>
        <w:t xml:space="preserve">Quanto à </w:t>
      </w:r>
      <w:r w:rsidRPr="002A725C">
        <w:rPr>
          <w:b/>
          <w:bCs/>
          <w:szCs w:val="24"/>
          <w:lang w:eastAsia="pt-BR"/>
        </w:rPr>
        <w:t>OAE 204</w:t>
      </w:r>
      <w:r w:rsidRPr="002A725C">
        <w:rPr>
          <w:szCs w:val="24"/>
          <w:lang w:eastAsia="pt-BR"/>
        </w:rPr>
        <w:t>, Benedito Aparecido alega que: não haveria como se opor à matéria sem prejuízo de suas funções, sua conduta não foi decisiva para a consumação da irregularidade e a questão seria alheia à sua esfera de competência. Pedro Paulo Dantas do Amaral Campos alega que sua atuação se iniciou em setembro de 2015, quando o serviço já estava em execução, e a estatal determinou o imediato estorno dos pagamentos tão logo questionada pelo Tribunal.</w:t>
      </w:r>
    </w:p>
    <w:p w14:paraId="221C8A63" w14:textId="77777777" w:rsidR="00A46262" w:rsidRPr="002A725C" w:rsidRDefault="00A46262" w:rsidP="00A46262">
      <w:pPr>
        <w:spacing w:before="160" w:after="160"/>
        <w:ind w:firstLine="1134"/>
        <w:jc w:val="both"/>
        <w:rPr>
          <w:szCs w:val="24"/>
          <w:lang w:eastAsia="pt-BR"/>
        </w:rPr>
      </w:pPr>
      <w:r w:rsidRPr="002A725C">
        <w:rPr>
          <w:szCs w:val="24"/>
          <w:lang w:eastAsia="pt-BR"/>
        </w:rPr>
        <w:t xml:space="preserve">Quanto ao </w:t>
      </w:r>
      <w:r w:rsidRPr="002A725C">
        <w:rPr>
          <w:b/>
          <w:bCs/>
          <w:szCs w:val="24"/>
          <w:lang w:eastAsia="pt-BR"/>
        </w:rPr>
        <w:t>não reaproveitamento do material pétreo escavado</w:t>
      </w:r>
      <w:r w:rsidRPr="002A725C">
        <w:rPr>
          <w:szCs w:val="24"/>
          <w:lang w:eastAsia="pt-BR"/>
        </w:rPr>
        <w:t xml:space="preserve">, Benedito Aparecido Trida, Pedro da Silva, Laurence Casagrande Lourenço, Pedro Paulo Dantas do Amaral Campos, Carlos Satoru Miyasato, José Arnaldo Almeida dos Santos, o espólio de Estanislau Marcka, Emílio Urbano Squarcina e Construtora </w:t>
      </w:r>
      <w:r>
        <w:rPr>
          <w:szCs w:val="24"/>
          <w:lang w:eastAsia="pt-BR"/>
        </w:rPr>
        <w:t>Coesa</w:t>
      </w:r>
      <w:r w:rsidRPr="002A725C">
        <w:rPr>
          <w:szCs w:val="24"/>
          <w:lang w:eastAsia="pt-BR"/>
        </w:rPr>
        <w:t xml:space="preserve"> S.A. alegam que não h</w:t>
      </w:r>
      <w:r>
        <w:rPr>
          <w:szCs w:val="24"/>
          <w:lang w:eastAsia="pt-BR"/>
        </w:rPr>
        <w:t>á</w:t>
      </w:r>
      <w:r w:rsidRPr="002A725C">
        <w:rPr>
          <w:szCs w:val="24"/>
          <w:lang w:eastAsia="pt-BR"/>
        </w:rPr>
        <w:t xml:space="preserve"> elementos técnicos suficientes para comprovar qual material poderia ou não ser reaproveitado, configurando exigência de “prova diabólica”. Laurence Casagrande Lourenço acrescenta que o uso de brita comercial foi necessário na fase inicial da obra, pois os primeiros serviços demandavam material britado antes que a escavação avançasse o suficiente para produzi-lo, e que houve mudanças no critério de medição da escavação ao longo do contrato.</w:t>
      </w:r>
    </w:p>
    <w:p w14:paraId="3BF5C97D" w14:textId="77777777" w:rsidR="00A46262" w:rsidRPr="002A725C" w:rsidRDefault="00A46262" w:rsidP="00A46262">
      <w:pPr>
        <w:spacing w:before="160" w:after="160"/>
        <w:ind w:firstLine="1134"/>
        <w:jc w:val="both"/>
        <w:rPr>
          <w:szCs w:val="24"/>
          <w:lang w:eastAsia="pt-BR"/>
        </w:rPr>
      </w:pPr>
      <w:r w:rsidRPr="002A725C">
        <w:rPr>
          <w:szCs w:val="24"/>
          <w:lang w:eastAsia="pt-BR"/>
        </w:rPr>
        <w:t xml:space="preserve">A Construtora </w:t>
      </w:r>
      <w:r>
        <w:rPr>
          <w:szCs w:val="24"/>
          <w:lang w:eastAsia="pt-BR"/>
        </w:rPr>
        <w:t>Coesa</w:t>
      </w:r>
      <w:r w:rsidRPr="002A725C">
        <w:rPr>
          <w:szCs w:val="24"/>
          <w:lang w:eastAsia="pt-BR"/>
        </w:rPr>
        <w:t xml:space="preserve"> S.A. acrescenta que: utilizou 170.000 m³ de agregados oriundos da própria obra, número superior ao previsto, e o contrato foi interrompido pela Dersa antes de sua conclusão, deixando material pétreo, bruto e já britado, ainda por aplicar; o atraso nas liberações de frentes de serviço pela Dersa retardou a instalação da central de britagem, tornando inevitável o uso de brita comercial nesse período; as mudanças no critério de medição da escavação de matacões fizeram com que o percentual de aproveitamento fosse subestimado; a proximidade com área residencial impedia a </w:t>
      </w:r>
      <w:r w:rsidRPr="002A725C">
        <w:rPr>
          <w:szCs w:val="24"/>
          <w:lang w:eastAsia="pt-BR"/>
        </w:rPr>
        <w:lastRenderedPageBreak/>
        <w:t>britagem no período noturno; o índice de forma do material escavado era inadequado para determinados serviços; e a britagem do material escavado em canteiro exigia planejamento complexo e pátio de estoque de difícil viabilização na localidade da obra.</w:t>
      </w:r>
    </w:p>
    <w:p w14:paraId="5F3F8BDD" w14:textId="77777777" w:rsidR="00A46262" w:rsidRPr="002A725C" w:rsidRDefault="00A46262" w:rsidP="00A46262">
      <w:pPr>
        <w:spacing w:before="160" w:after="160"/>
        <w:ind w:firstLine="1134"/>
        <w:jc w:val="both"/>
        <w:rPr>
          <w:szCs w:val="24"/>
          <w:lang w:eastAsia="pt-BR"/>
        </w:rPr>
      </w:pPr>
      <w:r w:rsidRPr="002A725C">
        <w:rPr>
          <w:szCs w:val="24"/>
          <w:lang w:eastAsia="pt-BR"/>
        </w:rPr>
        <w:t>Pedro da Silva, José Arnaldo Almeida dos Santos, Carlos Satoru Miyasato, o espólio de Estanislau Marcka e Emílio Urbano Squarcina alegam que suas atribuições se restringiam à conferência e ao processamento das medições encaminhadas pelo fiscal, sem que lhes coubesse verificar a qualidade do material pétreo extraído das escavações nem as decisões de descarte, atribuição inerente ao fiscal da obra.</w:t>
      </w:r>
    </w:p>
    <w:p w14:paraId="23E573C1" w14:textId="77777777" w:rsidR="00A46262" w:rsidRPr="002A725C" w:rsidRDefault="00A46262" w:rsidP="00A46262">
      <w:pPr>
        <w:spacing w:before="160" w:after="160"/>
        <w:ind w:firstLine="1134"/>
        <w:jc w:val="both"/>
        <w:rPr>
          <w:szCs w:val="24"/>
          <w:lang w:eastAsia="pt-BR"/>
        </w:rPr>
      </w:pPr>
      <w:r w:rsidRPr="002A725C">
        <w:rPr>
          <w:szCs w:val="24"/>
          <w:lang w:eastAsia="pt-BR"/>
        </w:rPr>
        <w:t xml:space="preserve">Quanto à </w:t>
      </w:r>
      <w:r w:rsidRPr="002A725C">
        <w:rPr>
          <w:b/>
          <w:bCs/>
          <w:szCs w:val="24"/>
          <w:lang w:eastAsia="pt-BR"/>
        </w:rPr>
        <w:t>prestação de contas do TC-004/1999</w:t>
      </w:r>
      <w:r w:rsidRPr="002A725C">
        <w:rPr>
          <w:szCs w:val="24"/>
          <w:lang w:eastAsia="pt-BR"/>
        </w:rPr>
        <w:t xml:space="preserve">, Arabenes Pereira de Andrade Correa e Jaqueline Costa da Silva sustentam que suas unidades no Dnit tinham atribuição restrita à análise formal dos documentos e ao registro no </w:t>
      </w:r>
      <w:r w:rsidRPr="00C562BB">
        <w:t>Sistema Integrado de Administração Financeira do Governo Federal (Siafi)</w:t>
      </w:r>
      <w:r w:rsidRPr="00C562BB">
        <w:rPr>
          <w:szCs w:val="24"/>
          <w:lang w:eastAsia="pt-BR"/>
        </w:rPr>
        <w:t>,</w:t>
      </w:r>
      <w:r w:rsidRPr="002A725C">
        <w:rPr>
          <w:szCs w:val="24"/>
          <w:lang w:eastAsia="pt-BR"/>
        </w:rPr>
        <w:t xml:space="preserve"> sem competência para o exame de mérito.</w:t>
      </w:r>
    </w:p>
    <w:p w14:paraId="34967E1E" w14:textId="77777777" w:rsidR="00A46262" w:rsidRDefault="00A46262" w:rsidP="00A46262">
      <w:pPr>
        <w:spacing w:before="160"/>
        <w:ind w:firstLine="1134"/>
        <w:jc w:val="both"/>
        <w:rPr>
          <w:szCs w:val="24"/>
          <w:lang w:eastAsia="pt-BR"/>
        </w:rPr>
      </w:pPr>
      <w:r w:rsidRPr="002A725C">
        <w:rPr>
          <w:szCs w:val="24"/>
          <w:lang w:eastAsia="pt-BR"/>
        </w:rPr>
        <w:t xml:space="preserve">A Construtora </w:t>
      </w:r>
      <w:r>
        <w:rPr>
          <w:szCs w:val="24"/>
          <w:lang w:eastAsia="pt-BR"/>
        </w:rPr>
        <w:t>Coesa</w:t>
      </w:r>
      <w:r w:rsidRPr="002A725C">
        <w:rPr>
          <w:szCs w:val="24"/>
          <w:lang w:eastAsia="pt-BR"/>
        </w:rPr>
        <w:t xml:space="preserve"> S.A. apresentou manifestação após o encerramento da instrução (peças 316 a 321) </w:t>
      </w:r>
      <w:r w:rsidRPr="00DB2F2E">
        <w:rPr>
          <w:szCs w:val="24"/>
          <w:lang w:eastAsia="pt-BR"/>
        </w:rPr>
        <w:t>requerendo o exame de novos laudos e relatórios técnicos e a restituição dos autos à AudTCE. A peça versa sobre a execução dos serviços relativos a matacões, com ênfase nas alterações de metodologia executiva e no desgaste dos equipamentos; sustenta que a concentração excepcional de blocos não configuraria risco de engenharia absorvível pelo BDI, na acepção do Acórdão 2622/2013-TCU-Plenário; reitera a alegada contradição entre as instruções de peças 264 e 378 do TC 034.481/2016-8 quanto à Administração Central e ao Seguro Responsabilidade Civil; e defende a validade da constituição da Junta de Conflitos, ao argumento de que a subcláusula 20.9 do contrato apenas facultaria a submissão direta do litígio à arbitragem</w:t>
      </w:r>
      <w:r w:rsidRPr="002A725C">
        <w:rPr>
          <w:szCs w:val="24"/>
          <w:lang w:eastAsia="pt-BR"/>
        </w:rPr>
        <w:t xml:space="preserve">. </w:t>
      </w:r>
    </w:p>
    <w:p w14:paraId="0C7117EC" w14:textId="77777777" w:rsidR="00A46262" w:rsidRDefault="00A46262" w:rsidP="00A46262">
      <w:pPr>
        <w:spacing w:before="160"/>
        <w:ind w:firstLine="1134"/>
        <w:jc w:val="both"/>
        <w:rPr>
          <w:szCs w:val="24"/>
          <w:lang w:eastAsia="pt-BR"/>
        </w:rPr>
      </w:pPr>
      <w:r w:rsidRPr="002A725C">
        <w:rPr>
          <w:szCs w:val="24"/>
          <w:lang w:eastAsia="pt-BR"/>
        </w:rPr>
        <w:t xml:space="preserve">Laurence Casagrande Lourenço peticionou nos autos (peças 322 e 323) requerendo o retorno dos autos à AudTCE, para exame de elementos supervenientes. Estes consistem em acórdão do </w:t>
      </w:r>
      <w:r w:rsidRPr="00C562BB">
        <w:rPr>
          <w:szCs w:val="24"/>
          <w:lang w:eastAsia="pt-BR"/>
        </w:rPr>
        <w:t>Tribunal Regional Federal da 3ª Região (TRF3)</w:t>
      </w:r>
      <w:r w:rsidRPr="002A725C">
        <w:rPr>
          <w:szCs w:val="24"/>
          <w:lang w:eastAsia="pt-BR"/>
        </w:rPr>
        <w:t xml:space="preserve"> que, por maioria, absolveu Benedito Aparecido Trida e Pedro da Silva do crime capitulado no art. 92, </w:t>
      </w:r>
      <w:r w:rsidRPr="002A725C">
        <w:rPr>
          <w:i/>
          <w:iCs/>
          <w:szCs w:val="24"/>
          <w:lang w:eastAsia="pt-BR"/>
        </w:rPr>
        <w:t>caput</w:t>
      </w:r>
      <w:r w:rsidRPr="002A725C">
        <w:rPr>
          <w:szCs w:val="24"/>
          <w:lang w:eastAsia="pt-BR"/>
        </w:rPr>
        <w:t>, da Lei 8.666/1993, com fulcro no art. 386, inciso II, do Código de Processo Penal</w:t>
      </w:r>
      <w:r>
        <w:rPr>
          <w:szCs w:val="24"/>
          <w:lang w:eastAsia="pt-BR"/>
        </w:rPr>
        <w:t xml:space="preserve"> (CPP)</w:t>
      </w:r>
      <w:r w:rsidRPr="002A725C">
        <w:rPr>
          <w:szCs w:val="24"/>
          <w:lang w:eastAsia="pt-BR"/>
        </w:rPr>
        <w:t xml:space="preserve">, além de declarar extinta a punibilidade quanto ao delito de associação criminosa, em face de prescrição. </w:t>
      </w:r>
    </w:p>
    <w:p w14:paraId="69AF7619" w14:textId="77777777" w:rsidR="00A46262" w:rsidRPr="002A725C" w:rsidRDefault="00A46262" w:rsidP="00A46262">
      <w:pPr>
        <w:spacing w:before="160"/>
        <w:ind w:firstLine="1134"/>
        <w:jc w:val="both"/>
        <w:rPr>
          <w:szCs w:val="24"/>
          <w:lang w:eastAsia="pt-BR"/>
        </w:rPr>
      </w:pPr>
      <w:r>
        <w:t>Ante a consumação das preclusões temporal e consumativa, não se impõe a reabertura da fase instrutória nem o enfrentamento individualizado das manifestações, razão por que indefiro os pedidos de restituição dos autos à unidade instrutiva</w:t>
      </w:r>
      <w:r w:rsidRPr="002A725C">
        <w:rPr>
          <w:szCs w:val="24"/>
          <w:lang w:eastAsia="pt-BR"/>
        </w:rPr>
        <w:t xml:space="preserve">. </w:t>
      </w:r>
    </w:p>
    <w:p w14:paraId="0B529439" w14:textId="77777777" w:rsidR="00A46262" w:rsidRPr="002A725C" w:rsidRDefault="00A46262" w:rsidP="00A46262">
      <w:pPr>
        <w:spacing w:before="160"/>
        <w:jc w:val="center"/>
        <w:rPr>
          <w:szCs w:val="24"/>
        </w:rPr>
      </w:pPr>
      <w:r w:rsidRPr="002A725C">
        <w:rPr>
          <w:szCs w:val="24"/>
        </w:rPr>
        <w:t>III</w:t>
      </w:r>
    </w:p>
    <w:p w14:paraId="7A0CFAD6" w14:textId="77777777" w:rsidR="00A46262" w:rsidRPr="002A725C" w:rsidRDefault="00A46262" w:rsidP="00A46262">
      <w:pPr>
        <w:spacing w:before="160"/>
        <w:ind w:firstLine="1134"/>
        <w:jc w:val="both"/>
        <w:rPr>
          <w:szCs w:val="24"/>
        </w:rPr>
      </w:pPr>
      <w:r w:rsidRPr="002A725C">
        <w:rPr>
          <w:szCs w:val="24"/>
        </w:rPr>
        <w:t xml:space="preserve">A AudTCE afasta a prescrição com base nos atos inequívocos de apuração que se sucederam ao Relatório de Fiscalização 539/2016, nos termos da Resolução TCU 344/2022. No mérito, propõe acolher as razões de justificativa de Benedito Aparecido Trida quanto ao impacto financeiro nulo; de todos os responsáveis quanto à subcontratação; de Pedro Paulo Dantas do Amaral Campos quanto ao pagamento por serviços da OAE 204 medidos de modo diverso do executado; e de Arabenes e Jaqueline quanto à omissão na análise de mérito das prestações de contas do TC-004/1999, julgando regulares as contas das duas últimas. Propõe rejeitar as demais razões de justificativa e alegações de defesa, condenar em débito solidário pelo superfaturamento nos matacões, pelo reequilíbrio econômico-financeiro, em razão de metodologia inadequada de cálculo e da duplicidade de pagamento, e pela brita comercial, sendo esta última restrita a </w:t>
      </w:r>
      <w:r w:rsidRPr="002A725C">
        <w:rPr>
          <w:szCs w:val="24"/>
        </w:rPr>
        <w:lastRenderedPageBreak/>
        <w:t xml:space="preserve">Benedito </w:t>
      </w:r>
      <w:r>
        <w:rPr>
          <w:szCs w:val="24"/>
        </w:rPr>
        <w:t xml:space="preserve">Aparecido Trida </w:t>
      </w:r>
      <w:r w:rsidRPr="002A725C">
        <w:rPr>
          <w:szCs w:val="24"/>
        </w:rPr>
        <w:t xml:space="preserve">e à </w:t>
      </w:r>
      <w:r>
        <w:rPr>
          <w:szCs w:val="24"/>
        </w:rPr>
        <w:t>Construtora Coesa S.A</w:t>
      </w:r>
      <w:r w:rsidRPr="002A725C">
        <w:rPr>
          <w:szCs w:val="24"/>
        </w:rPr>
        <w:t>. Propõe</w:t>
      </w:r>
      <w:r>
        <w:rPr>
          <w:szCs w:val="24"/>
        </w:rPr>
        <w:t>,</w:t>
      </w:r>
      <w:r w:rsidRPr="002A725C">
        <w:rPr>
          <w:szCs w:val="24"/>
        </w:rPr>
        <w:t xml:space="preserve"> ainda</w:t>
      </w:r>
      <w:r>
        <w:rPr>
          <w:szCs w:val="24"/>
        </w:rPr>
        <w:t>,</w:t>
      </w:r>
      <w:r w:rsidRPr="002A725C">
        <w:rPr>
          <w:szCs w:val="24"/>
        </w:rPr>
        <w:t xml:space="preserve"> a aplicação de multas aos responsáveis com defesas rejeitadas.</w:t>
      </w:r>
    </w:p>
    <w:p w14:paraId="5EFFE36B" w14:textId="77777777" w:rsidR="00A46262" w:rsidRPr="002A725C" w:rsidRDefault="00A46262" w:rsidP="00A46262">
      <w:pPr>
        <w:spacing w:before="160"/>
        <w:ind w:firstLine="1134"/>
        <w:jc w:val="both"/>
        <w:rPr>
          <w:szCs w:val="24"/>
        </w:rPr>
      </w:pPr>
      <w:r w:rsidRPr="002A725C">
        <w:rPr>
          <w:szCs w:val="24"/>
        </w:rPr>
        <w:t xml:space="preserve">O MPTCU concorda com o afastamento da prescrição e com grande parte das conclusões de mérito da AudTCE, divergindo em quatro pontos: rejeitar as razões de justificativa de todos os responsáveis quanto à subcontratação; </w:t>
      </w:r>
      <w:r>
        <w:t xml:space="preserve">responsabilizar todos os citados pela brita comercial, rejeitando as alegações de defesa que a AudTCE propunha acolher; </w:t>
      </w:r>
      <w:r w:rsidRPr="002A725C">
        <w:rPr>
          <w:szCs w:val="24"/>
        </w:rPr>
        <w:t>rejeitar as razões de justificativa de Benedito Aparecido Trida quanto ao impacto financeiro nulo; e rejeitar as razões de justificativa de Pedro Paulo Dantas do Amaral Campos quanto à OAE 204.</w:t>
      </w:r>
    </w:p>
    <w:p w14:paraId="19C46D7E" w14:textId="77777777" w:rsidR="00A46262" w:rsidRPr="002A725C" w:rsidRDefault="00A46262" w:rsidP="00A46262">
      <w:pPr>
        <w:spacing w:before="160"/>
        <w:ind w:firstLine="1134"/>
        <w:jc w:val="both"/>
        <w:rPr>
          <w:szCs w:val="24"/>
        </w:rPr>
      </w:pPr>
      <w:r w:rsidRPr="002A725C">
        <w:rPr>
          <w:szCs w:val="24"/>
        </w:rPr>
        <w:t xml:space="preserve">Feito esse breve resumo, </w:t>
      </w:r>
      <w:r w:rsidRPr="002A725C">
        <w:rPr>
          <w:b/>
          <w:bCs/>
          <w:szCs w:val="24"/>
        </w:rPr>
        <w:t>passo a decidir</w:t>
      </w:r>
      <w:r w:rsidRPr="002A725C">
        <w:rPr>
          <w:szCs w:val="24"/>
        </w:rPr>
        <w:t>.</w:t>
      </w:r>
    </w:p>
    <w:p w14:paraId="1FA94AA6" w14:textId="77777777" w:rsidR="00A46262" w:rsidRPr="002A725C" w:rsidRDefault="00A46262" w:rsidP="00A46262">
      <w:pPr>
        <w:spacing w:before="160"/>
        <w:jc w:val="center"/>
        <w:rPr>
          <w:szCs w:val="24"/>
        </w:rPr>
      </w:pPr>
      <w:r w:rsidRPr="002A725C">
        <w:rPr>
          <w:szCs w:val="24"/>
        </w:rPr>
        <w:t>IV</w:t>
      </w:r>
    </w:p>
    <w:p w14:paraId="3CA18DE8" w14:textId="77777777" w:rsidR="00A46262" w:rsidRDefault="00A46262" w:rsidP="00A46262">
      <w:pPr>
        <w:spacing w:before="160"/>
        <w:ind w:firstLine="1134"/>
        <w:jc w:val="both"/>
        <w:rPr>
          <w:szCs w:val="24"/>
        </w:rPr>
      </w:pPr>
      <w:r w:rsidRPr="009C50C5">
        <w:rPr>
          <w:szCs w:val="24"/>
        </w:rPr>
        <w:t xml:space="preserve">Não prospera a alegação de </w:t>
      </w:r>
      <w:r w:rsidRPr="009C50C5">
        <w:rPr>
          <w:b/>
          <w:bCs/>
          <w:szCs w:val="24"/>
        </w:rPr>
        <w:t>prescrição</w:t>
      </w:r>
      <w:r w:rsidRPr="009C50C5">
        <w:rPr>
          <w:szCs w:val="24"/>
        </w:rPr>
        <w:t>. O Relatório de Fiscalização 539/2016 (peça 233 do TC 034.481/2016-8), concluído em 1º/9/2017, constitui o termo inicial da contagem do prazo prescricional, nos termos do art. 4º, inciso IV, da</w:t>
      </w:r>
      <w:r w:rsidRPr="002A725C">
        <w:rPr>
          <w:szCs w:val="24"/>
        </w:rPr>
        <w:t xml:space="preserve"> Resolução</w:t>
      </w:r>
      <w:r>
        <w:rPr>
          <w:szCs w:val="24"/>
        </w:rPr>
        <w:t>-</w:t>
      </w:r>
      <w:r w:rsidRPr="002A725C">
        <w:rPr>
          <w:szCs w:val="24"/>
        </w:rPr>
        <w:t>TCU 344/2022. A partir dessa data, sucederam-se atos inequívocos de apuração dos fatos, que, conforme o art. 5º, inciso II, da mesma Resolução, interrompem o prazo prescricional para todos os responsáveis, independentemente de notificação individual.</w:t>
      </w:r>
    </w:p>
    <w:p w14:paraId="1CCDE1B0" w14:textId="77777777" w:rsidR="00A46262" w:rsidRPr="0056437F" w:rsidRDefault="00A46262" w:rsidP="00A46262">
      <w:pPr>
        <w:spacing w:before="160"/>
        <w:ind w:firstLine="1134"/>
        <w:jc w:val="both"/>
        <w:rPr>
          <w:szCs w:val="24"/>
        </w:rPr>
      </w:pPr>
      <w:r w:rsidRPr="0056437F">
        <w:rPr>
          <w:szCs w:val="24"/>
        </w:rPr>
        <w:t>Não altera esse termo inicial a circunstância de o TCU acompanhar o empreendimento desde 2012, nem o conhecimento dos fatos por outros órgãos de persecução. A Fiscalis 175/2012 examinou a fase de licitação e não teve por objeto as irregularidades ora julgadas, que decorrem de aditivos e medições praticados entre 2013 e 2018. O que deflagra a contagem é o conhecimento, por esta Corte, dos fatos especificamente apurados, consolidado no Relatório de Fiscalização 539/2016. De todo modo, ainda que se adotasse qualquer das datas sugeridas pelas defesas, não haveria transcurso de cinco anos até o primeiro ato inequívoco de apuração</w:t>
      </w:r>
      <w:r>
        <w:rPr>
          <w:szCs w:val="24"/>
        </w:rPr>
        <w:t>.</w:t>
      </w:r>
    </w:p>
    <w:p w14:paraId="2157DFB3" w14:textId="77777777" w:rsidR="00A46262" w:rsidRPr="002A725C" w:rsidRDefault="00A46262" w:rsidP="00A46262">
      <w:pPr>
        <w:spacing w:before="160"/>
        <w:ind w:firstLine="1134"/>
        <w:jc w:val="both"/>
        <w:rPr>
          <w:szCs w:val="24"/>
        </w:rPr>
      </w:pPr>
      <w:r w:rsidRPr="0056437F">
        <w:rPr>
          <w:szCs w:val="24"/>
        </w:rPr>
        <w:t>Tampouco prospera o pedido subsidiário da Construtora OAS S.A. de reconhecimento da prescrição quanto aos débitos do não reaproveitamento do material pétreo escavado. A apuração específica dessa irregularidade teve início na instrução de 5/9/2018 (peça 378 do TC 034.481/2016-8), que identificou a aquisição de brita comercial</w:t>
      </w:r>
      <w:r>
        <w:rPr>
          <w:szCs w:val="24"/>
        </w:rPr>
        <w:t>,</w:t>
      </w:r>
      <w:r w:rsidRPr="0056437F">
        <w:rPr>
          <w:szCs w:val="24"/>
        </w:rPr>
        <w:t xml:space="preserve"> em lugar do material escavado disponível</w:t>
      </w:r>
      <w:r>
        <w:rPr>
          <w:szCs w:val="24"/>
        </w:rPr>
        <w:t>,</w:t>
      </w:r>
      <w:r w:rsidRPr="0056437F">
        <w:rPr>
          <w:szCs w:val="24"/>
        </w:rPr>
        <w:t xml:space="preserve"> e propôs diligência à Dersa, e prosseguiu, sem interregno quinquenal, nas instruções de 3/9/2020 (peça 426), de 14/4/2021 (peça 464) e de 8/2/2022 (peça 654), que quantificou o dano e propôs as citações. Há, portanto, identidade material entre os atos de apuração e a irregularidade imputada, exatamente como exige o Acórdão 668/2023-Plenário, de minha relatoria, invocado pela própria defesa.</w:t>
      </w:r>
    </w:p>
    <w:p w14:paraId="432DA9CC" w14:textId="77777777" w:rsidR="00A46262" w:rsidRPr="002A725C" w:rsidRDefault="00A46262" w:rsidP="00A46262">
      <w:pPr>
        <w:spacing w:before="160"/>
        <w:ind w:firstLine="1134"/>
        <w:jc w:val="both"/>
        <w:rPr>
          <w:szCs w:val="24"/>
        </w:rPr>
      </w:pPr>
      <w:r w:rsidRPr="002A725C">
        <w:rPr>
          <w:szCs w:val="24"/>
        </w:rPr>
        <w:t xml:space="preserve">Igualmente improcedente a alegação de </w:t>
      </w:r>
      <w:r w:rsidRPr="002A725C">
        <w:rPr>
          <w:b/>
          <w:bCs/>
          <w:szCs w:val="24"/>
        </w:rPr>
        <w:t>cerceamento de defesa</w:t>
      </w:r>
      <w:r w:rsidRPr="002A725C">
        <w:rPr>
          <w:szCs w:val="24"/>
        </w:rPr>
        <w:t xml:space="preserve">. Os responsáveis foram regularmente chamados a se manifestar nos autos e apresentaram defesa. </w:t>
      </w:r>
      <w:r>
        <w:t xml:space="preserve">O acesso aos documentos classificados como sigilosos foi equacionado com a reclassificação promovida no curso da instrução e com a devolução dos prazos de defesa. </w:t>
      </w:r>
      <w:r w:rsidRPr="002A725C">
        <w:rPr>
          <w:szCs w:val="24"/>
        </w:rPr>
        <w:t>A extinção da Dersa não constituiu impeditivo para o exercício do contraditório, já que o acervo documental foi transferido para a Secretaria Estadual de Logística e Transportes.</w:t>
      </w:r>
    </w:p>
    <w:p w14:paraId="49D7D3CC" w14:textId="77777777" w:rsidR="00A46262" w:rsidRPr="002A725C" w:rsidRDefault="00A46262" w:rsidP="00A46262">
      <w:pPr>
        <w:spacing w:before="160"/>
        <w:ind w:firstLine="1134"/>
        <w:jc w:val="both"/>
        <w:rPr>
          <w:szCs w:val="24"/>
        </w:rPr>
      </w:pPr>
      <w:r w:rsidRPr="002A725C">
        <w:rPr>
          <w:szCs w:val="24"/>
        </w:rPr>
        <w:t xml:space="preserve">Também não prospera o argumento de </w:t>
      </w:r>
      <w:r w:rsidRPr="002A725C">
        <w:rPr>
          <w:b/>
          <w:bCs/>
          <w:szCs w:val="24"/>
        </w:rPr>
        <w:t xml:space="preserve">respaldo do </w:t>
      </w:r>
      <w:r>
        <w:rPr>
          <w:b/>
          <w:bCs/>
          <w:szCs w:val="24"/>
        </w:rPr>
        <w:t>Banco Interamericano de Desenvolvimento (BID)</w:t>
      </w:r>
      <w:r w:rsidRPr="002A725C">
        <w:rPr>
          <w:szCs w:val="24"/>
        </w:rPr>
        <w:t>, invocado pelos responsáveis em relação a diferentes irregularidades. A aprovação do BID incide sobre a elegibilidade financeira do projeto para fins do empréstimo, não sobre a adequação dos aditivos e do reequilíbrio às normas brasileiras de contratação pública. A</w:t>
      </w:r>
      <w:r>
        <w:rPr>
          <w:szCs w:val="24"/>
        </w:rPr>
        <w:t>lém disso, a</w:t>
      </w:r>
      <w:r w:rsidRPr="002A725C">
        <w:rPr>
          <w:szCs w:val="24"/>
        </w:rPr>
        <w:t xml:space="preserve"> competência constitucional do TCU não </w:t>
      </w:r>
      <w:r w:rsidRPr="002A725C">
        <w:rPr>
          <w:szCs w:val="24"/>
        </w:rPr>
        <w:lastRenderedPageBreak/>
        <w:t>está condicionada ao juízo emitido pelo financiador sobre a regularidade dos atos apurados.</w:t>
      </w:r>
    </w:p>
    <w:p w14:paraId="77E50708" w14:textId="77777777" w:rsidR="00A46262" w:rsidRPr="002A725C" w:rsidRDefault="00A46262" w:rsidP="00A46262">
      <w:pPr>
        <w:spacing w:before="160"/>
        <w:ind w:firstLine="1134"/>
        <w:jc w:val="both"/>
        <w:rPr>
          <w:szCs w:val="24"/>
        </w:rPr>
      </w:pPr>
      <w:r w:rsidRPr="002A725C">
        <w:rPr>
          <w:szCs w:val="24"/>
        </w:rPr>
        <w:t xml:space="preserve">Rejeito, ainda, os argumentos fundados em </w:t>
      </w:r>
      <w:r w:rsidRPr="002A725C">
        <w:rPr>
          <w:b/>
          <w:bCs/>
          <w:szCs w:val="24"/>
        </w:rPr>
        <w:t>decisões proferidas nas esferas penal ou judicial.</w:t>
      </w:r>
      <w:r w:rsidRPr="002A725C">
        <w:rPr>
          <w:szCs w:val="24"/>
        </w:rPr>
        <w:t xml:space="preserve"> A responsabilização em controle externo tem pressupostos próprios e somente é necessariamente afetada por decisão externa que reconheça, de forma categórica, a inexistência material do fato ou a negativa de autoria quanto à conduta examinada. Não é essa a hipótese dos autos. As decisões invocadas pelos responsáveis não eliminam os fatos administrativos apreciados neste voto nem afastam a competência desta Corte para examinar a legalidade, a legitimidade e a economicidade dos atos praticados no âmbito do Contrato 4.349/2013.</w:t>
      </w:r>
    </w:p>
    <w:p w14:paraId="284BBA84" w14:textId="77777777" w:rsidR="00A46262" w:rsidRPr="002A725C" w:rsidRDefault="00A46262" w:rsidP="00A46262">
      <w:pPr>
        <w:spacing w:line="360" w:lineRule="auto"/>
        <w:jc w:val="center"/>
        <w:rPr>
          <w:szCs w:val="24"/>
          <w:lang w:eastAsia="pt-BR"/>
        </w:rPr>
      </w:pPr>
      <w:r w:rsidRPr="002A725C">
        <w:rPr>
          <w:szCs w:val="24"/>
          <w:lang w:eastAsia="pt-BR"/>
        </w:rPr>
        <w:t>V</w:t>
      </w:r>
    </w:p>
    <w:p w14:paraId="7C3F101F" w14:textId="77777777" w:rsidR="00A46262" w:rsidRPr="002A725C" w:rsidRDefault="00A46262" w:rsidP="00A46262">
      <w:pPr>
        <w:spacing w:after="120"/>
        <w:ind w:firstLine="1134"/>
        <w:jc w:val="both"/>
        <w:rPr>
          <w:szCs w:val="24"/>
          <w:lang w:eastAsia="pt-BR"/>
        </w:rPr>
      </w:pPr>
      <w:r w:rsidRPr="00FF6B98">
        <w:rPr>
          <w:szCs w:val="24"/>
          <w:lang w:eastAsia="pt-BR"/>
        </w:rPr>
        <w:t xml:space="preserve">No curso do </w:t>
      </w:r>
      <w:bookmarkStart w:id="0" w:name="_Hlk230884131"/>
      <w:r w:rsidRPr="00FF6B98">
        <w:rPr>
          <w:szCs w:val="24"/>
          <w:lang w:eastAsia="pt-BR"/>
        </w:rPr>
        <w:t>Contrato 4.349/2013</w:t>
      </w:r>
      <w:bookmarkEnd w:id="0"/>
      <w:r w:rsidRPr="00FF6B98">
        <w:rPr>
          <w:szCs w:val="24"/>
          <w:lang w:eastAsia="pt-BR"/>
        </w:rPr>
        <w:t xml:space="preserve">, a Construtora OAS solicitou a criação de composições de preços para serviços de remoção de </w:t>
      </w:r>
      <w:r w:rsidRPr="00FF6B98">
        <w:rPr>
          <w:b/>
          <w:bCs/>
          <w:szCs w:val="24"/>
          <w:lang w:eastAsia="pt-BR"/>
        </w:rPr>
        <w:t>matacões</w:t>
      </w:r>
      <w:r w:rsidRPr="00FF6B98">
        <w:rPr>
          <w:szCs w:val="24"/>
          <w:lang w:eastAsia="pt-BR"/>
        </w:rPr>
        <w:t xml:space="preserve"> (blocos de rocha misturados ao solo), a céu aberto e em túneis, bem assim de pregagem e enfilagem na ocorrência desses blocos. As solicitações foram instrumentalizadas pelos Pedidos de Composição de Preços (PCPs) 17 a 22 (peças 61-70 do TC 034.481/2016-8).</w:t>
      </w:r>
      <w:r w:rsidRPr="002A725C">
        <w:rPr>
          <w:szCs w:val="24"/>
          <w:lang w:eastAsia="pt-BR"/>
        </w:rPr>
        <w:t xml:space="preserve"> </w:t>
      </w:r>
    </w:p>
    <w:p w14:paraId="1A5A81FB" w14:textId="77777777" w:rsidR="00A46262" w:rsidRPr="002A725C" w:rsidRDefault="00A46262" w:rsidP="00A46262">
      <w:pPr>
        <w:spacing w:after="120"/>
        <w:ind w:firstLine="1134"/>
        <w:jc w:val="both"/>
        <w:rPr>
          <w:szCs w:val="24"/>
          <w:lang w:eastAsia="pt-BR"/>
        </w:rPr>
      </w:pPr>
      <w:r w:rsidRPr="002A725C">
        <w:rPr>
          <w:szCs w:val="24"/>
          <w:lang w:eastAsia="pt-BR"/>
        </w:rPr>
        <w:t xml:space="preserve">Mediante a Proposta de Resolução de Diretoria PRD/EG/DIOBA 2-031/2015, Pedro Paulo Dantas do Amaral Campos, Gerente de Divisão de Obras do Lote 2, e Pedro da Silva, Diretor de Engenharia, propuseram a incorporação das novas composições pela via da </w:t>
      </w:r>
      <w:r w:rsidRPr="00FF6B98">
        <w:rPr>
          <w:szCs w:val="24"/>
          <w:lang w:eastAsia="pt-BR"/>
        </w:rPr>
        <w:t>criação de preço novo para serviço não previsto na planilha</w:t>
      </w:r>
      <w:r w:rsidRPr="002A725C">
        <w:rPr>
          <w:szCs w:val="24"/>
          <w:lang w:eastAsia="pt-BR"/>
        </w:rPr>
        <w:t>, com fundamento na cláusula 12.3, alínea “b”, do contrato. A diretoria a aprovou, mediante a Resolução 20F/15, de 28/9/2015, com os votos de Laurence Casagrande Lourenço, Diretor-Presidente; Benjamim Venâncio de Melo Júnior, Diretor Financeiro; Nilson Rogério Baroni, Diretor de Operações; e Pedro da Silva, Diretor de Engenharia. A incorporação foi formalizada no 3º Termo Aditivo Modificativo (3º TAM), firmado por Laurence Casagrande Lourenço e Pedro da Silva.</w:t>
      </w:r>
    </w:p>
    <w:p w14:paraId="1D393275" w14:textId="77777777" w:rsidR="00A46262" w:rsidRPr="002A725C" w:rsidRDefault="00A46262" w:rsidP="00A46262">
      <w:pPr>
        <w:spacing w:after="120"/>
        <w:ind w:firstLine="1134"/>
        <w:jc w:val="both"/>
        <w:rPr>
          <w:szCs w:val="24"/>
          <w:lang w:eastAsia="pt-BR"/>
        </w:rPr>
      </w:pPr>
      <w:r w:rsidRPr="002A725C">
        <w:rPr>
          <w:szCs w:val="24"/>
          <w:lang w:eastAsia="pt-BR"/>
        </w:rPr>
        <w:t xml:space="preserve">Os pleitos da empreiteira invocaram a Cláusula 20 </w:t>
      </w:r>
      <w:bookmarkStart w:id="1" w:name="_Hlk230885176"/>
      <w:r w:rsidRPr="002A725C">
        <w:rPr>
          <w:szCs w:val="24"/>
          <w:lang w:eastAsia="pt-BR"/>
        </w:rPr>
        <w:t>do Contrato 4.349/2013</w:t>
      </w:r>
      <w:bookmarkEnd w:id="1"/>
      <w:r w:rsidRPr="002A725C">
        <w:rPr>
          <w:szCs w:val="24"/>
          <w:lang w:eastAsia="pt-BR"/>
        </w:rPr>
        <w:t xml:space="preserve">, relativa a reivindicações, conflitos e arbitragem (peça 59, pp. 115-121, do TC 034.481/2016-8). Assentaram-se em dois fundamentos: os serviços de remoção de matacões não estavam previstos na planilha contratual e a sua execução acarretou custos imprevisíveis, em razão da presença desses blocos em proporção excepcionalmente superior à previsível à época da licitação. </w:t>
      </w:r>
    </w:p>
    <w:p w14:paraId="365175CA" w14:textId="77777777" w:rsidR="00A46262" w:rsidRPr="002A725C" w:rsidRDefault="00A46262" w:rsidP="00A46262">
      <w:pPr>
        <w:spacing w:after="120"/>
        <w:ind w:firstLine="1134"/>
        <w:jc w:val="both"/>
        <w:rPr>
          <w:szCs w:val="24"/>
          <w:lang w:eastAsia="pt-BR"/>
        </w:rPr>
      </w:pPr>
      <w:r w:rsidRPr="002A725C">
        <w:rPr>
          <w:szCs w:val="24"/>
          <w:lang w:eastAsia="pt-BR"/>
        </w:rPr>
        <w:t>Ao formalizar o 3º TAM, a Dersa acabou por acolher o pleito pela via da criação de preço novo para serviço tido por não previsto na planilha, com fundamento na cláusula 12.3, alínea “b”, do contrato (peça 59, pp. 72-73, do TC 034.481/2016-8) – ou seja, pelo primeiro fundamento.</w:t>
      </w:r>
    </w:p>
    <w:p w14:paraId="6E20A491" w14:textId="77777777" w:rsidR="00A46262" w:rsidRPr="002A725C" w:rsidRDefault="00A46262" w:rsidP="00A46262">
      <w:pPr>
        <w:spacing w:after="120"/>
        <w:ind w:firstLine="1134"/>
        <w:jc w:val="both"/>
        <w:rPr>
          <w:szCs w:val="24"/>
          <w:lang w:eastAsia="pt-BR"/>
        </w:rPr>
      </w:pPr>
      <w:r w:rsidRPr="002A725C">
        <w:rPr>
          <w:szCs w:val="24"/>
          <w:lang w:eastAsia="pt-BR"/>
        </w:rPr>
        <w:t>Em sua defesa perante este Tribunal, a contratada reiterou ambos os fundamentos, conferindo ao segundo a formulação expressa da teoria da imprevisão (art. 65, inciso II, alínea “d”, da Lei 8.666/1993).</w:t>
      </w:r>
    </w:p>
    <w:p w14:paraId="755634E0" w14:textId="77777777" w:rsidR="00A46262" w:rsidRPr="002A725C" w:rsidRDefault="00A46262" w:rsidP="00A46262">
      <w:pPr>
        <w:spacing w:after="120"/>
        <w:ind w:firstLine="1134"/>
        <w:jc w:val="both"/>
        <w:rPr>
          <w:szCs w:val="24"/>
          <w:lang w:eastAsia="pt-BR"/>
        </w:rPr>
      </w:pPr>
      <w:r w:rsidRPr="002A725C">
        <w:rPr>
          <w:szCs w:val="24"/>
          <w:lang w:eastAsia="pt-BR"/>
        </w:rPr>
        <w:t>Nenhum dos dois fundamentos se sustenta.</w:t>
      </w:r>
    </w:p>
    <w:p w14:paraId="07376C4A" w14:textId="77777777" w:rsidR="00A46262" w:rsidRPr="002A725C" w:rsidRDefault="00A46262" w:rsidP="00A46262">
      <w:pPr>
        <w:spacing w:after="120"/>
        <w:ind w:firstLine="1134"/>
        <w:jc w:val="both"/>
        <w:rPr>
          <w:szCs w:val="24"/>
          <w:lang w:eastAsia="pt-BR"/>
        </w:rPr>
      </w:pPr>
      <w:r w:rsidRPr="002A725C">
        <w:rPr>
          <w:szCs w:val="24"/>
          <w:lang w:eastAsia="pt-BR"/>
        </w:rPr>
        <w:t xml:space="preserve">Para que a criação de novas composições fosse legítima sob o fundamento de </w:t>
      </w:r>
      <w:r w:rsidRPr="002A725C">
        <w:rPr>
          <w:b/>
          <w:bCs/>
          <w:szCs w:val="24"/>
          <w:lang w:eastAsia="pt-BR"/>
        </w:rPr>
        <w:t>serviço novo</w:t>
      </w:r>
      <w:r w:rsidRPr="002A725C">
        <w:rPr>
          <w:szCs w:val="24"/>
          <w:lang w:eastAsia="pt-BR"/>
        </w:rPr>
        <w:t xml:space="preserve">, seria preciso que os serviços acrescentados não correspondessem a itens da planilha original; ou que, correspondendo, os itens existentes não abrangessem as condições encontradas na obra. </w:t>
      </w:r>
    </w:p>
    <w:p w14:paraId="7442108C" w14:textId="77777777" w:rsidR="00A46262" w:rsidRPr="002A725C" w:rsidRDefault="00A46262" w:rsidP="00A46262">
      <w:pPr>
        <w:spacing w:after="120"/>
        <w:ind w:firstLine="1134"/>
        <w:jc w:val="both"/>
        <w:rPr>
          <w:szCs w:val="24"/>
          <w:lang w:eastAsia="pt-BR"/>
        </w:rPr>
      </w:pPr>
      <w:r w:rsidRPr="002A725C">
        <w:rPr>
          <w:szCs w:val="24"/>
          <w:lang w:eastAsia="pt-BR"/>
        </w:rPr>
        <w:lastRenderedPageBreak/>
        <w:t xml:space="preserve">Porém, conforme a correlação demonstrada na Tabela 5 do Relatório de Fiscalização (peça 233, p. 11, do TC 034.481/2016-8), os serviços acrescentados pelo 3º TAM correspondiam a itens já previstos na planilha original. </w:t>
      </w:r>
    </w:p>
    <w:p w14:paraId="2581B782" w14:textId="77777777" w:rsidR="00A46262" w:rsidRPr="002A725C" w:rsidRDefault="00A46262" w:rsidP="00A46262">
      <w:pPr>
        <w:spacing w:after="120"/>
        <w:ind w:firstLine="1134"/>
        <w:jc w:val="both"/>
        <w:rPr>
          <w:szCs w:val="24"/>
          <w:lang w:eastAsia="pt-BR"/>
        </w:rPr>
      </w:pPr>
      <w:r w:rsidRPr="002A725C">
        <w:rPr>
          <w:szCs w:val="24"/>
          <w:lang w:eastAsia="pt-BR"/>
        </w:rPr>
        <w:t>Os itens existentes abrangiam, ademais, as condições encontradas na obra. A especificação de serviço ET-Q00/016 – Cortes, que regia os serviços de escavação contratados (peça 71 do TC 034.481/2016-8), classificava os matacões de diâmetro médio entre 0,15 m e 1,00 m como material de 2ª categoria e os matacões maciços e blocos de volume igual ou superior a 2,0 m³ como material de 3ª categoria, estabelecendo que a escavação dessas categorias compreendia a remoção de rochas de qualquer dimensão com o emprego de todos os equipamentos adequados. Essa classificação é compatível com a sistemática de medição e pagamento adotada em obras de terraplenagem, refletida na norma DNIT 106/2009-ES, e os limites dimensionais adotados encontram correspondência na classificação geométrica da NBR 6.502/1995.</w:t>
      </w:r>
    </w:p>
    <w:p w14:paraId="7C69B863" w14:textId="77777777" w:rsidR="00A46262" w:rsidRPr="002A725C" w:rsidRDefault="00A46262" w:rsidP="00A46262">
      <w:pPr>
        <w:spacing w:after="120"/>
        <w:ind w:firstLine="1134"/>
        <w:jc w:val="both"/>
        <w:rPr>
          <w:szCs w:val="24"/>
          <w:lang w:eastAsia="pt-BR"/>
        </w:rPr>
      </w:pPr>
      <w:r w:rsidRPr="002A725C">
        <w:rPr>
          <w:szCs w:val="24"/>
          <w:lang w:eastAsia="pt-BR"/>
        </w:rPr>
        <w:t>A própria contratada não negou esse enquadramento ao fundamentar o pedido. Sustentou, em vez disso, que a incidência de matacões verificada extrapolava a estimada na licitação e que sua remoção exigia metodologia diversa – argumento que não diz respeito à existência de serviço novo, mas à imprevisibilidade das condições encontradas.</w:t>
      </w:r>
    </w:p>
    <w:p w14:paraId="7ED396B6" w14:textId="77777777" w:rsidR="00A46262" w:rsidRPr="002A725C" w:rsidRDefault="00A46262" w:rsidP="00A46262">
      <w:pPr>
        <w:spacing w:after="120"/>
        <w:ind w:firstLine="1134"/>
        <w:jc w:val="both"/>
        <w:rPr>
          <w:szCs w:val="24"/>
          <w:lang w:eastAsia="pt-BR"/>
        </w:rPr>
      </w:pPr>
      <w:r w:rsidRPr="002A725C">
        <w:rPr>
          <w:szCs w:val="24"/>
          <w:lang w:eastAsia="pt-BR"/>
        </w:rPr>
        <w:t>A criação de novos preços contrariou, ademais, a própria norma contratual que lhe serviu de fundamento. A cláusula 12.3 do Contrato 4.349/2013 determinava que novos preços fossem derivados da tarifa relevante já existente no contrato, recorrendo-se ao custo razoável acrescido de lucro apenas quando nenhuma tarifa fosse relevante para a derivação. Como existiam tarifas relevantes para todos os serviços acrescentados, conforme a correlação demonstrada na Tabela 5 do Relatório de Fiscalização, a Dersa deveria ter partido delas para apurar, analiticamente, o eventual custo incremental não coberto. Em vez disso, criaram-se composições inteiramente autônomas, com preços que chegaram a quase três vezes o valor dos itens correlatos.</w:t>
      </w:r>
    </w:p>
    <w:p w14:paraId="1649C1ED" w14:textId="77777777" w:rsidR="00A46262" w:rsidRPr="002A725C" w:rsidRDefault="00A46262" w:rsidP="00A46262">
      <w:pPr>
        <w:spacing w:after="120"/>
        <w:ind w:firstLine="1134"/>
        <w:jc w:val="both"/>
        <w:rPr>
          <w:szCs w:val="24"/>
          <w:lang w:eastAsia="pt-BR"/>
        </w:rPr>
      </w:pPr>
      <w:r w:rsidRPr="002A725C">
        <w:rPr>
          <w:szCs w:val="24"/>
          <w:lang w:eastAsia="pt-BR"/>
        </w:rPr>
        <w:t xml:space="preserve">A segunda vertente – </w:t>
      </w:r>
      <w:r w:rsidRPr="002A725C">
        <w:rPr>
          <w:b/>
          <w:bCs/>
          <w:szCs w:val="24"/>
          <w:lang w:eastAsia="pt-BR"/>
        </w:rPr>
        <w:t>imprevisibilidade</w:t>
      </w:r>
      <w:r w:rsidRPr="002A725C">
        <w:rPr>
          <w:szCs w:val="24"/>
          <w:lang w:eastAsia="pt-BR"/>
        </w:rPr>
        <w:t xml:space="preserve"> – também não se sustenta. </w:t>
      </w:r>
    </w:p>
    <w:p w14:paraId="26A153AD" w14:textId="77777777" w:rsidR="00A46262" w:rsidRPr="002A725C" w:rsidRDefault="00A46262" w:rsidP="00A46262">
      <w:pPr>
        <w:spacing w:after="120"/>
        <w:ind w:firstLine="1134"/>
        <w:jc w:val="both"/>
        <w:rPr>
          <w:szCs w:val="24"/>
          <w:lang w:eastAsia="pt-BR"/>
        </w:rPr>
      </w:pPr>
      <w:r w:rsidRPr="002A725C">
        <w:rPr>
          <w:szCs w:val="24"/>
          <w:lang w:eastAsia="pt-BR"/>
        </w:rPr>
        <w:t>As subcláusulas 4.10 e 4.11 do contrato obrigavam a contratada a inspecionar o local, examinar as condições do subsolo e basear sua proposta nesse conhecimento. Das 24 sondagens mistas do Lote 2, nove (37,5%) atravessaram matacões; no conjunto dos seis lotes da obra, 41 das 104 sondagens, ou 39,42%, os interceptaram; o projeto básico mencionava expressamente a grande ocorrência de blocos e previa tratamentos específicos de atirantamento em taludes rochosos; e a simples observação do terreno já evidenciava a presença dos blocos.</w:t>
      </w:r>
    </w:p>
    <w:p w14:paraId="1613DEA1" w14:textId="77777777" w:rsidR="00A46262" w:rsidRPr="002A725C" w:rsidRDefault="00A46262" w:rsidP="00A46262">
      <w:pPr>
        <w:spacing w:after="120"/>
        <w:ind w:firstLine="1134"/>
        <w:jc w:val="both"/>
        <w:rPr>
          <w:szCs w:val="24"/>
          <w:lang w:eastAsia="pt-BR"/>
        </w:rPr>
      </w:pPr>
      <w:r w:rsidRPr="002A725C">
        <w:rPr>
          <w:szCs w:val="24"/>
          <w:lang w:eastAsia="pt-BR"/>
        </w:rPr>
        <w:t>Além disso, a condição geológica era de conhecimento do meio técnico. O Relatório Técnico 146 945-205, elaborado pelo IPT a pedido da própria Dersa, concluiu que a presença de matacões no ambiente geológico da Suíte Granítica Cantareira era perfeitamente previsível e não constituía surpresa geológica, valendo-se de registros de obras anteriores executadas na mesma região, como a barragem Edgard de Souza, o loteamento Alphaville e a rodovia Presidente Castello Branco.</w:t>
      </w:r>
    </w:p>
    <w:p w14:paraId="1350849B" w14:textId="77777777" w:rsidR="00A46262" w:rsidRPr="005B505A" w:rsidRDefault="00A46262" w:rsidP="00A46262">
      <w:pPr>
        <w:spacing w:after="120"/>
        <w:ind w:firstLine="1134"/>
        <w:jc w:val="both"/>
        <w:rPr>
          <w:szCs w:val="24"/>
          <w:lang w:eastAsia="pt-BR"/>
        </w:rPr>
      </w:pPr>
      <w:r w:rsidRPr="002A725C">
        <w:rPr>
          <w:szCs w:val="24"/>
          <w:lang w:eastAsia="pt-BR"/>
        </w:rPr>
        <w:t xml:space="preserve">Apesar de todos esses elementos, a contratada admitiu ter composto o serviço de escavação com a metodologia de material rochoso homogêneo (TC 014.012/2022-7, peça 266, § 122). O que descreve não é imprevisibilidade, mas erro de premissa na formação de sua própria proposta, cujo </w:t>
      </w:r>
      <w:r w:rsidRPr="005B505A">
        <w:rPr>
          <w:szCs w:val="24"/>
          <w:lang w:eastAsia="pt-BR"/>
        </w:rPr>
        <w:t xml:space="preserve">risco as subcláusulas 4.10 e 4.11 lhe atribuíam expressamente. </w:t>
      </w:r>
    </w:p>
    <w:p w14:paraId="12FBF80B" w14:textId="77777777" w:rsidR="00A46262" w:rsidRPr="002A725C" w:rsidRDefault="00A46262" w:rsidP="00A46262">
      <w:pPr>
        <w:spacing w:after="120"/>
        <w:ind w:firstLine="1134"/>
        <w:jc w:val="both"/>
        <w:rPr>
          <w:szCs w:val="24"/>
          <w:lang w:eastAsia="pt-BR"/>
        </w:rPr>
      </w:pPr>
      <w:r w:rsidRPr="005B505A">
        <w:rPr>
          <w:szCs w:val="24"/>
          <w:lang w:eastAsia="pt-BR"/>
        </w:rPr>
        <w:lastRenderedPageBreak/>
        <w:t>A defesa invoca a teoria da imprevisão, não com</w:t>
      </w:r>
      <w:r w:rsidRPr="002A725C">
        <w:rPr>
          <w:szCs w:val="24"/>
          <w:lang w:eastAsia="pt-BR"/>
        </w:rPr>
        <w:t xml:space="preserve"> relação à presença de matacões, mas sob a alegação de que sua incidência foi superior à previsível. Esse argumento não procede: a quantificação exata dos blocos é tecnicamente impossível em todas as obras geotécnicas, e não era essa precisão que se exigia da contratada, mas o dimensionamento adequado de sua proposta à luz das informações disponíveis, que indicavam inequivocamente a grande ocorrência de matacões na região. A incerteza quanto à exata concentração dos blocos é inerente à natureza geotécnica dessas formações e integra o risco ordinário das obras executadas nesse ambiente, não constituindo álea extraordinária a ser suportada pela contratante.</w:t>
      </w:r>
    </w:p>
    <w:p w14:paraId="67676748" w14:textId="77777777" w:rsidR="00A46262" w:rsidRPr="002A725C" w:rsidRDefault="00A46262" w:rsidP="00A46262">
      <w:pPr>
        <w:spacing w:after="120"/>
        <w:ind w:firstLine="1134"/>
        <w:jc w:val="both"/>
        <w:rPr>
          <w:szCs w:val="24"/>
          <w:lang w:eastAsia="pt-BR"/>
        </w:rPr>
      </w:pPr>
      <w:r w:rsidRPr="002A725C">
        <w:rPr>
          <w:szCs w:val="24"/>
          <w:lang w:eastAsia="pt-BR"/>
        </w:rPr>
        <w:t xml:space="preserve">Não procede o argumento da </w:t>
      </w:r>
      <w:r>
        <w:rPr>
          <w:szCs w:val="24"/>
          <w:lang w:eastAsia="pt-BR"/>
        </w:rPr>
        <w:t>Coesa</w:t>
      </w:r>
      <w:r w:rsidRPr="002A725C">
        <w:rPr>
          <w:szCs w:val="24"/>
          <w:lang w:eastAsia="pt-BR"/>
        </w:rPr>
        <w:t xml:space="preserve"> de que as investigações geotécnicas realizadas pela Dersa teriam se limitado a sondagens à percussão e, por isso, seriam inadequadas para distinguir matacões do topo contínuo da rocha. Os relatórios de investigação geológico-geotécnica referidos no projeto básico indicavam sondagens mistas, e não simples sondagens à percussão.</w:t>
      </w:r>
    </w:p>
    <w:p w14:paraId="04F21239" w14:textId="77777777" w:rsidR="00A46262" w:rsidRPr="002A725C" w:rsidRDefault="00A46262" w:rsidP="00A46262">
      <w:pPr>
        <w:spacing w:after="120"/>
        <w:ind w:firstLine="1134"/>
        <w:jc w:val="both"/>
        <w:rPr>
          <w:szCs w:val="24"/>
          <w:lang w:eastAsia="pt-BR"/>
        </w:rPr>
      </w:pPr>
      <w:r w:rsidRPr="002A725C">
        <w:rPr>
          <w:szCs w:val="24"/>
          <w:lang w:eastAsia="pt-BR"/>
        </w:rPr>
        <w:t xml:space="preserve">Ainda que se acolhesse a alegação de imprevisibilidade, faltaria a demonstração do desequilíbrio. A subcláusula 20.1, invocada pela própria contratada como fundamento do pleito, prevê como consequências para condições imprevisíveis exclusivamente a prorrogação do prazo de conclusão e o pagamento de custo comprovado, sendo a contratada titular apenas da parcela que puder substanciar (peça 59, pp. 115-116, do TC 034.481/2016-8). A subcláusula 4.12, que regula especificamente as condições físicas imprevisíveis, segue a mesma lógica: exige notificação ao engenheiro com descrição das condições e das razões da imprevisibilidade, e prevê prorrogação do prazo e pagamento do custo comprovado. Nenhuma das duas cláusulas prevê a criação de novas composições de preços. </w:t>
      </w:r>
    </w:p>
    <w:p w14:paraId="55B1B8BF" w14:textId="77777777" w:rsidR="00A46262" w:rsidRPr="002A725C" w:rsidRDefault="00A46262" w:rsidP="00A46262">
      <w:pPr>
        <w:spacing w:after="120"/>
        <w:ind w:firstLine="1134"/>
        <w:jc w:val="both"/>
        <w:rPr>
          <w:szCs w:val="24"/>
          <w:lang w:eastAsia="pt-BR"/>
        </w:rPr>
      </w:pPr>
      <w:r w:rsidRPr="002A725C">
        <w:rPr>
          <w:szCs w:val="24"/>
          <w:lang w:eastAsia="pt-BR"/>
        </w:rPr>
        <w:t>A exigência de demonstração do desequilíbrio não é formalidade: decorre da própria lógica da teoria da imprevisão, que pressupõe a apuração do excesso real sobre o que os preços originais já remuneravam. A subcláusula 4.12 revela, ademais, que a avaliação de condições físicas imprevisíveis não pode isolar apenas os trechos desfavoráveis: ao admitir reduções compensatórias quando outras partes similares da obra apresentem condições mais favoráveis do que o previsto, exige que o eventual custo adicional seja apurado em confronto com o conjunto das condições efetivamente encontradas. O eventual desequilíbrio só seria apurável por subtração, confrontando o custo real com o que o preço original já cobria, apurado esse saldo nos termos da subcláusula 4.12.</w:t>
      </w:r>
    </w:p>
    <w:p w14:paraId="1E095F64" w14:textId="77777777" w:rsidR="00A46262" w:rsidRPr="002A725C" w:rsidRDefault="00A46262" w:rsidP="00A46262">
      <w:pPr>
        <w:spacing w:after="120"/>
        <w:ind w:firstLine="1134"/>
        <w:jc w:val="both"/>
        <w:rPr>
          <w:szCs w:val="24"/>
          <w:lang w:eastAsia="pt-BR"/>
        </w:rPr>
      </w:pPr>
      <w:r w:rsidRPr="002A725C">
        <w:rPr>
          <w:szCs w:val="24"/>
          <w:lang w:eastAsia="pt-BR"/>
        </w:rPr>
        <w:t>Esse exercício de subtração é, por sua própria natureza, incompatível com o remédio adotado. A criação de composições novas e autônomas não apura o custo adicional líquido decorrente da condição imprevisível; substitui o preço contratual por outro, como se se tratasse de serviço estranho à planilha. Esse é precisamente o mecanismo da cláusula 12.3, alínea “b”, reservado a serviços novos. Não sendo esse o caso, eventual recomposição dependeria da demonstração analítica do custo incremental não remunerado pelos itens existentes, e não da criação de novas composições de preços.</w:t>
      </w:r>
    </w:p>
    <w:p w14:paraId="689D374C" w14:textId="77777777" w:rsidR="00A46262" w:rsidRPr="002A725C" w:rsidRDefault="00A46262" w:rsidP="00A46262">
      <w:pPr>
        <w:spacing w:after="120"/>
        <w:ind w:firstLine="1134"/>
        <w:jc w:val="both"/>
        <w:rPr>
          <w:szCs w:val="24"/>
          <w:lang w:eastAsia="pt-BR"/>
        </w:rPr>
      </w:pPr>
      <w:r w:rsidRPr="002A725C">
        <w:rPr>
          <w:szCs w:val="24"/>
          <w:lang w:eastAsia="pt-BR"/>
        </w:rPr>
        <w:t xml:space="preserve">Os dados trazidos pela contratada não demonstram o desequilíbrio. Ela alega que o projeto básico indicava produtividade de 50 m³/h para a escavação de material de 3ª categoria – índice que, segundo a defesa, seria muito superior à produtividade real na ocorrência de matacões – e que as demais licitantes adotaram índices igualmente elevados, com média de 59,38 m³/h nas propostas, o que revelaria erro induzido pelo edital. O argumento não procede. As subcláusulas 4.10 e 4.11 obrigavam cada licitante a inspecionar o local e formar sua proposta com base no conhecimento das condições reais </w:t>
      </w:r>
      <w:r w:rsidRPr="002A725C">
        <w:rPr>
          <w:szCs w:val="24"/>
          <w:lang w:eastAsia="pt-BR"/>
        </w:rPr>
        <w:lastRenderedPageBreak/>
        <w:t>do subsolo, não apenas nos índices do projeto. Ademais, se a contratada reconhecia que o índice de produtividade do edital era incompatível com a incidência de matacões que o próprio projeto básico anunciava, cabia-lhe impugnar o edital antes da licitação, apontando a contradição. Ao não o fazer e, ainda assim apresentar sua proposta, assumiu o ônus de compô-la conjugando as duas informações disponíveis. No mais, o erro de dimensionamento comum aos concorrentes não converte risco ordinário em álea extraordinária nem o transfere automaticamente à Administração.</w:t>
      </w:r>
    </w:p>
    <w:p w14:paraId="725F52BF" w14:textId="77777777" w:rsidR="00A46262" w:rsidRPr="002A725C" w:rsidRDefault="00A46262" w:rsidP="00A46262">
      <w:pPr>
        <w:spacing w:after="120"/>
        <w:ind w:firstLine="1134"/>
        <w:jc w:val="both"/>
        <w:rPr>
          <w:szCs w:val="24"/>
          <w:lang w:eastAsia="pt-BR"/>
        </w:rPr>
      </w:pPr>
      <w:r w:rsidRPr="002A725C">
        <w:rPr>
          <w:szCs w:val="24"/>
          <w:lang w:eastAsia="pt-BR"/>
        </w:rPr>
        <w:t xml:space="preserve">O único dado de produtividade apresentado pela defesa da contratada, </w:t>
      </w:r>
      <w:r>
        <w:rPr>
          <w:szCs w:val="24"/>
          <w:lang w:eastAsia="pt-BR"/>
        </w:rPr>
        <w:t xml:space="preserve">qual seja, </w:t>
      </w:r>
      <w:r w:rsidRPr="002A725C">
        <w:rPr>
          <w:szCs w:val="24"/>
          <w:lang w:eastAsia="pt-BR"/>
        </w:rPr>
        <w:t xml:space="preserve">a aferição de produtividade de 2,05 m³/h em duas frentes de escavação em túneis, </w:t>
      </w:r>
      <w:r>
        <w:rPr>
          <w:szCs w:val="24"/>
          <w:lang w:eastAsia="pt-BR"/>
        </w:rPr>
        <w:t xml:space="preserve">que corresponde </w:t>
      </w:r>
      <w:r w:rsidRPr="002A725C">
        <w:rPr>
          <w:szCs w:val="24"/>
          <w:lang w:eastAsia="pt-BR"/>
        </w:rPr>
        <w:t>a metade dos 4,10 m³/h da composição referencial, restringe-se a dois pontos específicos e não alcança a escavação a céu aberto, que corresponde ao maior volume da controvérsia.</w:t>
      </w:r>
    </w:p>
    <w:p w14:paraId="4DF6580E" w14:textId="77777777" w:rsidR="00A46262" w:rsidRPr="002A725C" w:rsidRDefault="00A46262" w:rsidP="00A46262">
      <w:pPr>
        <w:spacing w:after="120"/>
        <w:ind w:firstLine="1134"/>
        <w:jc w:val="both"/>
        <w:rPr>
          <w:szCs w:val="24"/>
          <w:lang w:eastAsia="pt-BR"/>
        </w:rPr>
      </w:pPr>
      <w:r w:rsidRPr="002A725C">
        <w:rPr>
          <w:szCs w:val="24"/>
          <w:lang w:eastAsia="pt-BR"/>
        </w:rPr>
        <w:t>A comparação entre o volume executado de remoção de matacões a céu aberto, de 20,03% do total de escavações até setembro de 2017, e o percentual de 4,85% de matacões em relação ao volume total de escavações, também apresentada pela defesa, tampouco demonstra o desequilíbrio: são métricas sobre objetos distintos, que não respondem à pergunta de qual parcela da condição encontrada superava o razoavelmente previsível.</w:t>
      </w:r>
    </w:p>
    <w:p w14:paraId="7E9CF5DC" w14:textId="77777777" w:rsidR="00A46262" w:rsidRDefault="00A46262" w:rsidP="00A46262">
      <w:pPr>
        <w:spacing w:after="120"/>
        <w:ind w:firstLine="1134"/>
        <w:jc w:val="both"/>
        <w:rPr>
          <w:szCs w:val="24"/>
          <w:lang w:eastAsia="pt-BR"/>
        </w:rPr>
      </w:pPr>
      <w:r w:rsidRPr="002A725C">
        <w:rPr>
          <w:szCs w:val="24"/>
          <w:lang w:eastAsia="pt-BR"/>
        </w:rPr>
        <w:t xml:space="preserve">A composição 4915739 do </w:t>
      </w:r>
      <w:r>
        <w:rPr>
          <w:szCs w:val="24"/>
          <w:lang w:eastAsia="pt-BR"/>
        </w:rPr>
        <w:t>Sicro</w:t>
      </w:r>
      <w:r w:rsidRPr="002A725C">
        <w:rPr>
          <w:szCs w:val="24"/>
          <w:lang w:eastAsia="pt-BR"/>
        </w:rPr>
        <w:t xml:space="preserve"> 2, invocada pela defesa para demonstrar a inadequação dos preços originais, tampouco demonstra o desequilíbrio: refere-se a serviço de conservação rodoviária voltado à remoção pontual e episódica de blocos isolados que obstruem pistas já implantadas, contexto em que não se pressupõe frente contínua de escavação nem mobilização ordinária de equipamentos de terraplenagem. Em obras de terraplenagem, contexto radicalmente distinto, a sistemática usual de medição e pagamento, refletida na norma DNIT 106/2009-ES e nas especificações da Dersa, prevê a remuneração dos matacões pelos itens regulares de escavação. A invocação da composição 4915739, quando muito, confirma que a presença de matacões pode interferir na produtividade da escavação. Não demonstra, porém, que essa condição geológica estivesse fora das categorias contratuais de escavação, nem afasta a necessidade de a contratada incorporar, nos preços unitários que ofertava, a parcela de degradação de produtividade relacionada à ocorrência de blocos e matacões.</w:t>
      </w:r>
    </w:p>
    <w:p w14:paraId="669104E3" w14:textId="77777777" w:rsidR="00A46262" w:rsidRPr="002A725C" w:rsidRDefault="00A46262" w:rsidP="00A46262">
      <w:pPr>
        <w:spacing w:after="120"/>
        <w:ind w:firstLine="1134"/>
        <w:jc w:val="both"/>
        <w:rPr>
          <w:szCs w:val="24"/>
          <w:lang w:eastAsia="pt-BR"/>
        </w:rPr>
      </w:pPr>
      <w:r>
        <w:t>O mesmo destino tem as alegações de maior desgaste de equipamentos e de emprego de métodos de perfuração e desmonte mais onerosos, reiteradas nos laudos apresentados após a instrução. Esses fatores expressam justamente a degradação de produtividade associada à escavação em solo com matacões, parcela de risco que as subcláusulas 4.10 e 4.11 atribuíam à contratada e que os itens originais de escavação já remuneravam. Acresce que o consumo de insumos e de ferramental cresceu na proporção das quantidades efetivamente medidas e pagas, não caracterizando, por si, custo incremental não remunerado.</w:t>
      </w:r>
    </w:p>
    <w:p w14:paraId="64755DFE" w14:textId="77777777" w:rsidR="00A46262" w:rsidRPr="002A725C" w:rsidRDefault="00A46262" w:rsidP="00A46262">
      <w:pPr>
        <w:spacing w:after="120"/>
        <w:ind w:firstLine="1134"/>
        <w:jc w:val="both"/>
        <w:rPr>
          <w:szCs w:val="24"/>
          <w:lang w:eastAsia="pt-BR"/>
        </w:rPr>
      </w:pPr>
      <w:r w:rsidRPr="002A725C">
        <w:rPr>
          <w:szCs w:val="24"/>
          <w:lang w:eastAsia="pt-BR"/>
        </w:rPr>
        <w:t>O débito apurado pela unidade técnica corresponde à diferença entre os preços das novas composições e os dos itens correlatos da planilha original, aplicada às quantidades efetivamente medidas nas medições 32 a 56 do Contrato 4.349/2013. O critério decorre da premissa técnica acolhida neste voto, fundada nas subcláusulas 4.10 e 4.11 e na correlação estabelecida pela fiscalização entre as novas composições e os itens originais: os preços unitários contratados já remuneravam a escavação nas condições indicadas no projeto básico, matacões incluídos, de modo que os volumes medidos pelas novas composições deveriam ter sido medidos pelos itens originais, ao preço destes.</w:t>
      </w:r>
    </w:p>
    <w:p w14:paraId="05A3B7D6" w14:textId="77777777" w:rsidR="00A46262" w:rsidRPr="002A725C" w:rsidRDefault="00A46262" w:rsidP="00A46262">
      <w:pPr>
        <w:spacing w:after="120"/>
        <w:ind w:firstLine="1134"/>
        <w:jc w:val="both"/>
        <w:rPr>
          <w:szCs w:val="24"/>
          <w:lang w:eastAsia="pt-BR"/>
        </w:rPr>
      </w:pPr>
      <w:r w:rsidRPr="002A725C">
        <w:rPr>
          <w:szCs w:val="24"/>
          <w:lang w:eastAsia="pt-BR"/>
        </w:rPr>
        <w:lastRenderedPageBreak/>
        <w:t>Registro, por relevante, que a tramitação da PRD/EG/DIOBA 2-031/2015 demonstra a ausência de exame técnico de mérito da solicitação da OAS. A proposta reproduziu as justificativas da contratada sem juízo crítico autônomo sobre a sobreposição entre as novas composições e os itens originais, e tramitou sem manifestação econômico-financeira, campo no qual se consignou apenas “não se aplica”, a despeito de a alteração envolver vulto da ordem de R$ 53 milhões.</w:t>
      </w:r>
    </w:p>
    <w:p w14:paraId="74D0490E" w14:textId="77777777" w:rsidR="00A46262" w:rsidRDefault="00A46262" w:rsidP="00A46262">
      <w:pPr>
        <w:spacing w:after="120"/>
        <w:ind w:firstLine="1134"/>
        <w:jc w:val="both"/>
        <w:rPr>
          <w:szCs w:val="24"/>
          <w:lang w:eastAsia="pt-BR"/>
        </w:rPr>
      </w:pPr>
      <w:r w:rsidRPr="002A725C">
        <w:rPr>
          <w:szCs w:val="24"/>
          <w:lang w:eastAsia="pt-BR"/>
        </w:rPr>
        <w:t>A alegação de que a Junta de Conflitos reconheceu a legitimidade da incorporação não altera esse quadro, por três razões. Primeiro, a subcláusula 20.2 estabelecia que as partes deveriam nomear a Junta até a data prevista nos dados do contrato. Contudo, em instrução anterior</w:t>
      </w:r>
      <w:r>
        <w:rPr>
          <w:szCs w:val="24"/>
          <w:lang w:eastAsia="pt-BR"/>
        </w:rPr>
        <w:t>,</w:t>
      </w:r>
      <w:r w:rsidRPr="002A725C">
        <w:rPr>
          <w:szCs w:val="24"/>
          <w:lang w:eastAsia="pt-BR"/>
        </w:rPr>
        <w:t xml:space="preserve"> no TC 034.481/2016-8, apontou-se que a Junta foi constituída apenas depois de já instaurada a controvérsia e que seus membros não haviam comparecido aos locais da obra, incidindo a subcláusula 20.8, que, nessa hipótese, afasta a atuação da Junta e remete o conflito diretamente à arbitragem. A norma que a contratada elegeu como fundamento é</w:t>
      </w:r>
      <w:r>
        <w:rPr>
          <w:szCs w:val="24"/>
          <w:lang w:eastAsia="pt-BR"/>
        </w:rPr>
        <w:t xml:space="preserve"> a</w:t>
      </w:r>
      <w:r w:rsidRPr="002A725C">
        <w:rPr>
          <w:szCs w:val="24"/>
          <w:lang w:eastAsia="pt-BR"/>
        </w:rPr>
        <w:t xml:space="preserve"> mesma que retira validade ao colegiado que lhe foi favorável. </w:t>
      </w:r>
    </w:p>
    <w:p w14:paraId="758FA6C1" w14:textId="77777777" w:rsidR="00A46262" w:rsidRDefault="00A46262" w:rsidP="00A46262">
      <w:pPr>
        <w:spacing w:after="120"/>
        <w:ind w:firstLine="1134"/>
        <w:jc w:val="both"/>
        <w:rPr>
          <w:szCs w:val="24"/>
          <w:lang w:eastAsia="pt-BR"/>
        </w:rPr>
      </w:pPr>
      <w:r w:rsidRPr="002A725C">
        <w:rPr>
          <w:szCs w:val="24"/>
          <w:lang w:eastAsia="pt-BR"/>
        </w:rPr>
        <w:t xml:space="preserve">Segundo, ainda que se abstraísse esse vício, as decisões dessas juntas operam no plano </w:t>
      </w:r>
      <w:proofErr w:type="gramStart"/>
      <w:r w:rsidRPr="002A725C">
        <w:rPr>
          <w:i/>
          <w:iCs/>
          <w:szCs w:val="24"/>
          <w:lang w:eastAsia="pt-BR"/>
        </w:rPr>
        <w:t>inter partes</w:t>
      </w:r>
      <w:proofErr w:type="gramEnd"/>
      <w:r w:rsidRPr="002A725C">
        <w:rPr>
          <w:szCs w:val="24"/>
          <w:lang w:eastAsia="pt-BR"/>
        </w:rPr>
        <w:t xml:space="preserve"> e não vinculam o controle externo, a quem compete, por força do art. 71 da Constituição, avaliar de forma autônoma a legalidade, a legitimidade e a economicidade do gasto público. </w:t>
      </w:r>
    </w:p>
    <w:p w14:paraId="22FD1FF1" w14:textId="77777777" w:rsidR="00A46262" w:rsidRPr="002A725C" w:rsidRDefault="00A46262" w:rsidP="00A46262">
      <w:pPr>
        <w:spacing w:after="120"/>
        <w:ind w:firstLine="1134"/>
        <w:jc w:val="both"/>
        <w:rPr>
          <w:szCs w:val="24"/>
          <w:lang w:eastAsia="pt-BR"/>
        </w:rPr>
      </w:pPr>
      <w:r w:rsidRPr="002A725C">
        <w:rPr>
          <w:szCs w:val="24"/>
          <w:lang w:eastAsia="pt-BR"/>
        </w:rPr>
        <w:t>Terceiro, a decisão da Junta não supre a deficiência do processo decisório interno da Dersa. A aprovação e a formalização do 3º TAM continuavam a exigir exame técnico-orçamentário próprio, conclusivo e documentado sobre a sobreposição entre as novas composições e os itens originais, bem como sobre a existência de custo incremental não remunerado.</w:t>
      </w:r>
    </w:p>
    <w:p w14:paraId="63BF34B2" w14:textId="77777777" w:rsidR="00A46262" w:rsidRPr="002A725C" w:rsidRDefault="00A46262" w:rsidP="00A46262">
      <w:pPr>
        <w:spacing w:after="120"/>
        <w:ind w:firstLine="1134"/>
        <w:jc w:val="both"/>
      </w:pPr>
      <w:r w:rsidRPr="00646116">
        <w:rPr>
          <w:szCs w:val="24"/>
          <w:lang w:eastAsia="pt-BR"/>
        </w:rPr>
        <w:t>Passo à análise da responsabilidade dos citados.</w:t>
      </w:r>
      <w:r w:rsidRPr="002A725C">
        <w:t xml:space="preserve"> </w:t>
      </w:r>
    </w:p>
    <w:p w14:paraId="395569D4" w14:textId="77777777" w:rsidR="00A46262" w:rsidRPr="002A725C" w:rsidRDefault="00A46262" w:rsidP="00A46262">
      <w:pPr>
        <w:spacing w:after="120"/>
        <w:ind w:firstLine="1134"/>
        <w:jc w:val="both"/>
        <w:rPr>
          <w:szCs w:val="24"/>
          <w:lang w:eastAsia="pt-BR"/>
        </w:rPr>
      </w:pPr>
      <w:r w:rsidRPr="002A725C">
        <w:rPr>
          <w:szCs w:val="24"/>
          <w:lang w:eastAsia="pt-BR"/>
        </w:rPr>
        <w:t xml:space="preserve">No caso dos agentes da Dersa, as condutas descritas a seguir configuram grave inobservância do dever de cuidado com a coisa pública, caracterizando erro grosseiro nos termos do art. 28 da Lei de Introdução às Normas do Direito Brasileiro, o que afasta a excludente de responsabilidade invocada por alguns responsáveis. A responsabilidade da Construtora </w:t>
      </w:r>
      <w:r>
        <w:rPr>
          <w:szCs w:val="24"/>
          <w:lang w:eastAsia="pt-BR"/>
        </w:rPr>
        <w:t>Coesa</w:t>
      </w:r>
      <w:r w:rsidRPr="002A725C">
        <w:rPr>
          <w:szCs w:val="24"/>
          <w:lang w:eastAsia="pt-BR"/>
        </w:rPr>
        <w:t xml:space="preserve"> S.A., por sua vez, decorre do recebimento de valores indevidos por serviços já remunerados pelos preços unitários originais.</w:t>
      </w:r>
    </w:p>
    <w:p w14:paraId="1CC9C9B4" w14:textId="77777777" w:rsidR="00A46262" w:rsidRPr="002A725C" w:rsidRDefault="00A46262" w:rsidP="00A46262">
      <w:pPr>
        <w:spacing w:after="120"/>
        <w:ind w:firstLine="1134"/>
        <w:jc w:val="both"/>
        <w:rPr>
          <w:szCs w:val="24"/>
          <w:lang w:eastAsia="pt-BR"/>
        </w:rPr>
      </w:pPr>
      <w:r w:rsidRPr="002A725C">
        <w:rPr>
          <w:szCs w:val="24"/>
          <w:lang w:eastAsia="pt-BR"/>
        </w:rPr>
        <w:t xml:space="preserve">Benedito Aparecido Trida, engenheiro fiscal do contrato, tinha o dever funcional de examinar a plausibilidade técnica dos Pedidos de Composição de Preços 017 a 022 antes de lhes dar </w:t>
      </w:r>
      <w:r>
        <w:rPr>
          <w:szCs w:val="24"/>
          <w:lang w:eastAsia="pt-BR"/>
        </w:rPr>
        <w:t>prosseguimento</w:t>
      </w:r>
      <w:r w:rsidRPr="002A725C">
        <w:rPr>
          <w:szCs w:val="24"/>
          <w:lang w:eastAsia="pt-BR"/>
        </w:rPr>
        <w:t>. A norma interna IN-GE-07-01 atribuía-lhe a responsabilidade de alertar o gestor sobre alterações relativas a valor, prazo e serviços adicionais. Ao remeter os pleitos sem análise técnica acerca da sobreposição entre as novas composições e os preços originais, deu curso ao pedido tal como formulado pela contratada, omitindo a avaliação que lhe cabia produzir</w:t>
      </w:r>
      <w:r w:rsidRPr="002A725C">
        <w:t xml:space="preserve"> </w:t>
      </w:r>
      <w:r w:rsidRPr="002A725C">
        <w:rPr>
          <w:szCs w:val="24"/>
          <w:lang w:eastAsia="pt-BR"/>
        </w:rPr>
        <w:t>e concorrendo para que o pleito fosse acolhido pelo corpo gerencial e diretivo sem o exame que a magnitude da alteração exigia. Rejeito suas alegações de defesa e condeno-o, solidariamente com os demais responsáveis, ao ressarcimento do débito apurado.</w:t>
      </w:r>
    </w:p>
    <w:p w14:paraId="044BB026" w14:textId="77777777" w:rsidR="00A46262" w:rsidRPr="002A725C" w:rsidRDefault="00A46262" w:rsidP="00A46262">
      <w:pPr>
        <w:spacing w:after="120"/>
        <w:ind w:firstLine="1134"/>
        <w:jc w:val="both"/>
        <w:rPr>
          <w:szCs w:val="24"/>
          <w:lang w:eastAsia="pt-BR"/>
        </w:rPr>
      </w:pPr>
      <w:r w:rsidRPr="002A725C">
        <w:rPr>
          <w:szCs w:val="24"/>
          <w:lang w:eastAsia="pt-BR"/>
        </w:rPr>
        <w:t xml:space="preserve">Pedro Paulo Dantas do Amaral Campos, Gerente de Divisão de Obras do Lote 2, e Pedro da Silva, Diretor de Engenharia, subscreveram a PRD/EG/DIOBA 2-031/2015, que propôs a incorporação das composições CP-017 a CP-022, sem enfrentar o mérito do pedido. A proposta não indicou qual parcela de eventual degradação de produtividade já estaria abrangida pelos preços unitários contratados, nem examinou se os novos serviços correspondiam a custos efetivamente não remunerados pelos itens originais de escavação, </w:t>
      </w:r>
      <w:r w:rsidRPr="002A725C">
        <w:rPr>
          <w:szCs w:val="24"/>
          <w:lang w:eastAsia="pt-BR"/>
        </w:rPr>
        <w:lastRenderedPageBreak/>
        <w:t xml:space="preserve">limitando-se a reproduzir a narrativa da contratada. Tratando-se de matéria inerente à área de engenharia, a omissão é tanto mais grave quanto provinha precisamente dos responsáveis tecnicamente habilitados a identificá-la. </w:t>
      </w:r>
    </w:p>
    <w:p w14:paraId="66B1464B" w14:textId="77777777" w:rsidR="00A46262" w:rsidRPr="002A725C" w:rsidRDefault="00A46262" w:rsidP="00A46262">
      <w:pPr>
        <w:spacing w:after="120"/>
        <w:ind w:firstLine="1134"/>
        <w:jc w:val="both"/>
        <w:rPr>
          <w:szCs w:val="24"/>
          <w:lang w:eastAsia="pt-BR"/>
        </w:rPr>
      </w:pPr>
      <w:r w:rsidRPr="002A725C">
        <w:rPr>
          <w:szCs w:val="24"/>
          <w:lang w:eastAsia="pt-BR"/>
        </w:rPr>
        <w:t xml:space="preserve">Não atribuo força atenuante relevante à notificação posterior expedida por Pedro Paulo Dantas do Amaral Campos após o recebimento do relatório do IPT. A conduta que fundamenta sua responsabilidade é anterior: a subscrição da proposta de incorporação das novas composições sem exame técnico suficiente sobre sua sobreposição com os itens originais e sobre a existência de custo incremental não remunerado. A reação superveniente, já diante de informação técnica contrária ao pleito da contratada, não reduz de modo significativo a gravidade da omissão verificada no momento decisório relevante. </w:t>
      </w:r>
    </w:p>
    <w:p w14:paraId="39E296B2" w14:textId="77777777" w:rsidR="00A46262" w:rsidRPr="002A725C" w:rsidRDefault="00A46262" w:rsidP="00A46262">
      <w:pPr>
        <w:spacing w:after="120"/>
        <w:ind w:firstLine="1134"/>
        <w:jc w:val="both"/>
        <w:rPr>
          <w:szCs w:val="24"/>
          <w:lang w:eastAsia="pt-BR"/>
        </w:rPr>
      </w:pPr>
      <w:r w:rsidRPr="002A725C">
        <w:rPr>
          <w:szCs w:val="24"/>
          <w:lang w:eastAsia="pt-BR"/>
        </w:rPr>
        <w:t xml:space="preserve">A alegação de Pedro da Silva de que a responsabilização por divergência de interpretação técnica seria descabida não procede. Não se trata de divergência interpretativa razoável, mas de ausência de exame técnico de mérito suficiente sobre a sobreposição entre as novas composições e os itens originais, justamente em matéria inerente à Diretoria de Engenharia. </w:t>
      </w:r>
    </w:p>
    <w:p w14:paraId="44BBF046" w14:textId="77777777" w:rsidR="00A46262" w:rsidRPr="002A725C" w:rsidRDefault="00A46262" w:rsidP="00A46262">
      <w:pPr>
        <w:spacing w:after="120"/>
        <w:ind w:firstLine="1134"/>
        <w:jc w:val="both"/>
        <w:rPr>
          <w:szCs w:val="24"/>
          <w:lang w:eastAsia="pt-BR"/>
        </w:rPr>
      </w:pPr>
      <w:r w:rsidRPr="002A725C">
        <w:rPr>
          <w:szCs w:val="24"/>
          <w:lang w:eastAsia="pt-BR"/>
        </w:rPr>
        <w:t>Por esse motivo, rejeito as alegações de defesa de ambos e condeno-os, solidariamente com os demais responsáveis, ao ressarcimento do débito apurado.</w:t>
      </w:r>
    </w:p>
    <w:p w14:paraId="78FD7D73" w14:textId="77777777" w:rsidR="00A46262" w:rsidRPr="002A725C" w:rsidRDefault="00A46262" w:rsidP="00A46262">
      <w:pPr>
        <w:spacing w:after="120"/>
        <w:ind w:firstLine="1134"/>
        <w:jc w:val="both"/>
        <w:rPr>
          <w:szCs w:val="24"/>
          <w:lang w:eastAsia="pt-BR"/>
        </w:rPr>
      </w:pPr>
      <w:r w:rsidRPr="002A725C">
        <w:rPr>
          <w:szCs w:val="24"/>
          <w:lang w:eastAsia="pt-BR"/>
        </w:rPr>
        <w:t>Laurence Casagrande Lourenço, na condição de Diretor-Presidente, votou na Resolução 20F/15, que aprovou a incorporação das novas composições ao contrato, e assinou o 3º TAM, que a formalizou. Diante de alteração contratual da ordem de R$ 53 milhões, cabia-lhe exigir exame técnico conclusivo sobre a compatibilidade dos novos preços com os itens já contratados e sobre a existência de efetivo desequilíbrio econômico-financeiro. Rejeito suas alegações de defesa e condeno-o, solidariamente com os demais responsáveis, ao ressarcimento do débito apurado.</w:t>
      </w:r>
    </w:p>
    <w:p w14:paraId="2FC2A4AE" w14:textId="77777777" w:rsidR="00A46262" w:rsidRPr="002A725C" w:rsidRDefault="00A46262" w:rsidP="00A46262">
      <w:pPr>
        <w:spacing w:after="120"/>
        <w:ind w:firstLine="1134"/>
        <w:jc w:val="both"/>
        <w:rPr>
          <w:szCs w:val="24"/>
          <w:lang w:eastAsia="pt-BR"/>
        </w:rPr>
      </w:pPr>
      <w:r w:rsidRPr="002A725C">
        <w:rPr>
          <w:szCs w:val="24"/>
          <w:lang w:eastAsia="pt-BR"/>
        </w:rPr>
        <w:t>Benjamim Venâncio de Melo Júnior e Nilson Rogério Baroni, como membros da diretoria que votaram na Resolução 20F/15, aprovaram a incorporação das novas composições sem que houvesse análise técnica suficiente e fundamentada sobre o mérito do pleito. Competia-lhes, antes de votar, verificar essa ausência e providenciar seu saneamento, nos termos da IN-04, de 17 de janeiro de 2014. O vulto financeiro da alteração e a natureza da condição geológica envolvida tornavam indispensável esse exame, que não se realizou. Não procede o argumento de que, por dirigirem áreas não técnicas, estariam dispensados de juízo crítico. Não se exige desses responsáveis a reconstituição autônoma dos cálculos de engenharia, mas o dever mínimo de não aprovar alteração contratual de elevado impacto financeiro sem análise técnica suficiente sobre sua necessidade. Rejeito as alegações de defesa de ambos e condeno-os, solidariamente com os demais responsáveis, ao ressarcimento do débito apurado.</w:t>
      </w:r>
    </w:p>
    <w:p w14:paraId="59348372" w14:textId="77777777" w:rsidR="00A46262" w:rsidRPr="002A725C" w:rsidRDefault="00A46262" w:rsidP="00A46262">
      <w:pPr>
        <w:spacing w:after="120"/>
        <w:ind w:firstLine="1134"/>
        <w:jc w:val="both"/>
        <w:rPr>
          <w:szCs w:val="24"/>
          <w:lang w:eastAsia="pt-BR"/>
        </w:rPr>
      </w:pPr>
      <w:r w:rsidRPr="002A725C">
        <w:rPr>
          <w:szCs w:val="24"/>
          <w:lang w:eastAsia="pt-BR"/>
        </w:rPr>
        <w:t xml:space="preserve">Também rejeito as alegações de defesa da Construtora </w:t>
      </w:r>
      <w:r>
        <w:rPr>
          <w:szCs w:val="24"/>
          <w:lang w:eastAsia="pt-BR"/>
        </w:rPr>
        <w:t>Coesa</w:t>
      </w:r>
      <w:r w:rsidRPr="002A725C">
        <w:rPr>
          <w:szCs w:val="24"/>
          <w:lang w:eastAsia="pt-BR"/>
        </w:rPr>
        <w:t xml:space="preserve"> S.A. Como demonstrado, a contratada não comprovou a álea extraordinária nem quantificou o desequilíbrio que justificaria o ajuste remuneratório. A boa-fé objetiva exigível de quem contrata com a Administração não se compatibiliza com pleito que ignora a parcela de custos já remunerada pelos preços unitários ofertados. Sua responsabilidade não é meramente derivada da conduta dos gestores da Dersa: ao pleitear e receber remuneração por serviços que os preços originais já cobriam, sem a correspondente dedução da parcela já remunerada pelos itens originais, a contratada enriqueceu sem causa à custa do Erário, o que fundamenta sua responsabilidade solidária pelo débito.</w:t>
      </w:r>
    </w:p>
    <w:p w14:paraId="4EA39D41" w14:textId="77777777" w:rsidR="00A46262" w:rsidRPr="002A725C" w:rsidRDefault="00A46262" w:rsidP="00A46262">
      <w:pPr>
        <w:spacing w:after="120"/>
        <w:ind w:firstLine="1134"/>
        <w:jc w:val="both"/>
        <w:rPr>
          <w:szCs w:val="24"/>
          <w:lang w:eastAsia="pt-BR"/>
        </w:rPr>
      </w:pPr>
      <w:r w:rsidRPr="002A725C">
        <w:rPr>
          <w:szCs w:val="24"/>
          <w:lang w:eastAsia="pt-BR"/>
        </w:rPr>
        <w:lastRenderedPageBreak/>
        <w:t>O débito apurado neste segmento, decorrente da diferença entre os preços das novas composições e os dos serviços já previstos contratualmente para a remoção de matacões, atualizado monetariamente até 19/2/2025, alcança R$ 72.874.776,52, conforme cálculo acostado à peça 311.</w:t>
      </w:r>
    </w:p>
    <w:p w14:paraId="75D4B594" w14:textId="77777777" w:rsidR="00A46262" w:rsidRPr="002A725C" w:rsidRDefault="00A46262" w:rsidP="00A46262">
      <w:pPr>
        <w:spacing w:after="120"/>
        <w:ind w:firstLine="1134"/>
        <w:jc w:val="both"/>
        <w:rPr>
          <w:szCs w:val="24"/>
          <w:lang w:eastAsia="pt-BR"/>
        </w:rPr>
      </w:pPr>
      <w:r w:rsidRPr="002A725C">
        <w:rPr>
          <w:szCs w:val="24"/>
          <w:lang w:eastAsia="pt-BR"/>
        </w:rPr>
        <w:t xml:space="preserve">Aplico a multa prevista no art. 57 da Lei 8.443/1992 a todos </w:t>
      </w:r>
      <w:r>
        <w:rPr>
          <w:szCs w:val="24"/>
          <w:lang w:eastAsia="pt-BR"/>
        </w:rPr>
        <w:t xml:space="preserve">os </w:t>
      </w:r>
      <w:r w:rsidRPr="002A725C">
        <w:rPr>
          <w:szCs w:val="24"/>
          <w:lang w:eastAsia="pt-BR"/>
        </w:rPr>
        <w:t>agentes condenados em débito neste segmento. Na dosimetria, considero mais grave a conduta de Pedro da Silva: além de subscrever o documento que propôs a incorporação das composições no âmbito da Diretoria de Engenharia, votou na Resolução 20F/15 e, ainda, firmou o 3º TAM. Considero atenuante, em relação a Laurence Casagrande Lourenço, a circunstância de que, embora tenha aprovado a Resolução 20F/15 e firmado o 3º TAM sem exigir exame técnico conclusivo, a Dersa inicialmente resistiu ao pleito, contratou o IPT para avaliação independente e recorreu da decisão da Junta de Conflitos, tendo Laurence deixado o cargo antes de recebida a resposta ao recurso. Também é de menor intensidade a culpabilidade de Benjamim Venâncio de Melo Júnior e de Nilson Rogério Baroni. Antes de votar favoravelmente em resolução que aprovou pleito da ordem de R$ 53 milhões, cabia-lhes verificar se o pleito contava com análise técnica de mérito adequada, dever que não cumpriram. Apesar disso, a culpabilidade é mitigada em relação aos demais membros da Diretoria, porque a percepção de que a análise era insuficiente era menos evidente para quem não era da área de engenharia.</w:t>
      </w:r>
    </w:p>
    <w:p w14:paraId="7C46EF57" w14:textId="77777777" w:rsidR="00A46262" w:rsidRPr="002A725C" w:rsidRDefault="00A46262" w:rsidP="00A46262">
      <w:pPr>
        <w:spacing w:before="160"/>
        <w:ind w:firstLine="1134"/>
        <w:jc w:val="both"/>
        <w:rPr>
          <w:szCs w:val="24"/>
        </w:rPr>
      </w:pPr>
      <w:r w:rsidRPr="002A725C">
        <w:rPr>
          <w:szCs w:val="24"/>
        </w:rPr>
        <w:t xml:space="preserve">Em relação à </w:t>
      </w:r>
      <w:r>
        <w:rPr>
          <w:szCs w:val="24"/>
        </w:rPr>
        <w:t>Coesa</w:t>
      </w:r>
      <w:r w:rsidRPr="002A725C">
        <w:rPr>
          <w:szCs w:val="24"/>
        </w:rPr>
        <w:t>, fixo percentual de multa mais elevado, em razão do benefício econômico direto e da participação ativa na formulação do pleito que deu causa ao pagamento indevido.</w:t>
      </w:r>
    </w:p>
    <w:p w14:paraId="4858D11E" w14:textId="77777777" w:rsidR="00A46262" w:rsidRPr="002A725C" w:rsidRDefault="00A46262" w:rsidP="00A46262">
      <w:pPr>
        <w:spacing w:before="160"/>
        <w:jc w:val="center"/>
        <w:rPr>
          <w:szCs w:val="24"/>
        </w:rPr>
      </w:pPr>
      <w:bookmarkStart w:id="2" w:name="_Hlk231400737"/>
      <w:r w:rsidRPr="002A725C">
        <w:rPr>
          <w:szCs w:val="24"/>
        </w:rPr>
        <w:t>VI</w:t>
      </w:r>
    </w:p>
    <w:p w14:paraId="125B5720" w14:textId="77777777" w:rsidR="00A46262" w:rsidRPr="002A725C" w:rsidRDefault="00A46262" w:rsidP="00A46262">
      <w:pPr>
        <w:spacing w:before="160"/>
        <w:ind w:firstLine="1134"/>
        <w:jc w:val="both"/>
        <w:rPr>
          <w:szCs w:val="24"/>
        </w:rPr>
      </w:pPr>
      <w:r w:rsidRPr="002A725C">
        <w:rPr>
          <w:szCs w:val="24"/>
        </w:rPr>
        <w:t xml:space="preserve">A Construtora OAS pleiteou a </w:t>
      </w:r>
      <w:r w:rsidRPr="002A725C">
        <w:rPr>
          <w:b/>
          <w:bCs/>
          <w:szCs w:val="24"/>
        </w:rPr>
        <w:t>recomposição do equilíbrio econômico-financeiro</w:t>
      </w:r>
      <w:r w:rsidRPr="002A725C">
        <w:rPr>
          <w:szCs w:val="24"/>
        </w:rPr>
        <w:t xml:space="preserve"> do Contrato 4.349/2013 em razão de atrasos atribuídos à Dersa na liberação de frentes de serviço, sob o fundamento de que a redução do ritmo de execução da obra comprometeu a diluição, nos quantitativos executados, de custos indiretos incluídos no BDI.</w:t>
      </w:r>
    </w:p>
    <w:p w14:paraId="552A1754" w14:textId="77777777" w:rsidR="00A46262" w:rsidRPr="002A725C" w:rsidRDefault="00A46262" w:rsidP="00A46262">
      <w:pPr>
        <w:spacing w:before="160"/>
        <w:ind w:firstLine="1134"/>
        <w:jc w:val="both"/>
        <w:rPr>
          <w:szCs w:val="24"/>
        </w:rPr>
      </w:pPr>
      <w:r w:rsidRPr="002A725C">
        <w:rPr>
          <w:szCs w:val="24"/>
        </w:rPr>
        <w:t xml:space="preserve">Convém esclarecer, antes de tudo, como os custos indiretos foram organizados no contrato. O BDI deste contrato é composto por rubricas próprias, entre as quais: Administração Central, Seguro Responsabilidade Civil e Qualidade, Segurança, Meio Ambiente e Saúde (QSMS), incluindo </w:t>
      </w:r>
      <w:r w:rsidRPr="00156E49">
        <w:rPr>
          <w:szCs w:val="24"/>
        </w:rPr>
        <w:t>equipamentos de proteção individual (EPIs)</w:t>
      </w:r>
      <w:r w:rsidRPr="002A725C">
        <w:rPr>
          <w:szCs w:val="24"/>
        </w:rPr>
        <w:t>; e Administração Local (item A.1), rubrica que, segundo a jurisprudência consolidada desta Corte, deveria figurar como custo direto em item específico do orçamento.</w:t>
      </w:r>
    </w:p>
    <w:p w14:paraId="4ACDCDE7" w14:textId="77777777" w:rsidR="00A46262" w:rsidRPr="002A725C" w:rsidRDefault="00A46262" w:rsidP="00A46262">
      <w:pPr>
        <w:spacing w:before="160"/>
        <w:ind w:firstLine="1134"/>
        <w:jc w:val="both"/>
        <w:rPr>
          <w:szCs w:val="24"/>
        </w:rPr>
      </w:pPr>
      <w:r w:rsidRPr="002A725C">
        <w:rPr>
          <w:szCs w:val="24"/>
        </w:rPr>
        <w:t>A Dersa inicialmente recusou o pleito; posteriormente contratou o engenheiro Mozart Bezerra da Silva para elaborar parecer técnico sobre o tema. O parecer concluiu que as quatro rubricas deveriam ser remuneradas como custos mensais fixos, vinculados ao prazo de permanência da contratada na obra, e não ao volume de serviços efetivamente executados. O aumento dos percentuais das quatro rubricas elevou o BDI de 45,61% para 58,63%.</w:t>
      </w:r>
    </w:p>
    <w:p w14:paraId="5460EF55" w14:textId="77777777" w:rsidR="00A46262" w:rsidRPr="002A725C" w:rsidRDefault="00A46262" w:rsidP="00A46262">
      <w:pPr>
        <w:spacing w:before="160"/>
        <w:ind w:firstLine="1134"/>
        <w:jc w:val="both"/>
        <w:rPr>
          <w:szCs w:val="24"/>
        </w:rPr>
      </w:pPr>
      <w:r w:rsidRPr="002A725C">
        <w:rPr>
          <w:szCs w:val="24"/>
        </w:rPr>
        <w:t xml:space="preserve">Os critérios do Parecer Mozart foram aplicados ao reequilíbrio em duas etapas. Primeiro, ao reequilíbrio do </w:t>
      </w:r>
      <w:r w:rsidRPr="002A725C">
        <w:rPr>
          <w:b/>
          <w:bCs/>
          <w:szCs w:val="24"/>
        </w:rPr>
        <w:t>prazo contratual original</w:t>
      </w:r>
      <w:r w:rsidRPr="002A725C">
        <w:rPr>
          <w:szCs w:val="24"/>
        </w:rPr>
        <w:t>. A aplicação dessa metodologia aos primeiros 36 meses gerou despesa adicional de aproximadamente R$ 33 milhões, a valores originais, e fundamentou a Resolução 21M/16, resolução da Diretoria da Dersa</w:t>
      </w:r>
      <w:r>
        <w:rPr>
          <w:szCs w:val="24"/>
        </w:rPr>
        <w:t>,</w:t>
      </w:r>
      <w:r w:rsidRPr="002A725C">
        <w:rPr>
          <w:szCs w:val="24"/>
        </w:rPr>
        <w:t xml:space="preserve"> que aprovou o Parecer Mozart e autorizou o reequilíbrio, dando origem ao 8º </w:t>
      </w:r>
      <w:r w:rsidRPr="002A725C">
        <w:rPr>
          <w:szCs w:val="24"/>
        </w:rPr>
        <w:lastRenderedPageBreak/>
        <w:t>Termo Aditivo de Modificação (TAM).</w:t>
      </w:r>
      <w:r w:rsidRPr="002A725C">
        <w:t xml:space="preserve"> </w:t>
      </w:r>
      <w:r w:rsidRPr="002A725C">
        <w:rPr>
          <w:szCs w:val="24"/>
        </w:rPr>
        <w:t xml:space="preserve">Esse aditivo é objeto do primeiro vício examinado neste segmento: a </w:t>
      </w:r>
      <w:r w:rsidRPr="002A725C">
        <w:rPr>
          <w:b/>
          <w:bCs/>
          <w:szCs w:val="24"/>
        </w:rPr>
        <w:t>inadequação da metodologia de cálculo</w:t>
      </w:r>
      <w:r w:rsidRPr="002A725C">
        <w:rPr>
          <w:szCs w:val="24"/>
        </w:rPr>
        <w:t>.</w:t>
      </w:r>
    </w:p>
    <w:p w14:paraId="25CA769C" w14:textId="77777777" w:rsidR="00A46262" w:rsidRPr="002A725C" w:rsidRDefault="00A46262" w:rsidP="00A46262">
      <w:pPr>
        <w:spacing w:before="160"/>
        <w:ind w:firstLine="1134"/>
        <w:jc w:val="both"/>
        <w:rPr>
          <w:szCs w:val="24"/>
        </w:rPr>
      </w:pPr>
      <w:r w:rsidRPr="002A725C">
        <w:rPr>
          <w:szCs w:val="24"/>
        </w:rPr>
        <w:t xml:space="preserve">A mesma metodologia foi posteriormente adotada para o reequilíbrio econômico-financeiro do </w:t>
      </w:r>
      <w:r w:rsidRPr="002A725C">
        <w:rPr>
          <w:b/>
          <w:bCs/>
          <w:szCs w:val="24"/>
        </w:rPr>
        <w:t>prazo complementar</w:t>
      </w:r>
      <w:r w:rsidRPr="002A725C">
        <w:rPr>
          <w:szCs w:val="24"/>
        </w:rPr>
        <w:t xml:space="preserve">, objeto do 10º TAM. Esse aditivo concentra os dois vícios apurados. O primeiro também consiste em </w:t>
      </w:r>
      <w:r w:rsidRPr="002A725C">
        <w:rPr>
          <w:b/>
          <w:bCs/>
          <w:szCs w:val="24"/>
        </w:rPr>
        <w:t>inadequação metodológica</w:t>
      </w:r>
      <w:r w:rsidRPr="002A725C">
        <w:rPr>
          <w:szCs w:val="24"/>
        </w:rPr>
        <w:t xml:space="preserve">: o PCP-108 também aplicou ao prazo complementar os critérios do Parecer Mozart. O segundo vício, exclusivo do 10º TAM, é a </w:t>
      </w:r>
      <w:r w:rsidRPr="002A725C">
        <w:rPr>
          <w:b/>
          <w:bCs/>
          <w:szCs w:val="24"/>
        </w:rPr>
        <w:t>duplicidade de pagamentos</w:t>
      </w:r>
      <w:r w:rsidRPr="002A725C">
        <w:rPr>
          <w:szCs w:val="24"/>
        </w:rPr>
        <w:t>: além do PCP-108, o aditivo acolheu ainda os PCPs 106 e 107, relativos, respectivamente, à Administração Local no prazo complementar e à mobilização e desmobilização de equipamentos nesse período – componentes já remunerados pelo PCP-108.</w:t>
      </w:r>
    </w:p>
    <w:p w14:paraId="6334F345" w14:textId="77777777" w:rsidR="00A46262" w:rsidRPr="002A725C" w:rsidRDefault="00A46262" w:rsidP="00A46262">
      <w:pPr>
        <w:spacing w:before="160"/>
        <w:ind w:firstLine="1134"/>
        <w:jc w:val="both"/>
        <w:rPr>
          <w:szCs w:val="24"/>
        </w:rPr>
      </w:pPr>
      <w:r w:rsidRPr="002A725C">
        <w:rPr>
          <w:szCs w:val="24"/>
        </w:rPr>
        <w:t xml:space="preserve">Acolho, em linhas gerais, a análise da AudTCE, acompanhada pelo MPTCU, quanto aos dois vícios apurados no reequilíbrio: a inadequação da metodologia de cálculo, comum ao 8º e ao 10º TAMs, e a duplicidade de pagamentos, verificada exclusivamente no 10º TAM. </w:t>
      </w:r>
    </w:p>
    <w:p w14:paraId="01658B8A" w14:textId="77777777" w:rsidR="00A46262" w:rsidRPr="002A725C" w:rsidRDefault="00A46262" w:rsidP="00A46262">
      <w:pPr>
        <w:spacing w:before="160"/>
        <w:ind w:firstLine="1134"/>
        <w:jc w:val="both"/>
        <w:rPr>
          <w:szCs w:val="24"/>
        </w:rPr>
      </w:pPr>
      <w:r w:rsidRPr="002A725C">
        <w:rPr>
          <w:szCs w:val="24"/>
        </w:rPr>
        <w:t xml:space="preserve">A </w:t>
      </w:r>
      <w:r w:rsidRPr="002A725C">
        <w:rPr>
          <w:b/>
          <w:bCs/>
          <w:szCs w:val="24"/>
        </w:rPr>
        <w:t>inadequação metodológica</w:t>
      </w:r>
      <w:r w:rsidRPr="002A725C">
        <w:rPr>
          <w:szCs w:val="24"/>
        </w:rPr>
        <w:t xml:space="preserve"> decorre da aplicação dos critérios do Parecer Mozart ao reequilíbrio do prazo original, objeto do 8º TAM, e ao reequilíbrio do prazo complementar, objeto do 10º TAM. A AudTCE identificou nesses critérios duas falhas que se somaram para superestimar os valores recompostos em ambos os aditivos.</w:t>
      </w:r>
    </w:p>
    <w:p w14:paraId="2FA6EF12" w14:textId="77777777" w:rsidR="00A46262" w:rsidRPr="002A725C" w:rsidRDefault="00A46262" w:rsidP="00A46262">
      <w:pPr>
        <w:spacing w:before="160"/>
        <w:ind w:firstLine="1134"/>
        <w:jc w:val="both"/>
        <w:rPr>
          <w:szCs w:val="24"/>
        </w:rPr>
      </w:pPr>
      <w:r w:rsidRPr="002A725C">
        <w:rPr>
          <w:szCs w:val="24"/>
        </w:rPr>
        <w:t>A inadequação metodológica manifesta-se em dois planos. No primeiro, relativo à Administração Central e ao Seguro Responsabilidade Civil, o vício é de critério de alocação. O Parecer tratou essas rubricas como custos mensais fixos, proporcionais ao tempo de permanência da contratada na obra. A premissa é incorreta. A Administração Central remunera a estrutura central da empresa e é apropriada aos contratos por critério de rateio proporcional ao volume de serviços executados, não ao tempo. O Seguro Responsabilidade Civil guarda relação com o valor segurado: a prorrogação contratual exigiria ajuste proporcional ao valor remanescente dos serviços, não ao prazo. Tratá-los como custos temporais remunerou parcelas que não decorriam do alongamento do prazo, gerando pagamento indevido.</w:t>
      </w:r>
    </w:p>
    <w:p w14:paraId="322E5963" w14:textId="77777777" w:rsidR="00A46262" w:rsidRPr="002A725C" w:rsidRDefault="00A46262" w:rsidP="00A46262">
      <w:pPr>
        <w:spacing w:before="160"/>
        <w:ind w:firstLine="1134"/>
        <w:jc w:val="both"/>
        <w:rPr>
          <w:szCs w:val="24"/>
        </w:rPr>
      </w:pPr>
      <w:r w:rsidRPr="002A725C">
        <w:rPr>
          <w:szCs w:val="24"/>
        </w:rPr>
        <w:t>No segundo plano, o Parecer Mozart superestimou a rubrica de Administração Local no BDI. Para calcular o percentual dessa rubrica no BDI, o Parecer Mozart incluiu componentes que já eram remunerados por itens específicos do contrato original, como instalação, operação e manutenção do canteiro de obras. Incluiu</w:t>
      </w:r>
      <w:r>
        <w:rPr>
          <w:szCs w:val="24"/>
        </w:rPr>
        <w:t>, ainda,</w:t>
      </w:r>
      <w:r w:rsidRPr="002A725C">
        <w:rPr>
          <w:szCs w:val="24"/>
        </w:rPr>
        <w:t xml:space="preserve"> o laboratório de controle de qualidade, cuja manutenção a contratada havia assumido sem ônus para a contratante por cláusula contratual expressa, de modo que não poderia ser tratado como custo adicional gerado pelo atraso. Por fim, tratou o QSMS como rubrica autônoma do BDI, quando, em rigor, integra a Administração Local, gerando dupla contagem desses custos dentro do próprio BDI. A esses fatores somou-se o uso de percentual acima do referencial admitido pela jurisprudência desta Corte para a Administração Local. </w:t>
      </w:r>
    </w:p>
    <w:p w14:paraId="3727F3C2" w14:textId="77777777" w:rsidR="00A46262" w:rsidRPr="002A725C" w:rsidRDefault="00A46262" w:rsidP="00A46262">
      <w:pPr>
        <w:spacing w:before="160"/>
        <w:ind w:firstLine="1134"/>
        <w:jc w:val="both"/>
        <w:rPr>
          <w:szCs w:val="24"/>
        </w:rPr>
      </w:pPr>
      <w:bookmarkStart w:id="3" w:name="_Hlk229490808"/>
      <w:r w:rsidRPr="002A725C">
        <w:rPr>
          <w:szCs w:val="24"/>
        </w:rPr>
        <w:t xml:space="preserve">Passando ao exame das alegações de defesa relativas à </w:t>
      </w:r>
      <w:bookmarkEnd w:id="3"/>
      <w:r w:rsidRPr="002A725C">
        <w:rPr>
          <w:szCs w:val="24"/>
        </w:rPr>
        <w:t>inadequação metodológica, ressalto que os atrasos atribuídos à Dersa na liberação de frentes de serviço podem justificar recomposição do equilíbrio econômico-financeiro do contrato, na medida em que possam ter efetivamente onerado a contratada com custos não previstos. A irregularidade está na forma como essa recomposição foi calculada e incorporada ao contrato, que resultou em valor superior ao que seria devido.</w:t>
      </w:r>
    </w:p>
    <w:p w14:paraId="12BF31EF" w14:textId="77777777" w:rsidR="00A46262" w:rsidRPr="002A725C" w:rsidRDefault="00A46262" w:rsidP="00A46262">
      <w:pPr>
        <w:spacing w:before="160"/>
        <w:ind w:firstLine="1134"/>
        <w:jc w:val="both"/>
        <w:rPr>
          <w:szCs w:val="24"/>
        </w:rPr>
      </w:pPr>
      <w:r w:rsidRPr="002A725C">
        <w:rPr>
          <w:szCs w:val="24"/>
        </w:rPr>
        <w:lastRenderedPageBreak/>
        <w:t xml:space="preserve">Não socorre a </w:t>
      </w:r>
      <w:r>
        <w:rPr>
          <w:szCs w:val="24"/>
        </w:rPr>
        <w:t>Coesa</w:t>
      </w:r>
      <w:r w:rsidRPr="002A725C">
        <w:rPr>
          <w:szCs w:val="24"/>
        </w:rPr>
        <w:t xml:space="preserve"> a alegação de que o BDI final estaria dentro de faixas referenciais admitidas por esta Corte. Em aditivos de reequilíbrio, o exame não se limita à comparação do percentual global do BDI com quartis de referência –</w:t>
      </w:r>
      <w:r w:rsidRPr="002A725C">
        <w:t xml:space="preserve"> </w:t>
      </w:r>
      <w:r w:rsidRPr="002A725C">
        <w:rPr>
          <w:szCs w:val="24"/>
        </w:rPr>
        <w:t>é necessário verificar se cada componente recomposto efetivamente varia com o prazo e se não duplica parcela já remunerada por outro item contratual.</w:t>
      </w:r>
    </w:p>
    <w:p w14:paraId="4BEB4E87" w14:textId="77777777" w:rsidR="00A46262" w:rsidRPr="002A725C" w:rsidRDefault="00A46262" w:rsidP="00A46262">
      <w:pPr>
        <w:spacing w:before="160"/>
        <w:ind w:firstLine="1134"/>
        <w:jc w:val="both"/>
        <w:rPr>
          <w:szCs w:val="24"/>
        </w:rPr>
      </w:pPr>
      <w:r w:rsidRPr="002A725C">
        <w:rPr>
          <w:szCs w:val="24"/>
        </w:rPr>
        <w:t xml:space="preserve">Invocada pela </w:t>
      </w:r>
      <w:r>
        <w:rPr>
          <w:szCs w:val="24"/>
        </w:rPr>
        <w:t>Coesa</w:t>
      </w:r>
      <w:r w:rsidRPr="002A725C">
        <w:rPr>
          <w:szCs w:val="24"/>
        </w:rPr>
        <w:t xml:space="preserve"> para justificar a adoção do 3º quartil do Acórdão 2622/2013-TCU-Plenário</w:t>
      </w:r>
      <w:r>
        <w:rPr>
          <w:szCs w:val="24"/>
        </w:rPr>
        <w:t>, r</w:t>
      </w:r>
      <w:r>
        <w:t>elator E. Ministro-Substituto Marcos Bemquerer</w:t>
      </w:r>
      <w:r>
        <w:rPr>
          <w:szCs w:val="24"/>
        </w:rPr>
        <w:t>,</w:t>
      </w:r>
      <w:r w:rsidRPr="002A725C">
        <w:rPr>
          <w:szCs w:val="24"/>
        </w:rPr>
        <w:t xml:space="preserve"> como parâmetro para a Administração Local, a complexidade da obra não autoriza metodologia incompatível com a natureza dos componentes recompostos nem dispensa a demonstração dos custos efetivamente suportados. Além disso, os percentuais desse quartil destinam-se a avaliar esse item quando alocado como custo direto. Quando inserida no BDI, como ocorreu neste contrato, a Administração Local corresponde a percentual significativamente menor – distinção que o próprio Acórdão estabelece e que o Parecer Mozart ignorou.</w:t>
      </w:r>
    </w:p>
    <w:p w14:paraId="1D306D6F" w14:textId="77777777" w:rsidR="00A46262" w:rsidRPr="002A725C" w:rsidRDefault="00A46262" w:rsidP="00A46262">
      <w:pPr>
        <w:spacing w:before="160"/>
        <w:ind w:firstLine="1134"/>
        <w:jc w:val="both"/>
        <w:rPr>
          <w:szCs w:val="24"/>
        </w:rPr>
      </w:pPr>
      <w:r w:rsidRPr="002A725C">
        <w:rPr>
          <w:szCs w:val="24"/>
        </w:rPr>
        <w:t>Não altera essa conclusão a circunstância de os percentuais utilizados no reequilíbrio serem os originalmente previstos no contrato. O reequilíbrio por atraso exige identificar quais componentes efetivamente variam com o prazo, e não simplesmente replicar os percentuais contratuais originais.</w:t>
      </w:r>
    </w:p>
    <w:p w14:paraId="65E2ED60" w14:textId="77777777" w:rsidR="00A46262" w:rsidRPr="002A725C" w:rsidRDefault="00A46262" w:rsidP="00A46262">
      <w:pPr>
        <w:spacing w:before="160"/>
        <w:ind w:firstLine="1134"/>
        <w:jc w:val="both"/>
        <w:rPr>
          <w:szCs w:val="24"/>
        </w:rPr>
      </w:pPr>
      <w:r w:rsidRPr="002A725C">
        <w:rPr>
          <w:szCs w:val="24"/>
        </w:rPr>
        <w:t xml:space="preserve">Tampouco acolho a alegação da </w:t>
      </w:r>
      <w:r>
        <w:rPr>
          <w:szCs w:val="24"/>
        </w:rPr>
        <w:t>Coesa</w:t>
      </w:r>
      <w:r w:rsidRPr="002A725C">
        <w:rPr>
          <w:szCs w:val="24"/>
        </w:rPr>
        <w:t xml:space="preserve"> de contradição entre instruções pretéritas de unidades técnicas do Tribunal. A manifestação constante da peça 264 do TC 034.481/2016-8 não vinculava o Tribunal nem encerrava a análise da matéria. Após a juntada de novos elementos e a determinação de reexame pela relatoria, a unidade especializada aprofundou o exame do reequilíbrio na peça 378 daquele processo, especialmente quanto à Administração Central e ao Seguro Responsabilidade Civil. A evolução da análise técnica, nesse contexto, não configura contradição relevante, mas amadurecimento regular da instrução processual.</w:t>
      </w:r>
    </w:p>
    <w:p w14:paraId="4DB9629A" w14:textId="77777777" w:rsidR="00A46262" w:rsidRPr="002A725C" w:rsidRDefault="00A46262" w:rsidP="00A46262">
      <w:pPr>
        <w:spacing w:before="160"/>
        <w:ind w:firstLine="1134"/>
        <w:jc w:val="both"/>
        <w:rPr>
          <w:szCs w:val="24"/>
        </w:rPr>
      </w:pPr>
      <w:r w:rsidRPr="002A725C">
        <w:rPr>
          <w:szCs w:val="24"/>
        </w:rPr>
        <w:t>Quanto aos agentes da Dersa, não lhes serve de escusa a circunstância de o reequilíbrio ter sido instruído pelo Parecer Mozart e submetido a anuências e aprovações em instâncias técnicas e jurídicas do Dersa. Esse encadeamento decisório não dispensava os agentes responsáveis de examinar criticamente suas premissas, sobretudo porque a recomposição envolvia valores expressivos e critérios disciplinados no contrato e na jurisprudência desta Corte. A colegialidade da decisão final não afasta a responsabilidade de quem instrui, propõe ou endossa tecnicamente a alteração contratual. A questão não está na qualificação profissional do parecerista, mas na ausência de verificação, pelos agentes que endossaram a metodologia, de sua compatibilidade com a estrutura do BDI contratual e com os critérios do edital.</w:t>
      </w:r>
    </w:p>
    <w:p w14:paraId="5C0888E8" w14:textId="77777777" w:rsidR="00A46262" w:rsidRPr="002A725C" w:rsidRDefault="00A46262" w:rsidP="00A46262">
      <w:pPr>
        <w:spacing w:before="160"/>
        <w:ind w:firstLine="1134"/>
        <w:jc w:val="both"/>
        <w:rPr>
          <w:szCs w:val="24"/>
        </w:rPr>
      </w:pPr>
      <w:r w:rsidRPr="002A725C">
        <w:rPr>
          <w:szCs w:val="24"/>
        </w:rPr>
        <w:t xml:space="preserve">A inadequação metodológica abrange condutas distintas. Carlos Satoru Miyasato, João Carlos de Lima Pereira, Wild Gonçalves Fischer e Pedro Paulo Dantas do Amaral Campos aprovaram o Parecer Mozart sem verificar a compatibilidade das premissas adotadas com o edital, a estrutura do BDI contratual e a jurisprudência desta Corte. Carlos Satoru Miyasato, João Carlos de Lima Pereira, Pedro Paulo Dantas do Amaral Campos e Pedro da Silva aprovaram, por meio da PRD 74/2016, de 17/8/2016, o documento de análise do Parecer Técnico do Pedido de Revisão de Preço para os seis lotes do Rodoanel Norte sem a mesma verificação. Pedro Paulo Dantas do Amaral Campos e Pedro da Silva subscreveram a PRD 74/2017, de 14/7/2017, propondo a inclusão, no Contrato 4.349/2013, do pagamento do reequilíbrio econômico-financeiro relativo ao prazo complementar. </w:t>
      </w:r>
    </w:p>
    <w:p w14:paraId="4E7919C0" w14:textId="77777777" w:rsidR="00A46262" w:rsidRPr="002A725C" w:rsidRDefault="00A46262" w:rsidP="00A46262">
      <w:pPr>
        <w:spacing w:before="160"/>
        <w:ind w:firstLine="1134"/>
        <w:jc w:val="both"/>
        <w:rPr>
          <w:szCs w:val="24"/>
        </w:rPr>
      </w:pPr>
      <w:r w:rsidRPr="002A725C">
        <w:rPr>
          <w:szCs w:val="24"/>
        </w:rPr>
        <w:lastRenderedPageBreak/>
        <w:t xml:space="preserve">Quanto a esses agentes, não procedem a invocação da amplitude do processo decisório da Dersa nem as alegações de participação meramente formal, ausência de poder decisório e distância funcional em relação à matéria. As aprovações por eles subscritas serviram de suporte técnico à deliberação posterior e tinham conteúdo diretamente relacionado à validade da recomposição. Quem endossa análise dessa natureza assume o dever de verificar a consistência mínima das premissas que submete às instâncias decisórias. </w:t>
      </w:r>
    </w:p>
    <w:p w14:paraId="16DDC30E" w14:textId="77777777" w:rsidR="00A46262" w:rsidRPr="002A725C" w:rsidRDefault="00A46262" w:rsidP="00A46262">
      <w:pPr>
        <w:spacing w:before="160"/>
        <w:ind w:firstLine="1134"/>
        <w:jc w:val="both"/>
        <w:rPr>
          <w:szCs w:val="24"/>
        </w:rPr>
      </w:pPr>
      <w:r w:rsidRPr="002A725C">
        <w:rPr>
          <w:szCs w:val="24"/>
        </w:rPr>
        <w:t>Tampouco lhes socorre a invocação do art. 28 da Lei de Introdução às Normas do Direito Brasileiro (LINDB) e a alegação de ausência de prova de culpa. A aprovação de metodologia que contraria critérios disciplinados no edital e em jurisprudência consolidada desta Corte, em matéria diretamente compreendida no espectro de atribuições funcionais dos agentes, configura erro grosseiro para os fins do dispositivo legal e basta para caracterizar a culpa exigida pela responsabilização nesta Corte. Não se trata de divergência razoável de interpretação técnica, mas de adoção de premissas incompatíveis com os critérios do edital, com a estrutura do BDI contratual e com a jurisprudência consolidada desta Corte.</w:t>
      </w:r>
    </w:p>
    <w:p w14:paraId="54909D91" w14:textId="77777777" w:rsidR="00A46262" w:rsidRPr="002A725C" w:rsidRDefault="00A46262" w:rsidP="00A46262">
      <w:pPr>
        <w:spacing w:before="160"/>
        <w:ind w:firstLine="1134"/>
        <w:jc w:val="both"/>
        <w:rPr>
          <w:szCs w:val="24"/>
        </w:rPr>
      </w:pPr>
      <w:r w:rsidRPr="002A725C">
        <w:rPr>
          <w:szCs w:val="24"/>
        </w:rPr>
        <w:t>Rejeito, portanto, as alegações de defesa de Carlos Satoru Miyasato, João Carlos de Lima Pereira, Wild Gonçalves Fischer, Pedro Paulo Dantas do Amaral Campos e Pedro da Silva quanto à inadequação metodológica.</w:t>
      </w:r>
    </w:p>
    <w:p w14:paraId="4AF9A754" w14:textId="77777777" w:rsidR="00A46262" w:rsidRPr="002A725C" w:rsidRDefault="00A46262" w:rsidP="00A46262">
      <w:pPr>
        <w:spacing w:before="160"/>
        <w:ind w:firstLine="1134"/>
        <w:jc w:val="both"/>
        <w:rPr>
          <w:szCs w:val="24"/>
        </w:rPr>
      </w:pPr>
      <w:r w:rsidRPr="002A725C">
        <w:rPr>
          <w:szCs w:val="24"/>
        </w:rPr>
        <w:t xml:space="preserve">O argumento da Construtora </w:t>
      </w:r>
      <w:r>
        <w:rPr>
          <w:szCs w:val="24"/>
        </w:rPr>
        <w:t>Coesa</w:t>
      </w:r>
      <w:r w:rsidRPr="002A725C">
        <w:rPr>
          <w:szCs w:val="24"/>
        </w:rPr>
        <w:t xml:space="preserve"> S.A., de que a aprovação do reequilíbrio se apoiou em pareceres técnicos e jurídicos aprovados em várias instâncias da Administração, não a desonera do débito. A OAS recebeu valores indevidos, e a vedação ao enriquecimento sem causa impõe o dever de recomposição independentemente da verificação de culpa.</w:t>
      </w:r>
    </w:p>
    <w:p w14:paraId="669531AE" w14:textId="77777777" w:rsidR="00A46262" w:rsidRPr="002A725C" w:rsidRDefault="00A46262" w:rsidP="00A46262">
      <w:pPr>
        <w:spacing w:before="160"/>
        <w:ind w:firstLine="1134"/>
        <w:jc w:val="both"/>
        <w:rPr>
          <w:szCs w:val="24"/>
        </w:rPr>
      </w:pPr>
      <w:r w:rsidRPr="002A725C">
        <w:rPr>
          <w:szCs w:val="24"/>
        </w:rPr>
        <w:t>A OAS não foi mera beneficiária passiva da metodologia adotada pela Dersa. O pleito de reequilíbrio partiu da contratada. Além disso, a OAS conhecia integralmente sua proposta original, a planilha contratual e a estrutura do BDI. Por isso, não podia ignorar que a recomposição postulada alcançava componentes já remunerados por itens específicos ou obrigações assumidas sem ônus para a contratante, conduta incompatível com a boa-fé objetiva exigível de quem contrata com a Administração. A circunstância de o pleito haver sido formalizado mediante metodologia desenvolvida em parecer contratado pela Dersa não afasta a responsabilidade da contratada quanto ao conteúdo daquilo que reivindicou.</w:t>
      </w:r>
    </w:p>
    <w:p w14:paraId="049FDD32" w14:textId="77777777" w:rsidR="00A46262" w:rsidRPr="002A725C" w:rsidRDefault="00A46262" w:rsidP="00A46262">
      <w:pPr>
        <w:spacing w:before="160"/>
        <w:ind w:firstLine="1134"/>
        <w:jc w:val="both"/>
        <w:rPr>
          <w:szCs w:val="24"/>
        </w:rPr>
      </w:pPr>
      <w:r w:rsidRPr="002A725C">
        <w:rPr>
          <w:szCs w:val="24"/>
        </w:rPr>
        <w:t xml:space="preserve">O valor do débito decorrente da inadequação metodológica alcança R$ 66.135.240,02, atualizado até 19/2/2024. Condeno Carlos Satoru Miyasato, João Carlos de Lima Pereira, Wild Gonçalves Fischer, Pedro da Silva, Pedro Paulo Dantas do Amaral Campos e Construtora </w:t>
      </w:r>
      <w:r>
        <w:rPr>
          <w:szCs w:val="24"/>
        </w:rPr>
        <w:t>Coesa</w:t>
      </w:r>
      <w:r w:rsidRPr="002A725C">
        <w:rPr>
          <w:szCs w:val="24"/>
        </w:rPr>
        <w:t xml:space="preserve"> S.A., solidariamente, ao pagamento desse valor. Aplico-lhes, ainda, a multa prevista no art. 57 da Lei 8.443/1992.</w:t>
      </w:r>
    </w:p>
    <w:p w14:paraId="03F579BF" w14:textId="77777777" w:rsidR="00A46262" w:rsidRPr="002A725C" w:rsidRDefault="00A46262" w:rsidP="00A46262">
      <w:pPr>
        <w:spacing w:before="160"/>
        <w:ind w:firstLine="1134"/>
        <w:jc w:val="both"/>
        <w:rPr>
          <w:szCs w:val="24"/>
        </w:rPr>
      </w:pPr>
      <w:r w:rsidRPr="002A725C">
        <w:rPr>
          <w:szCs w:val="24"/>
        </w:rPr>
        <w:t>Na dosimetria, considero mais grave a conduta de Pedro da Silva: como Diretor de Engenharia, era o agente com maior domínio técnico sobre a matéria e responsabilidade direta pela área. A quantidade de atos praticados será considerada, como critério auxiliar, na graduação da multa de cada responsável.</w:t>
      </w:r>
      <w:r w:rsidRPr="002A725C">
        <w:t xml:space="preserve"> </w:t>
      </w:r>
      <w:r w:rsidRPr="002A725C">
        <w:rPr>
          <w:szCs w:val="24"/>
        </w:rPr>
        <w:t xml:space="preserve">Em relação à </w:t>
      </w:r>
      <w:r>
        <w:rPr>
          <w:szCs w:val="24"/>
        </w:rPr>
        <w:t>Coesa</w:t>
      </w:r>
      <w:r w:rsidRPr="002A725C">
        <w:rPr>
          <w:szCs w:val="24"/>
        </w:rPr>
        <w:t xml:space="preserve">, fixo percentual mais elevado em razão do benefício econômico direto e da participação ativa </w:t>
      </w:r>
      <w:r>
        <w:rPr>
          <w:szCs w:val="24"/>
        </w:rPr>
        <w:t xml:space="preserve">da OAS </w:t>
      </w:r>
      <w:r w:rsidRPr="002A725C">
        <w:rPr>
          <w:szCs w:val="24"/>
        </w:rPr>
        <w:t>na formulação do pleito que deu causa ao pagamento indevido.</w:t>
      </w:r>
    </w:p>
    <w:p w14:paraId="7B4C38CC" w14:textId="77777777" w:rsidR="00A46262" w:rsidRPr="002A725C" w:rsidRDefault="00A46262" w:rsidP="00A46262">
      <w:pPr>
        <w:spacing w:before="160"/>
        <w:ind w:firstLine="1134"/>
        <w:jc w:val="both"/>
        <w:rPr>
          <w:szCs w:val="24"/>
        </w:rPr>
      </w:pPr>
      <w:r w:rsidRPr="002A725C">
        <w:rPr>
          <w:szCs w:val="24"/>
        </w:rPr>
        <w:t xml:space="preserve">Quanto ao vício da </w:t>
      </w:r>
      <w:r w:rsidRPr="002A725C">
        <w:rPr>
          <w:b/>
          <w:bCs/>
          <w:szCs w:val="24"/>
        </w:rPr>
        <w:t>duplicidade</w:t>
      </w:r>
      <w:r w:rsidRPr="002A725C">
        <w:rPr>
          <w:szCs w:val="24"/>
        </w:rPr>
        <w:t>, oportuno registrar</w:t>
      </w:r>
      <w:r>
        <w:rPr>
          <w:szCs w:val="24"/>
        </w:rPr>
        <w:t>,</w:t>
      </w:r>
      <w:r w:rsidRPr="002A725C">
        <w:rPr>
          <w:szCs w:val="24"/>
        </w:rPr>
        <w:t xml:space="preserve"> desde logo</w:t>
      </w:r>
      <w:r>
        <w:rPr>
          <w:szCs w:val="24"/>
        </w:rPr>
        <w:t>,</w:t>
      </w:r>
      <w:r w:rsidRPr="002A725C">
        <w:rPr>
          <w:szCs w:val="24"/>
        </w:rPr>
        <w:t xml:space="preserve"> que, diversamente da inadequação metodológica, a irregularidade não está contida nos </w:t>
      </w:r>
      <w:r w:rsidRPr="002A725C">
        <w:rPr>
          <w:szCs w:val="24"/>
        </w:rPr>
        <w:lastRenderedPageBreak/>
        <w:t>critérios de cálculo adotados, mas na composição do 10º TAM. O aditivo acolheu o PCP-108, relativo ao reequilíbrio do prazo complementar, que já considerava Administração Local e mobilização e desmobilização de equipamentos desse período. O aditivo, contudo, acolheu separadamente os PCPs 106 e 107, que também remuneram esses dois componentes. Esses custos foram, assim, pagos duas vezes no aditivo, em atendimento a pedidos distintos. Por isso, ainda que se admitisse, apenas por hipótese, a validade da metodologia do PCP-108, o acolhimento cumulativo dos PCPs 106 e 107 permaneceria indevido.</w:t>
      </w:r>
    </w:p>
    <w:p w14:paraId="362BF4F4" w14:textId="77777777" w:rsidR="00A46262" w:rsidRPr="002A725C" w:rsidRDefault="00A46262" w:rsidP="00A46262">
      <w:pPr>
        <w:spacing w:before="160"/>
        <w:ind w:firstLine="1134"/>
        <w:jc w:val="both"/>
        <w:rPr>
          <w:szCs w:val="24"/>
        </w:rPr>
      </w:pPr>
      <w:r w:rsidRPr="002A725C">
        <w:rPr>
          <w:szCs w:val="24"/>
        </w:rPr>
        <w:t>Pedro Paulo Dantas do Amaral Campos e Pedro da Silva subscreveram a PRD 74/2017, endossando o acolhimento cumulativo dos PCPs 106 e 107 com o PCP-108, no 10º TAM, sem que os documentos de suporte apresentassem justificativa técnica para o pagamento simultâneo desses componentes. A Construtora OAS S.A. recebeu os valores pagos em duplicidade.</w:t>
      </w:r>
    </w:p>
    <w:p w14:paraId="4F60FE72" w14:textId="77777777" w:rsidR="00A46262" w:rsidRPr="002A725C" w:rsidRDefault="00A46262" w:rsidP="00A46262">
      <w:pPr>
        <w:spacing w:before="160"/>
        <w:ind w:firstLine="1134"/>
        <w:jc w:val="both"/>
        <w:rPr>
          <w:szCs w:val="24"/>
        </w:rPr>
      </w:pPr>
      <w:bookmarkStart w:id="4" w:name="_Hlk229491326"/>
      <w:r w:rsidRPr="002A725C">
        <w:rPr>
          <w:szCs w:val="24"/>
        </w:rPr>
        <w:t>Das alegações de defesa relativas à ocorrência de pagamento em duplicidade no 10º TAM, não constam argumentos capazes de infirmar a irregularidade. Como registrado pela AudTCE, nenhum dos documentos que embasaram a aprovação da PRD 74/2017 fornecia justificativa técnica para o pagamento cumulativo dos PCPs 106 e 107 com o PCP-108. A eventual adequação do percentual global do BDI a parâmetros referenciais não afasta essa sobreposição. Rejeito as alegações de defesa de Pedro Paulo Dantas do Amaral Campos e Pedro da Silva quanto à duplicidade.</w:t>
      </w:r>
    </w:p>
    <w:bookmarkEnd w:id="4"/>
    <w:p w14:paraId="570E3208" w14:textId="77777777" w:rsidR="00A46262" w:rsidRPr="002A725C" w:rsidRDefault="00A46262" w:rsidP="00A46262">
      <w:pPr>
        <w:spacing w:before="160"/>
        <w:ind w:firstLine="1134"/>
        <w:jc w:val="both"/>
        <w:rPr>
          <w:szCs w:val="24"/>
        </w:rPr>
      </w:pPr>
      <w:r w:rsidRPr="002A725C">
        <w:rPr>
          <w:szCs w:val="24"/>
        </w:rPr>
        <w:t xml:space="preserve">Quanto à </w:t>
      </w:r>
      <w:r>
        <w:rPr>
          <w:szCs w:val="24"/>
        </w:rPr>
        <w:t>Coesa</w:t>
      </w:r>
      <w:r w:rsidRPr="002A725C">
        <w:rPr>
          <w:szCs w:val="24"/>
        </w:rPr>
        <w:t xml:space="preserve">, </w:t>
      </w:r>
      <w:r>
        <w:rPr>
          <w:szCs w:val="24"/>
        </w:rPr>
        <w:t>a</w:t>
      </w:r>
      <w:r w:rsidRPr="002A725C">
        <w:rPr>
          <w:szCs w:val="24"/>
        </w:rPr>
        <w:t xml:space="preserve"> duplicidade decorria da remuneração adicional, pelos PCPs 106 e 107, de componentes já incorporados ao cálculo do PCP-108. A contratada foi diretamente beneficiada pela sobreposição, da qual não podia razoavelmente alegar desconhecimento, e recebeu pagamentos pelos três itens. Rejeito, portanto, suas alegações de defesa quanto à duplicidade, tanto no que toca à imputação do débito quanto à aplicação da multa.</w:t>
      </w:r>
    </w:p>
    <w:p w14:paraId="56A235D8" w14:textId="77777777" w:rsidR="00A46262" w:rsidRPr="002A725C" w:rsidRDefault="00A46262" w:rsidP="00A46262">
      <w:pPr>
        <w:spacing w:before="160"/>
        <w:ind w:firstLine="1134"/>
        <w:jc w:val="both"/>
        <w:rPr>
          <w:szCs w:val="24"/>
        </w:rPr>
      </w:pPr>
      <w:r w:rsidRPr="002A725C">
        <w:rPr>
          <w:szCs w:val="24"/>
        </w:rPr>
        <w:t xml:space="preserve">O valor do débito decorrente da duplicidade alcança R$ 21.142.645,57, atualizado até 19/2/2024. Condeno Pedro da Silva, Pedro Paulo Dantas do Amaral Campos e Construtora </w:t>
      </w:r>
      <w:r>
        <w:rPr>
          <w:szCs w:val="24"/>
        </w:rPr>
        <w:t>Coesa</w:t>
      </w:r>
      <w:r w:rsidRPr="002A725C">
        <w:rPr>
          <w:szCs w:val="24"/>
        </w:rPr>
        <w:t xml:space="preserve"> S.A., solidariamente, ao pagamento desse valor. Aplico-lhes, ainda, a multa prevista no art. 57 da Lei 8.443/1992.</w:t>
      </w:r>
    </w:p>
    <w:p w14:paraId="27F8909D" w14:textId="77777777" w:rsidR="00A46262" w:rsidRPr="002A725C" w:rsidRDefault="00A46262" w:rsidP="00A46262">
      <w:pPr>
        <w:spacing w:before="160"/>
        <w:ind w:firstLine="1134"/>
        <w:jc w:val="both"/>
        <w:rPr>
          <w:szCs w:val="24"/>
        </w:rPr>
      </w:pPr>
      <w:r w:rsidRPr="002A725C">
        <w:rPr>
          <w:szCs w:val="24"/>
        </w:rPr>
        <w:t>Na dosimetria, considero grave a conduta de Pedro Paulo Dantas do Amaral Campos e Pedro da Silva: subscreveram a PRD 74/2017.</w:t>
      </w:r>
      <w:r w:rsidRPr="002A725C">
        <w:t xml:space="preserve"> </w:t>
      </w:r>
      <w:r w:rsidRPr="002A725C">
        <w:rPr>
          <w:szCs w:val="24"/>
        </w:rPr>
        <w:t xml:space="preserve">Em relação à </w:t>
      </w:r>
      <w:r>
        <w:rPr>
          <w:szCs w:val="24"/>
        </w:rPr>
        <w:t>Coesa</w:t>
      </w:r>
      <w:r w:rsidRPr="002A725C">
        <w:rPr>
          <w:szCs w:val="24"/>
        </w:rPr>
        <w:t>, fixo percentual mais elevado em razão do benefício econômico direto e do fato de não poder ignorar a sobreposição entre os itens que compunham os três PCPs.</w:t>
      </w:r>
    </w:p>
    <w:bookmarkEnd w:id="2"/>
    <w:p w14:paraId="05D09528" w14:textId="77777777" w:rsidR="00A46262" w:rsidRPr="002A725C" w:rsidRDefault="00A46262" w:rsidP="00A46262">
      <w:pPr>
        <w:spacing w:before="160"/>
        <w:jc w:val="center"/>
        <w:rPr>
          <w:szCs w:val="24"/>
        </w:rPr>
      </w:pPr>
      <w:r w:rsidRPr="002A725C">
        <w:rPr>
          <w:szCs w:val="24"/>
        </w:rPr>
        <w:t>VII</w:t>
      </w:r>
    </w:p>
    <w:p w14:paraId="2DF6C2E6" w14:textId="77777777" w:rsidR="00A46262" w:rsidRPr="002A725C" w:rsidRDefault="00A46262" w:rsidP="00A46262">
      <w:pPr>
        <w:spacing w:before="160"/>
        <w:ind w:firstLine="1134"/>
        <w:jc w:val="both"/>
        <w:rPr>
          <w:szCs w:val="24"/>
        </w:rPr>
      </w:pPr>
      <w:r w:rsidRPr="002A725C">
        <w:rPr>
          <w:szCs w:val="24"/>
        </w:rPr>
        <w:t xml:space="preserve">Em 2012, no âmbito do TC 006.168/2012-4, o TCU alertou a Dersa sobre a necessidade de ensaios técnicos antes de descartar o </w:t>
      </w:r>
      <w:r w:rsidRPr="002A725C">
        <w:rPr>
          <w:b/>
          <w:bCs/>
          <w:szCs w:val="24"/>
        </w:rPr>
        <w:t>material escavado</w:t>
      </w:r>
      <w:r w:rsidRPr="002A725C">
        <w:rPr>
          <w:szCs w:val="24"/>
        </w:rPr>
        <w:t>. O Diretor-Presidente respondeu que os materiais já eram submetidos aos devidos ensaios. Instada a apresentá-los nesta TCE, a Dersa informou que não os localizou.</w:t>
      </w:r>
    </w:p>
    <w:p w14:paraId="6E9FC133" w14:textId="77777777" w:rsidR="00A46262" w:rsidRPr="002A725C" w:rsidRDefault="00A46262" w:rsidP="00A46262">
      <w:pPr>
        <w:spacing w:before="160"/>
        <w:ind w:firstLine="1134"/>
        <w:jc w:val="both"/>
        <w:rPr>
          <w:szCs w:val="24"/>
        </w:rPr>
      </w:pPr>
      <w:r w:rsidRPr="002A725C">
        <w:rPr>
          <w:szCs w:val="24"/>
        </w:rPr>
        <w:t>A própria Dersa reconheceu, no relatório de gestão contratual que produziu (peça 446), a indevida utilização de brita comercial quando havia material pétreo escavado disponível na obra. Com base nesse documento e nas medições contratuais, a unidade técnica apurou dano totalizando R$ 22.395.104,23, atualizado até 19/2/2024</w:t>
      </w:r>
      <w:r>
        <w:rPr>
          <w:szCs w:val="24"/>
        </w:rPr>
        <w:t>,</w:t>
      </w:r>
      <w:r w:rsidRPr="002A725C">
        <w:rPr>
          <w:szCs w:val="24"/>
        </w:rPr>
        <w:t xml:space="preserve"> correspondente ao custo da brita comercial adquirida em substituição ao material escavado disponível (peça 311).</w:t>
      </w:r>
    </w:p>
    <w:p w14:paraId="01C3C4F5" w14:textId="77777777" w:rsidR="00A46262" w:rsidRPr="002A725C" w:rsidRDefault="00A46262" w:rsidP="00A46262">
      <w:pPr>
        <w:spacing w:before="160"/>
        <w:ind w:firstLine="1134"/>
        <w:jc w:val="both"/>
        <w:rPr>
          <w:szCs w:val="24"/>
        </w:rPr>
      </w:pPr>
      <w:r w:rsidRPr="002A725C">
        <w:rPr>
          <w:szCs w:val="24"/>
        </w:rPr>
        <w:lastRenderedPageBreak/>
        <w:t>Os fatores operacionais invocados pelos defendentes para justificar o uso de brita comercial – demanda por material britado antes do início da produção em canteiro, atrasos nas liberações de frente, alegada qualidade inadequada do material, restrições de vizinhança, proibição de operação do britador no período noturno e complexidade logística da produção em canteiro – poderiam, quando muito, explicar episódios pontuais, mas não o padrão sistemático documentado nas medições examinadas.</w:t>
      </w:r>
    </w:p>
    <w:p w14:paraId="4E678F32" w14:textId="77777777" w:rsidR="00A46262" w:rsidRPr="002A725C" w:rsidRDefault="00A46262" w:rsidP="00A46262">
      <w:pPr>
        <w:spacing w:before="160"/>
        <w:ind w:firstLine="1134"/>
        <w:jc w:val="both"/>
        <w:rPr>
          <w:szCs w:val="24"/>
        </w:rPr>
      </w:pPr>
      <w:r w:rsidRPr="002A725C">
        <w:rPr>
          <w:szCs w:val="24"/>
        </w:rPr>
        <w:t>O contrato condicionava o descarte do material escavado à comprovação técnica de sua imprestabilidade, mediante ensaios de caracterização. À contratada cabia produzi-los; à fiscalização e às instâncias técnicas da Dersa, exigi-los antes de autorizar o descarte ou aprovar o uso de brita comercial. Não se está a exigir que os responsáveis produzam</w:t>
      </w:r>
      <w:r>
        <w:rPr>
          <w:szCs w:val="24"/>
        </w:rPr>
        <w:t>,</w:t>
      </w:r>
      <w:r w:rsidRPr="002A725C">
        <w:rPr>
          <w:szCs w:val="24"/>
        </w:rPr>
        <w:t xml:space="preserve"> hoje</w:t>
      </w:r>
      <w:r>
        <w:rPr>
          <w:szCs w:val="24"/>
        </w:rPr>
        <w:t>,</w:t>
      </w:r>
      <w:r w:rsidRPr="002A725C">
        <w:rPr>
          <w:szCs w:val="24"/>
        </w:rPr>
        <w:t xml:space="preserve"> ensaios sobre material </w:t>
      </w:r>
      <w:r>
        <w:rPr>
          <w:szCs w:val="24"/>
        </w:rPr>
        <w:t>escavado</w:t>
      </w:r>
      <w:r w:rsidRPr="002A725C">
        <w:rPr>
          <w:szCs w:val="24"/>
        </w:rPr>
        <w:t xml:space="preserve"> há anos</w:t>
      </w:r>
      <w:r>
        <w:rPr>
          <w:szCs w:val="24"/>
        </w:rPr>
        <w:t xml:space="preserve">, mas que </w:t>
      </w:r>
      <w:r>
        <w:t xml:space="preserve">a substituição do material escavado por brita comercial só tivesse ocorrido </w:t>
      </w:r>
      <w:r>
        <w:rPr>
          <w:szCs w:val="24"/>
        </w:rPr>
        <w:t>se houvesse ensaios comprovando sua imprestabilidade</w:t>
      </w:r>
      <w:r w:rsidRPr="002078EE">
        <w:rPr>
          <w:szCs w:val="24"/>
        </w:rPr>
        <w:t xml:space="preserve">. </w:t>
      </w:r>
      <w:r>
        <w:rPr>
          <w:szCs w:val="24"/>
        </w:rPr>
        <w:t>A</w:t>
      </w:r>
      <w:r w:rsidRPr="002078EE">
        <w:rPr>
          <w:szCs w:val="24"/>
        </w:rPr>
        <w:t xml:space="preserve"> ausência</w:t>
      </w:r>
      <w:r>
        <w:rPr>
          <w:szCs w:val="24"/>
        </w:rPr>
        <w:t xml:space="preserve"> dos ensaios</w:t>
      </w:r>
      <w:r w:rsidRPr="002078EE">
        <w:rPr>
          <w:szCs w:val="24"/>
        </w:rPr>
        <w:t xml:space="preserve">, portanto, não é lacuna probatória favorável à defesa: é a própria razão pela qual </w:t>
      </w:r>
      <w:r>
        <w:rPr>
          <w:szCs w:val="24"/>
        </w:rPr>
        <w:t xml:space="preserve">sua </w:t>
      </w:r>
      <w:r w:rsidRPr="002078EE">
        <w:rPr>
          <w:szCs w:val="24"/>
        </w:rPr>
        <w:t>substituição por brita comercial não se justifica</w:t>
      </w:r>
      <w:r w:rsidRPr="002A725C">
        <w:rPr>
          <w:szCs w:val="24"/>
        </w:rPr>
        <w:t>.</w:t>
      </w:r>
    </w:p>
    <w:p w14:paraId="75ED40BD" w14:textId="77777777" w:rsidR="00A46262" w:rsidRPr="002A725C" w:rsidRDefault="00A46262" w:rsidP="00A46262">
      <w:pPr>
        <w:spacing w:before="160"/>
        <w:ind w:firstLine="1134"/>
        <w:jc w:val="both"/>
        <w:rPr>
          <w:szCs w:val="24"/>
        </w:rPr>
      </w:pPr>
      <w:r w:rsidRPr="002A725C">
        <w:rPr>
          <w:szCs w:val="24"/>
        </w:rPr>
        <w:t>Como fiscal do contrato, incumbia a Benedito Aparecido Trida atestar a execução dos serviços e condicionar a autorização de descarte à comprovação técnica exigida pelo contrato. Ao deixar de fazê-lo ao longo de dezenas de medições, incorreu em omissão que o vincula ao dano apurado. Rejeito sua defesa.</w:t>
      </w:r>
    </w:p>
    <w:p w14:paraId="29D97FC2" w14:textId="77777777" w:rsidR="00A46262" w:rsidRPr="002A725C" w:rsidRDefault="00A46262" w:rsidP="00A46262">
      <w:pPr>
        <w:spacing w:before="160"/>
        <w:ind w:firstLine="1134"/>
        <w:jc w:val="both"/>
        <w:rPr>
          <w:szCs w:val="24"/>
        </w:rPr>
      </w:pPr>
      <w:r w:rsidRPr="002A725C">
        <w:rPr>
          <w:szCs w:val="24"/>
        </w:rPr>
        <w:t>Rejeito</w:t>
      </w:r>
      <w:r>
        <w:rPr>
          <w:szCs w:val="24"/>
        </w:rPr>
        <w:t>,</w:t>
      </w:r>
      <w:r w:rsidRPr="002A725C">
        <w:rPr>
          <w:szCs w:val="24"/>
        </w:rPr>
        <w:t xml:space="preserve"> igualmente</w:t>
      </w:r>
      <w:r>
        <w:rPr>
          <w:szCs w:val="24"/>
        </w:rPr>
        <w:t>,</w:t>
      </w:r>
      <w:r w:rsidRPr="002A725C">
        <w:rPr>
          <w:szCs w:val="24"/>
        </w:rPr>
        <w:t xml:space="preserve"> as defesas de Pedro da Silva e Pedro Paulo Dantas do Amaral. Não se sustenta o argumento de que as atribuições como Diretor de Engenharia se restringiriam à conferência das medições encaminhadas pela fiscalização. Pedro da Silva era o dirigente da área técnica responsável por assegurar que a decisão de substituir material escavado por brita comercial estivesse amparada nos ensaios exigidos pelo contrato, sobretudo após o alerta do TCU em 2012. </w:t>
      </w:r>
    </w:p>
    <w:p w14:paraId="1806FAF0" w14:textId="77777777" w:rsidR="00A46262" w:rsidRPr="002A725C" w:rsidRDefault="00A46262" w:rsidP="00A46262">
      <w:pPr>
        <w:spacing w:before="160"/>
        <w:ind w:firstLine="1134"/>
        <w:jc w:val="both"/>
        <w:rPr>
          <w:szCs w:val="24"/>
        </w:rPr>
      </w:pPr>
      <w:r w:rsidRPr="002A725C">
        <w:rPr>
          <w:szCs w:val="24"/>
        </w:rPr>
        <w:t>Como gestor do empreendimento a partir de 10/9/2015, Pedro Paulo tinha o dever de exigir da fiscalização a comprovação técnica da imprestabilidade do material escavado antes de admitir, nas etapas sob sua gestão, a continuidade do descarte e da aquisição de material comercial. Restrinjo sua responsabilidade ao período posterior à assunção da gestão do empreendimento, não alcançando as medições 6 a 31.</w:t>
      </w:r>
    </w:p>
    <w:p w14:paraId="5ED58B46" w14:textId="77777777" w:rsidR="00A46262" w:rsidRPr="002A725C" w:rsidRDefault="00A46262" w:rsidP="00A46262">
      <w:pPr>
        <w:spacing w:before="160"/>
        <w:ind w:firstLine="1134"/>
        <w:jc w:val="both"/>
        <w:rPr>
          <w:szCs w:val="24"/>
        </w:rPr>
      </w:pPr>
      <w:r w:rsidRPr="002A725C">
        <w:rPr>
          <w:szCs w:val="24"/>
        </w:rPr>
        <w:t>Rejeito também a defesa de Laurence Casagrande Lourenço. Tendo respondido pessoalmente à oitiva do TCU em 2012, afirmando que os ensaios já eram realizados, não pode alegar desconhecimento do alerta do Tribunal nem da afirmação que ele fez em nome da Dersa. Sua omissão posterior em verificar e cobrar das áreas competentes a efetiva realização dos ensaios concorreu para o dano.</w:t>
      </w:r>
      <w:r w:rsidRPr="002A725C">
        <w:t xml:space="preserve"> </w:t>
      </w:r>
      <w:r w:rsidRPr="002A725C">
        <w:rPr>
          <w:szCs w:val="24"/>
        </w:rPr>
        <w:t>A alegação de que houve mudanças no critério de medição da escavação ao longo do contrato também não o beneficia: independentemente dessas alterações, a obrigação de comprovar tecnicamente a imprestabilidade do material antes de descartá-lo permaneceu inalterada durante toda a execução contratual.</w:t>
      </w:r>
    </w:p>
    <w:p w14:paraId="414CDE36" w14:textId="77777777" w:rsidR="00A46262" w:rsidRPr="002A725C" w:rsidRDefault="00A46262" w:rsidP="00A46262">
      <w:pPr>
        <w:spacing w:before="160"/>
        <w:ind w:firstLine="1134"/>
        <w:jc w:val="both"/>
        <w:rPr>
          <w:szCs w:val="24"/>
        </w:rPr>
      </w:pPr>
      <w:r w:rsidRPr="002A725C">
        <w:rPr>
          <w:szCs w:val="24"/>
        </w:rPr>
        <w:t>Acolho as razões de José Arnaldo Almeida dos Santos, do espólio de Estanislau Marcka, de Carlos Satoru Miyasato e de Emílio Urbano Squarcina. A conduta atribuída a esses responsáveis estava vinculada à conferência, ao processamento ou ao atesto das medições encaminhadas pela fiscalização, e não à decisão técnica de descartar material escavado sem ensaio de caracterização. O não reaproveitamento do material pétreo não se manifestava nos boletins de medição como item autônomo passível de verificação formal</w:t>
      </w:r>
      <w:r>
        <w:rPr>
          <w:szCs w:val="24"/>
        </w:rPr>
        <w:t xml:space="preserve">, </w:t>
      </w:r>
      <w:r>
        <w:t>razão pela qual não vislumbro omissão sancionável na conduta desses quatro responsáveis</w:t>
      </w:r>
      <w:r w:rsidRPr="002A725C">
        <w:rPr>
          <w:szCs w:val="24"/>
        </w:rPr>
        <w:t>.</w:t>
      </w:r>
    </w:p>
    <w:p w14:paraId="3CF59908" w14:textId="77777777" w:rsidR="00A46262" w:rsidRDefault="00A46262" w:rsidP="00A46262">
      <w:pPr>
        <w:spacing w:before="160"/>
        <w:ind w:firstLine="1134"/>
        <w:jc w:val="both"/>
        <w:rPr>
          <w:szCs w:val="24"/>
        </w:rPr>
      </w:pPr>
      <w:r w:rsidRPr="002A725C">
        <w:rPr>
          <w:szCs w:val="24"/>
        </w:rPr>
        <w:lastRenderedPageBreak/>
        <w:t xml:space="preserve">Rejeito as alegações de defesa da Construtora </w:t>
      </w:r>
      <w:r>
        <w:rPr>
          <w:szCs w:val="24"/>
        </w:rPr>
        <w:t>Coesa</w:t>
      </w:r>
      <w:r w:rsidRPr="002A725C">
        <w:rPr>
          <w:szCs w:val="24"/>
        </w:rPr>
        <w:t xml:space="preserve"> S.A. O edital previa o reaproveitamento do material pétreo oriundo das escavações, e o contrato condicionava decisões de descarte à comprovação técnica da imprestabilidade do material, mediante ensaios de caracterização. A OAS assumiu essa obrigação em contrato, e a omissão da Dersa em exigi-las não a exime de cumpri-la. </w:t>
      </w:r>
    </w:p>
    <w:p w14:paraId="34FC9276" w14:textId="77777777" w:rsidR="00A46262" w:rsidRPr="002A725C" w:rsidRDefault="00A46262" w:rsidP="00A46262">
      <w:pPr>
        <w:spacing w:before="160"/>
        <w:ind w:firstLine="1134"/>
        <w:jc w:val="both"/>
        <w:rPr>
          <w:szCs w:val="24"/>
        </w:rPr>
      </w:pPr>
      <w:r w:rsidRPr="002A725C">
        <w:rPr>
          <w:szCs w:val="24"/>
        </w:rPr>
        <w:t xml:space="preserve">O argumento de que utilizou 170.000 m³ de agregados oriundos da própria obra, em volume superior ao previsto, não afasta a irregularidade: a obrigação de reaproveitar o material escavado incidia sobre tudo que fosse tecnicamente viável, e o descarte do restante dependia de comprovação técnica, que não foi produzida. A alegação de que o material resultante da escavação de matacões, por ser misturado ao solo, era imprestável para britagem e reuso também não socorre a empresa: a suposta imprestabilidade do material, qualquer que fosse sua causa, exigia comprovação técnica mediante ensaios de caracterização, que não foram produzidos. A afirmação de que ensaios de índice de forma teriam apontado a inadequação do material para determinados serviços não foge a essa lógica: os supostos ensaios não foram juntados aos autos. A alegação de que as mudanças no critério de medição da escavação de matacões subestimaram o percentual de aproveitamento tampouco prospera: o débito não foi apurado a partir de percentuais de aproveitamento, mas do custo da brita comercial adquirida quando havia material escavado disponível, com base no relatório de gestão da própria Dersa e nas medições contratuais. A alegação de que o contrato foi interrompido pela Dersa antes de sua conclusão, deixando material pétreo, bruto e já britado, ainda por aplicar, também não elide o dano apurado, que se refere ao período abrangido pelas medições e não está condicionado ao destino do material remanescente. </w:t>
      </w:r>
    </w:p>
    <w:p w14:paraId="588B8871" w14:textId="77777777" w:rsidR="00A46262" w:rsidRPr="002A725C" w:rsidRDefault="00A46262" w:rsidP="00A46262">
      <w:pPr>
        <w:spacing w:before="160"/>
        <w:ind w:firstLine="1134"/>
        <w:jc w:val="both"/>
        <w:rPr>
          <w:szCs w:val="24"/>
        </w:rPr>
      </w:pPr>
      <w:r w:rsidRPr="002A725C">
        <w:rPr>
          <w:szCs w:val="24"/>
        </w:rPr>
        <w:t xml:space="preserve">Condeno Benedito Aparecido Trida, Pedro da Silva, Laurence Casagrande Lourenço e Construtora </w:t>
      </w:r>
      <w:r>
        <w:rPr>
          <w:szCs w:val="24"/>
        </w:rPr>
        <w:t>Coesa</w:t>
      </w:r>
      <w:r w:rsidRPr="002A725C">
        <w:rPr>
          <w:szCs w:val="24"/>
        </w:rPr>
        <w:t xml:space="preserve"> S.A., solidariamente, ao débito relativo às medições 6 a 31, no valor de R$</w:t>
      </w:r>
      <w:r>
        <w:rPr>
          <w:szCs w:val="24"/>
        </w:rPr>
        <w:t> </w:t>
      </w:r>
      <w:r w:rsidRPr="002A725C">
        <w:rPr>
          <w:szCs w:val="24"/>
        </w:rPr>
        <w:t xml:space="preserve">17.995.072,82; Benedito Aparecido Trida, Pedro Paulo Dantas do Amaral Campos, Pedro da Silva, Laurence Casagrande Lourenço e Construtora </w:t>
      </w:r>
      <w:r>
        <w:rPr>
          <w:szCs w:val="24"/>
        </w:rPr>
        <w:t>Coesa</w:t>
      </w:r>
      <w:r w:rsidRPr="002A725C">
        <w:rPr>
          <w:szCs w:val="24"/>
        </w:rPr>
        <w:t xml:space="preserve"> S.A., solidariamente, ao débito relativo às medições 49A a 61, no valor de R$ 2.298.839,89; e Benedito Aparecido Trida, Pedro Paulo Dantas do Amaral Campos, Pedro da Silva, Laurence Casagrande Lourenço e Construtora </w:t>
      </w:r>
      <w:r>
        <w:rPr>
          <w:szCs w:val="24"/>
        </w:rPr>
        <w:t>Coesa</w:t>
      </w:r>
      <w:r w:rsidRPr="002A725C">
        <w:rPr>
          <w:szCs w:val="24"/>
        </w:rPr>
        <w:t xml:space="preserve"> S.A., solidariamente, ao débito relativo às medições 62 e 63, no valor de R$ 2.101.191,52. </w:t>
      </w:r>
    </w:p>
    <w:p w14:paraId="7BFE2D24" w14:textId="77777777" w:rsidR="00A46262" w:rsidRPr="002A725C" w:rsidRDefault="00A46262" w:rsidP="00A46262">
      <w:pPr>
        <w:spacing w:before="160"/>
        <w:ind w:firstLine="1134"/>
        <w:jc w:val="both"/>
        <w:rPr>
          <w:szCs w:val="24"/>
        </w:rPr>
      </w:pPr>
      <w:r w:rsidRPr="002A725C">
        <w:rPr>
          <w:szCs w:val="24"/>
        </w:rPr>
        <w:t>Aplico-lhes, conforme as respectivas condenações em débito, a multa do art. 57 da Lei 8.443/1992.</w:t>
      </w:r>
      <w:r w:rsidRPr="002A725C">
        <w:t xml:space="preserve"> </w:t>
      </w:r>
      <w:r w:rsidRPr="002A725C">
        <w:rPr>
          <w:szCs w:val="24"/>
        </w:rPr>
        <w:t xml:space="preserve">Na dosimetria, considero gravíssima a conduta de Benedito Aparecido Trida: como fiscal do contrato, autorizou sistematicamente, ao longo de dezenas de medições, a realização dos serviços com material comercial em substituição ao material escavado disponível, sem exigir comprovação técnica do descarte. Considero grave a conduta de Laurence Casagrande Lourenço: tendo afirmado pessoalmente ao TCU, em 2012, que os ensaios já eram realizados, sua omissão posterior em verificar o cumprimento dessa obrigação é qualificada pelo conhecimento prévio do alerta do Tribunal. Em relação à Construtora </w:t>
      </w:r>
      <w:r>
        <w:rPr>
          <w:szCs w:val="24"/>
        </w:rPr>
        <w:t>Coesa</w:t>
      </w:r>
      <w:r w:rsidRPr="002A725C">
        <w:rPr>
          <w:szCs w:val="24"/>
        </w:rPr>
        <w:t xml:space="preserve"> S.A., fixo percentual mais elevado em razão do benefício econômico direto e de ser obrigada contratualmente pelo reaproveitamento do material escavado e pela realização de ensaios de caracterização.</w:t>
      </w:r>
    </w:p>
    <w:p w14:paraId="6116B2F7" w14:textId="77777777" w:rsidR="00A46262" w:rsidRPr="002A725C" w:rsidRDefault="00A46262" w:rsidP="00A46262">
      <w:pPr>
        <w:spacing w:before="160"/>
        <w:jc w:val="center"/>
        <w:rPr>
          <w:szCs w:val="24"/>
        </w:rPr>
      </w:pPr>
      <w:r w:rsidRPr="002A725C">
        <w:rPr>
          <w:szCs w:val="24"/>
        </w:rPr>
        <w:t>VIII</w:t>
      </w:r>
    </w:p>
    <w:p w14:paraId="3EDC955B" w14:textId="77777777" w:rsidR="00A46262" w:rsidRPr="002A725C" w:rsidRDefault="00A46262" w:rsidP="00A46262">
      <w:pPr>
        <w:spacing w:before="160"/>
        <w:ind w:firstLine="1134"/>
        <w:jc w:val="both"/>
        <w:rPr>
          <w:szCs w:val="24"/>
        </w:rPr>
      </w:pPr>
      <w:r w:rsidRPr="002A725C">
        <w:rPr>
          <w:szCs w:val="24"/>
        </w:rPr>
        <w:t xml:space="preserve">Quanto aos </w:t>
      </w:r>
      <w:r w:rsidRPr="002A725C">
        <w:rPr>
          <w:b/>
          <w:bCs/>
          <w:szCs w:val="24"/>
        </w:rPr>
        <w:t>aditivos com impacto financeiro declarado como nulo</w:t>
      </w:r>
      <w:r w:rsidRPr="002A725C">
        <w:rPr>
          <w:szCs w:val="24"/>
        </w:rPr>
        <w:t xml:space="preserve">, o 1º e o 3º TAMs ao Contrato 4.349/2013 incluíram novos serviços e remanejaram quantitativos para que o impacto financeiro de cada aditivo aparecesse como zero. Para sustentar essa aparência, foram artificialmente reduzidas as quantidades de itens essenciais à conclusão </w:t>
      </w:r>
      <w:r w:rsidRPr="002A725C">
        <w:rPr>
          <w:szCs w:val="24"/>
        </w:rPr>
        <w:lastRenderedPageBreak/>
        <w:t>da obra, como o concreto de revestimento dos túneis, cuja execução era estruturalmente necessária e cuja restituição em aditivos posteriores foi confirmada. A manipulação comprometeu o controle interno da despesa e a transparência do aditamento contratual.</w:t>
      </w:r>
    </w:p>
    <w:p w14:paraId="2F5AA5EB" w14:textId="77777777" w:rsidR="00A46262" w:rsidRPr="002A725C" w:rsidRDefault="00A46262" w:rsidP="00A46262">
      <w:pPr>
        <w:spacing w:before="160"/>
        <w:ind w:firstLine="1134"/>
        <w:jc w:val="both"/>
        <w:rPr>
          <w:szCs w:val="24"/>
        </w:rPr>
      </w:pPr>
      <w:r w:rsidRPr="002A725C">
        <w:rPr>
          <w:szCs w:val="24"/>
        </w:rPr>
        <w:t xml:space="preserve">A manipulação foi confirmada por responsáveis da Dersa em entrevistas conduzidas pela equipe de auditoria, entre os quais diretores da companhia (Evidências 83 a 87, peça 233 do TC 034.481/2016-8). Segundo esses depoimentos, a orientação partiu da Diretoria, para que os aditivos não apresentassem impacto financeiro positivo e, assim, não exigissem o recálculo da </w:t>
      </w:r>
      <w:r w:rsidRPr="00B041EF">
        <w:rPr>
          <w:szCs w:val="24"/>
        </w:rPr>
        <w:t>Taxa Interna de Retorno (TIR)</w:t>
      </w:r>
      <w:r w:rsidRPr="002A725C">
        <w:rPr>
          <w:szCs w:val="24"/>
        </w:rPr>
        <w:t xml:space="preserve"> pelo BID. Em vez de submeter os aditivos ao procedimento contratualmente previsto, a Diretoria optou por induzir o financiador em erro, apresentando-lhe planilhas cujo impacto havia sido artificialmente neutralizado. Cada um dos membros da Diretoria que aprovaram os aditivos tinha o dever, e a possibilidade concreta, de registrar discordância, mas nenhum o fez.</w:t>
      </w:r>
    </w:p>
    <w:p w14:paraId="439BE464" w14:textId="77777777" w:rsidR="00A46262" w:rsidRPr="002A725C" w:rsidRDefault="00A46262" w:rsidP="00A46262">
      <w:pPr>
        <w:spacing w:before="160"/>
        <w:ind w:firstLine="1134"/>
        <w:jc w:val="both"/>
        <w:rPr>
          <w:szCs w:val="24"/>
        </w:rPr>
      </w:pPr>
      <w:r w:rsidRPr="002A725C">
        <w:rPr>
          <w:szCs w:val="24"/>
        </w:rPr>
        <w:t>Rejeito as razões de justificativa de Pedro da Silva, Laurence Casagrande Lourenço, Benjamim Venâncio de Melo Júnior, Sílvia Cristina Aranega Menezes, João Henrique Poiani e Nilson Rogério Baroni.</w:t>
      </w:r>
    </w:p>
    <w:p w14:paraId="4E9596C3" w14:textId="77777777" w:rsidR="00A46262" w:rsidRPr="002A725C" w:rsidRDefault="00A46262" w:rsidP="00A46262">
      <w:pPr>
        <w:spacing w:before="160"/>
        <w:ind w:firstLine="1134"/>
        <w:jc w:val="both"/>
        <w:rPr>
          <w:szCs w:val="24"/>
        </w:rPr>
      </w:pPr>
      <w:r w:rsidRPr="002A725C">
        <w:rPr>
          <w:szCs w:val="24"/>
        </w:rPr>
        <w:t>A alegação de respaldo em pareceres técnicos e jurídicos não prospera. A irregularidade não é a aprovação de aditivo com vício técnico subjacente: é a aprovação deliberada de aditivo formalizado para ocultar seu próprio efeito financeiro. Nenhum parecer técnico ou jurídico ampara a opção da Diretoria de instruir a manipulação das planilhas para contornar mecanismo de controle do financiador.</w:t>
      </w:r>
    </w:p>
    <w:p w14:paraId="5BC586C9" w14:textId="77777777" w:rsidR="00A46262" w:rsidRPr="002A725C" w:rsidRDefault="00A46262" w:rsidP="00A46262">
      <w:pPr>
        <w:spacing w:before="160"/>
        <w:ind w:firstLine="1134"/>
        <w:jc w:val="both"/>
        <w:rPr>
          <w:szCs w:val="24"/>
        </w:rPr>
      </w:pPr>
      <w:r w:rsidRPr="002A725C">
        <w:rPr>
          <w:szCs w:val="24"/>
        </w:rPr>
        <w:t>Tampouco prospera a alegação de que os aditivos visavam evitar a paralisação das obras: a suposta urgência operacional não autoriza a manipulação de planilhas para contornar o procedimento contratualmente previsto.</w:t>
      </w:r>
    </w:p>
    <w:p w14:paraId="43D0C5F4" w14:textId="77777777" w:rsidR="00A46262" w:rsidRPr="002A725C" w:rsidRDefault="00A46262" w:rsidP="00A46262">
      <w:pPr>
        <w:spacing w:before="160"/>
        <w:ind w:firstLine="1134"/>
        <w:jc w:val="both"/>
        <w:rPr>
          <w:szCs w:val="24"/>
        </w:rPr>
      </w:pPr>
      <w:r w:rsidRPr="002A725C">
        <w:rPr>
          <w:szCs w:val="24"/>
        </w:rPr>
        <w:t>A alegação de especialização de cada pasta tampouco socorre os defendentes. A irregularidade é de gestão, não técnica. Diferentemente da discussão sobre matacões, em que a controvérsia exigia expertise específica em engenharia, a manipulação aqui era visível na própria planilha, em itens cuja eliminação ou drástica redução não tinha nenhum respaldo no projeto, e foi aprovada pelos membros da Diretoria que participaram das respectivas deliberações.</w:t>
      </w:r>
      <w:r w:rsidRPr="002A725C">
        <w:t xml:space="preserve"> </w:t>
      </w:r>
    </w:p>
    <w:p w14:paraId="3B4701ED" w14:textId="77777777" w:rsidR="00A46262" w:rsidRPr="002A725C" w:rsidRDefault="00A46262" w:rsidP="00A46262">
      <w:pPr>
        <w:spacing w:before="160"/>
        <w:ind w:firstLine="1134"/>
        <w:jc w:val="both"/>
        <w:rPr>
          <w:szCs w:val="24"/>
        </w:rPr>
      </w:pPr>
      <w:r w:rsidRPr="002A725C">
        <w:rPr>
          <w:szCs w:val="24"/>
        </w:rPr>
        <w:t>Tampouco afasta a irregularidade o fato de não ter sido imputado débito específico nesta ocorrência. O objeto da audiência não é a cobrança de sobrepreço decorrente dos serviços acrescidos, mas a conduta de manipular quantitativos sem respaldo em projeto para apresentar como nulo o impacto financeiro dos aditivos. Essa prática, por si, comprometeu a transparência do aditamento contratual e o funcionamento dos mecanismos de controle aplicáveis.</w:t>
      </w:r>
    </w:p>
    <w:p w14:paraId="2E21A43C" w14:textId="77777777" w:rsidR="00A46262" w:rsidRPr="002A725C" w:rsidRDefault="00A46262" w:rsidP="00A46262">
      <w:pPr>
        <w:spacing w:before="160"/>
        <w:ind w:firstLine="1134"/>
        <w:jc w:val="both"/>
        <w:rPr>
          <w:szCs w:val="24"/>
        </w:rPr>
      </w:pPr>
      <w:r w:rsidRPr="002A725C">
        <w:rPr>
          <w:szCs w:val="24"/>
        </w:rPr>
        <w:t>A alegação de validação pelo BID não prospera. A eventual não objeção do financiador não convalida a irregularidade, pois incidiu sobre planilhas cujo impacto financeiro fora artificialmente neutralizado pela supressão de quantitativos necessários à conclusão da obra.</w:t>
      </w:r>
    </w:p>
    <w:p w14:paraId="5BA6620B" w14:textId="77777777" w:rsidR="00A46262" w:rsidRPr="002A725C" w:rsidRDefault="00A46262" w:rsidP="00A46262">
      <w:pPr>
        <w:spacing w:before="160"/>
        <w:ind w:firstLine="1134"/>
        <w:jc w:val="both"/>
        <w:rPr>
          <w:szCs w:val="24"/>
        </w:rPr>
      </w:pPr>
      <w:r w:rsidRPr="002A725C">
        <w:rPr>
          <w:szCs w:val="24"/>
        </w:rPr>
        <w:t>A alegação de Sílvia Cristina Aranega Menezes, fundada na rejeição da denúncia criminal contra ela, não tem o alcance pretendido. A denúncia foi rejeitada por falta de justa causa para a ação penal, ante a ausência de evidência de dolo na conduta atribuída à responsável, e não por reconhecimento da inexistência do fato ou por negativa de autoria. A responsabilização nesta Corte tem pressupostos próprios e independentes, conforme já assentado no segmento IV.</w:t>
      </w:r>
    </w:p>
    <w:p w14:paraId="190C2E71" w14:textId="77777777" w:rsidR="00A46262" w:rsidRPr="002A725C" w:rsidRDefault="00A46262" w:rsidP="00A46262">
      <w:pPr>
        <w:spacing w:before="160"/>
        <w:ind w:firstLine="1134"/>
        <w:jc w:val="both"/>
        <w:rPr>
          <w:szCs w:val="24"/>
        </w:rPr>
      </w:pPr>
      <w:r w:rsidRPr="002A725C">
        <w:rPr>
          <w:szCs w:val="24"/>
        </w:rPr>
        <w:lastRenderedPageBreak/>
        <w:t>A alegação de Nilson Rogério Baroni, de que ingressou na companhia pouco antes da Resolução 20F/15, não afasta sua responsabilidade. Ele participou da deliberação que autorizou o 3º TAM, no qual a manipulação se evidenciava pela redução artificial de quantitativos de serviços necessários à conclusão da obra, e tinha a possibilidade concreta de registrar discordância.</w:t>
      </w:r>
    </w:p>
    <w:p w14:paraId="035E74DA" w14:textId="77777777" w:rsidR="00A46262" w:rsidRPr="002A725C" w:rsidRDefault="00A46262" w:rsidP="00A46262">
      <w:pPr>
        <w:spacing w:before="160"/>
        <w:ind w:firstLine="1134"/>
        <w:jc w:val="both"/>
        <w:rPr>
          <w:szCs w:val="24"/>
        </w:rPr>
      </w:pPr>
      <w:r w:rsidRPr="002A725C">
        <w:rPr>
          <w:szCs w:val="24"/>
        </w:rPr>
        <w:t>Rejeito também as razões de justificativa de Benedito Aparecido Trida. Ainda que tenha agido sob orientação da Diretoria, foi ele quem elaborou materialmente as planilhas adulteradas, prestando contribuição essencial para a consumação da irregularidade. A jurisprudência desta Corte é assente no sentido de que a subordinação hierárquica não afasta a responsabilidade quando a irregularidade é manifesta e o agente tinha condições de reconhecê-la, como é o caso da manipulação de quantitativos para ocultar o impacto financeiro de aditivos.</w:t>
      </w:r>
    </w:p>
    <w:p w14:paraId="59B593D4" w14:textId="77777777" w:rsidR="00A46262" w:rsidRPr="002A725C" w:rsidRDefault="00A46262" w:rsidP="00A46262">
      <w:pPr>
        <w:spacing w:before="160"/>
        <w:ind w:firstLine="1134"/>
        <w:jc w:val="both"/>
        <w:rPr>
          <w:szCs w:val="24"/>
        </w:rPr>
      </w:pPr>
      <w:r w:rsidRPr="002A725C">
        <w:rPr>
          <w:szCs w:val="24"/>
        </w:rPr>
        <w:t>Aplico a multa do art. 58 da Lei 8.443/1992 a Pedro da Silva, Laurence Casagrande Lourenço, Benjamim Venâncio de Melo Júnior, Sílvia Cristina Aranega Menezes, João Henrique Poiani, Nilson Rogério Baroni e Benedito Aparecido Trida. Na fixação dos valores, considero mais grave a conduta de Pedro da Silva, pois, além de participar das deliberações colegiadas, propôs as PRDs que levaram a matéria à Diretoria. Considero, por outro lado, atenuante em favor de Nilson Rogério Baroni a menor extensão de sua participação, restrita à deliberação relativa ao 3º TAM.</w:t>
      </w:r>
    </w:p>
    <w:p w14:paraId="25F5148B" w14:textId="77777777" w:rsidR="00A46262" w:rsidRPr="002A725C" w:rsidRDefault="00A46262" w:rsidP="00A46262">
      <w:pPr>
        <w:spacing w:before="160"/>
        <w:jc w:val="center"/>
        <w:rPr>
          <w:szCs w:val="24"/>
        </w:rPr>
      </w:pPr>
      <w:r w:rsidRPr="002A725C">
        <w:rPr>
          <w:szCs w:val="24"/>
        </w:rPr>
        <w:t>IX</w:t>
      </w:r>
    </w:p>
    <w:p w14:paraId="4621DAE2" w14:textId="77777777" w:rsidR="00A46262" w:rsidRPr="002A725C" w:rsidRDefault="00A46262" w:rsidP="00A46262">
      <w:pPr>
        <w:spacing w:before="160"/>
        <w:ind w:firstLine="1134"/>
        <w:jc w:val="both"/>
        <w:rPr>
          <w:szCs w:val="24"/>
          <w:lang w:eastAsia="pt-BR"/>
        </w:rPr>
      </w:pPr>
      <w:r w:rsidRPr="002A725C">
        <w:rPr>
          <w:szCs w:val="24"/>
          <w:lang w:eastAsia="pt-BR"/>
        </w:rPr>
        <w:t xml:space="preserve">A </w:t>
      </w:r>
      <w:r w:rsidRPr="002A725C">
        <w:rPr>
          <w:b/>
          <w:bCs/>
          <w:szCs w:val="24"/>
          <w:lang w:eastAsia="pt-BR"/>
        </w:rPr>
        <w:t>subcontratação dos serviços de escavação dos túneis</w:t>
      </w:r>
      <w:r w:rsidRPr="002A725C">
        <w:rPr>
          <w:szCs w:val="24"/>
          <w:lang w:eastAsia="pt-BR"/>
        </w:rPr>
        <w:t xml:space="preserve"> 201 e 301 à Toniolo Busnello S.A. violou disposição expressa do Edital de Pré-Qualificação e da LPI 006/2011-CI, que vedavam a subcontratação de atividades essenciais de construção. O Túnel 301 integra outro lote do empreendimento e não é objeto desta TCE. A subempreitada do Túnel 201, no Lote 2, foi pactuada em 4/4/2016, e a OAS protocolou pedido de autorização somente em 10/3/2017, quase um ano depois. Essa sequência revela irregularidade relevante, pois a execução se iniciou sem prévia autorização formal da Dersa. </w:t>
      </w:r>
    </w:p>
    <w:p w14:paraId="1BD6E765" w14:textId="77777777" w:rsidR="00A46262" w:rsidRPr="002A725C" w:rsidRDefault="00A46262" w:rsidP="00A46262">
      <w:pPr>
        <w:spacing w:before="160"/>
        <w:ind w:firstLine="1134"/>
        <w:jc w:val="both"/>
        <w:rPr>
          <w:szCs w:val="24"/>
          <w:lang w:eastAsia="pt-BR"/>
        </w:rPr>
      </w:pPr>
      <w:r w:rsidRPr="002A725C">
        <w:rPr>
          <w:szCs w:val="24"/>
          <w:lang w:eastAsia="pt-BR"/>
        </w:rPr>
        <w:t>A irregularidade, contudo, ocorreu em contexto excepcional. A OAS, então em recuperação judicial, perdia capacidade operacional, colocando em risco real a continuidade da escavação dos túneis. Naquele momento, medidas como a rescisão, a relicitação e a exigência de execução direta pela OAS implicariam atrasos e custos desproporcionais ao risco que se buscava evitar. Os agentes da Dersa optaram por preservar a continuidade da obra. Os serviços foram executados e medidos pelos itens contratuais, sem sobrepreço ou débito apurado, e não se demonstrou que a subcontratação à Toniolo Busnello, empresa experiente em túneis, tenha agravado os riscos de inexecução.</w:t>
      </w:r>
    </w:p>
    <w:p w14:paraId="1E77D89F" w14:textId="77777777" w:rsidR="00A46262" w:rsidRPr="002A725C" w:rsidRDefault="00A46262" w:rsidP="00A46262">
      <w:pPr>
        <w:spacing w:before="160"/>
        <w:ind w:firstLine="1134"/>
        <w:jc w:val="both"/>
        <w:rPr>
          <w:szCs w:val="24"/>
          <w:lang w:eastAsia="pt-BR"/>
        </w:rPr>
      </w:pPr>
      <w:r w:rsidRPr="002A725C">
        <w:rPr>
          <w:szCs w:val="24"/>
          <w:lang w:eastAsia="pt-BR"/>
        </w:rPr>
        <w:t>A irregularidade foi procedimental: a subcontratação deveria ter sido previamente autorizada, e não o foi. A medida em si, contudo, correspondeu ao interesse público nas circunstâncias do caso.</w:t>
      </w:r>
    </w:p>
    <w:p w14:paraId="76BE17D0" w14:textId="77777777" w:rsidR="00A46262" w:rsidRDefault="00A46262" w:rsidP="00A46262">
      <w:pPr>
        <w:spacing w:before="160"/>
        <w:ind w:firstLine="1134"/>
        <w:jc w:val="both"/>
        <w:rPr>
          <w:szCs w:val="24"/>
          <w:lang w:eastAsia="pt-BR"/>
        </w:rPr>
      </w:pPr>
      <w:r w:rsidRPr="002A725C">
        <w:rPr>
          <w:szCs w:val="24"/>
          <w:lang w:eastAsia="pt-BR"/>
        </w:rPr>
        <w:t>A deliberação interna que se seguiu ao pedido da OAS, embora sem força para convalidar o vício original, cumpriu as etapas internas de aprovação: tramitação pelas áreas competentes, parecer jurídico e autorização formal da Diretoria. À luz dos arts. 22 e 28 da LINDB, essas circunstâncias afastam, no caso concreto, a caracterização de erro grosseiro.</w:t>
      </w:r>
    </w:p>
    <w:p w14:paraId="75A46E69" w14:textId="77777777" w:rsidR="00A46262" w:rsidRPr="002A725C" w:rsidRDefault="00A46262" w:rsidP="00A46262">
      <w:pPr>
        <w:spacing w:before="160"/>
        <w:ind w:firstLine="1134"/>
        <w:jc w:val="both"/>
        <w:rPr>
          <w:szCs w:val="24"/>
          <w:lang w:eastAsia="pt-BR"/>
        </w:rPr>
      </w:pPr>
      <w:r>
        <w:lastRenderedPageBreak/>
        <w:t xml:space="preserve">Assiste razão ao </w:t>
      </w:r>
      <w:r w:rsidRPr="00573B80">
        <w:rPr>
          <w:i/>
          <w:iCs/>
        </w:rPr>
        <w:t>Parquet</w:t>
      </w:r>
      <w:r>
        <w:t xml:space="preserve"> quando aponta que a execução dos serviços pela subcontratada precedeu a aprovação formal da Dersa, e é precisamente essa a irregularidade procedimental reconhecida neste voto. As circunstâncias excepcionais do caso concreto, todavia, afastam a caracterização de erro grosseiro e justificam o acolhimento das justificativas, nos termos dos arts. 22 e 28 da LINDB.</w:t>
      </w:r>
    </w:p>
    <w:p w14:paraId="402CA90E" w14:textId="77777777" w:rsidR="00A46262" w:rsidRPr="002A725C" w:rsidRDefault="00A46262" w:rsidP="00A46262">
      <w:pPr>
        <w:spacing w:before="160"/>
        <w:ind w:firstLine="1134"/>
        <w:jc w:val="both"/>
        <w:rPr>
          <w:szCs w:val="24"/>
        </w:rPr>
      </w:pPr>
      <w:r w:rsidRPr="002A725C">
        <w:rPr>
          <w:szCs w:val="24"/>
          <w:lang w:eastAsia="pt-BR"/>
        </w:rPr>
        <w:t>Acolho, portanto, as razões de justificativa de Benedito Aparecido Trida, Pedro da Silva, Pedro Paulo Dantas do Amaral Campos, Laurence Casagrande Lourenço, Benjamim Venâncio de Melo Júnior e Nilson Rogério Baroni</w:t>
      </w:r>
      <w:r w:rsidRPr="002A725C">
        <w:rPr>
          <w:szCs w:val="24"/>
        </w:rPr>
        <w:t>.</w:t>
      </w:r>
    </w:p>
    <w:p w14:paraId="0C5E621E" w14:textId="77777777" w:rsidR="00A46262" w:rsidRPr="002A725C" w:rsidRDefault="00A46262" w:rsidP="00A46262">
      <w:pPr>
        <w:spacing w:before="160"/>
        <w:jc w:val="center"/>
        <w:rPr>
          <w:szCs w:val="24"/>
        </w:rPr>
      </w:pPr>
      <w:r w:rsidRPr="002A725C">
        <w:rPr>
          <w:szCs w:val="24"/>
        </w:rPr>
        <w:t>X</w:t>
      </w:r>
    </w:p>
    <w:p w14:paraId="1BE6DF2F" w14:textId="77777777" w:rsidR="00A46262" w:rsidRPr="002A725C" w:rsidRDefault="00A46262" w:rsidP="00A46262">
      <w:pPr>
        <w:spacing w:before="160"/>
        <w:ind w:firstLine="1134"/>
        <w:jc w:val="both"/>
        <w:rPr>
          <w:szCs w:val="24"/>
          <w:lang w:eastAsia="pt-BR"/>
        </w:rPr>
      </w:pPr>
      <w:r w:rsidRPr="002A725C">
        <w:rPr>
          <w:szCs w:val="24"/>
          <w:lang w:eastAsia="pt-BR"/>
        </w:rPr>
        <w:t>A superestrutura dos apoios 2 e 18 da OAE 204 foi executada por cimbramento convencional, quando o contrato previa balanços sucessivos, método mais oneroso. Entre as medições 24 e 38, no período de janeiro de 2015 a março de 2016, os serviços foram registrados como executados por balanços sucessivos, gerando pagamento a maior de R$ 479.953,93, posteriormente estornado no 57º boletim de medição, após intervenção do TCU.</w:t>
      </w:r>
    </w:p>
    <w:p w14:paraId="030CD017" w14:textId="77777777" w:rsidR="00A46262" w:rsidRPr="002A725C" w:rsidRDefault="00A46262" w:rsidP="00A46262">
      <w:pPr>
        <w:spacing w:before="160"/>
        <w:ind w:firstLine="1134"/>
        <w:jc w:val="both"/>
        <w:rPr>
          <w:szCs w:val="24"/>
          <w:lang w:eastAsia="pt-BR"/>
        </w:rPr>
      </w:pPr>
      <w:r w:rsidRPr="002A725C">
        <w:rPr>
          <w:szCs w:val="24"/>
          <w:lang w:eastAsia="pt-BR"/>
        </w:rPr>
        <w:t>Acolho as razões de justificativa de Pedro Paulo Dantas do Amaral Campos. Ele assumiu a gestão do contrato em setembro de 2015, quando as medições irregulares já se estendiam há oito meses, e não foi comunicado pelo fiscal sobre a divergência entre o método executado e o previsto contratualmente. Ao gestor competia aprovar os boletins de medição e autorizar os pagamentos com base nos atestados emitidos pelo fiscal: a conferência da correspondência entre o executado e o medido é atribuição específica deste. Não havendo comunicação do fiscal e não sendo próprio da função do gestor a inspeção direta do método construtivo empregado em cada estrutura, não se configura, em relação a esse responsável, omissão culpável. Acresce que, tão logo instado pelo TCU, providenciou o imediato estorno dos pagamentos.</w:t>
      </w:r>
    </w:p>
    <w:p w14:paraId="1D97B6CF" w14:textId="77777777" w:rsidR="00A46262" w:rsidRPr="002A725C" w:rsidRDefault="00A46262" w:rsidP="00A46262">
      <w:pPr>
        <w:spacing w:before="160"/>
        <w:ind w:firstLine="1134"/>
        <w:jc w:val="both"/>
        <w:rPr>
          <w:szCs w:val="24"/>
          <w:lang w:eastAsia="pt-BR"/>
        </w:rPr>
      </w:pPr>
      <w:r w:rsidRPr="002A725C">
        <w:rPr>
          <w:szCs w:val="24"/>
          <w:lang w:eastAsia="pt-BR"/>
        </w:rPr>
        <w:t>Rejeito as razões de Benedito Aparecido Trida. Como engenheiro fiscal do contrato, competia-lhe exigir da OAS a execução dos apoios conforme contratado ou, alternativamente, propor a adequação da planilha orçamentária para que as medições refletissem o método construtivo efetivamente empregado. A divergência entre o método previsto e o executado era visualmente inconfundível para engenheiro experiente e se estendeu por mais de um ano, sem que nenhuma providência fosse adotada. O argumento de que sua conduta não foi decisiva para a consumação do dano não o socorre: o superfaturamento somente não se concretizou em razão da intervenção do TCU, e não por uma iniciativa de Benedito Aparecido Trida. Aplico-lhe a multa prevista no art. 58 da Lei 8.443/1992.</w:t>
      </w:r>
    </w:p>
    <w:p w14:paraId="604CDC5F" w14:textId="77777777" w:rsidR="00A46262" w:rsidRPr="002A725C" w:rsidRDefault="00A46262" w:rsidP="00A46262">
      <w:pPr>
        <w:spacing w:before="160"/>
        <w:jc w:val="center"/>
        <w:rPr>
          <w:szCs w:val="24"/>
        </w:rPr>
      </w:pPr>
      <w:r w:rsidRPr="002A725C">
        <w:rPr>
          <w:szCs w:val="24"/>
        </w:rPr>
        <w:t>XI</w:t>
      </w:r>
    </w:p>
    <w:p w14:paraId="7FAF09B1" w14:textId="77777777" w:rsidR="00A46262" w:rsidRPr="002A725C" w:rsidRDefault="00A46262" w:rsidP="00A46262">
      <w:pPr>
        <w:spacing w:before="160"/>
        <w:ind w:firstLine="1134"/>
        <w:jc w:val="both"/>
        <w:rPr>
          <w:szCs w:val="24"/>
          <w:lang w:eastAsia="pt-BR"/>
        </w:rPr>
      </w:pPr>
      <w:r w:rsidRPr="002A725C">
        <w:rPr>
          <w:szCs w:val="24"/>
          <w:lang w:eastAsia="pt-BR"/>
        </w:rPr>
        <w:t xml:space="preserve">Arabenes Pereira de Andrade Correa, Chefe da Divisão de Controle de Convênios e Contratos do Dnit, e Jaqueline Costa da Silva, Coordenadora de Contabilidade do Dnit, foram ouvidas em audiência em razão de suposta omissão na análise das prestações de contas do Termo de Compromisso TC-004/1999. </w:t>
      </w:r>
    </w:p>
    <w:p w14:paraId="7913BBB1" w14:textId="77777777" w:rsidR="00A46262" w:rsidRPr="002A725C" w:rsidRDefault="00A46262" w:rsidP="00A46262">
      <w:pPr>
        <w:spacing w:before="160"/>
        <w:ind w:firstLine="1134"/>
        <w:jc w:val="both"/>
        <w:rPr>
          <w:szCs w:val="24"/>
          <w:lang w:eastAsia="pt-BR"/>
        </w:rPr>
      </w:pPr>
      <w:r w:rsidRPr="002A725C">
        <w:rPr>
          <w:szCs w:val="24"/>
          <w:lang w:eastAsia="pt-BR"/>
        </w:rPr>
        <w:t>A atribuição regimental das unidades das defendentes limitava-se à análise formal da documentação e ao registro no Siafi. Não há como imputar omissão em atribuição que não lhes cabia. Acolho as razões de justificativa de ambas e julgo regulares suas contas.</w:t>
      </w:r>
    </w:p>
    <w:p w14:paraId="051460D4" w14:textId="77777777" w:rsidR="00A46262" w:rsidRPr="002A725C" w:rsidRDefault="00A46262" w:rsidP="00A46262">
      <w:pPr>
        <w:spacing w:before="160"/>
        <w:ind w:firstLine="1134"/>
        <w:jc w:val="both"/>
        <w:rPr>
          <w:szCs w:val="24"/>
          <w:lang w:eastAsia="pt-BR"/>
        </w:rPr>
      </w:pPr>
      <w:r w:rsidRPr="002A725C">
        <w:rPr>
          <w:szCs w:val="24"/>
          <w:lang w:eastAsia="pt-BR"/>
        </w:rPr>
        <w:lastRenderedPageBreak/>
        <w:t xml:space="preserve">O Superintendente Regional do Dnit em São Paulo, a quem caberia o exame de mérito das prestações de contas, não foi chamado a estes autos. Por isso, não há julgamento de contas ou imposição de sanção em relação a esse gestor neste processo. A esta altura do processo, não se justifica reabrir a fase instrutória para promover nova audiência. </w:t>
      </w:r>
    </w:p>
    <w:p w14:paraId="79D34B4D" w14:textId="77777777" w:rsidR="00A46262" w:rsidRPr="002A725C" w:rsidRDefault="00A46262" w:rsidP="00A46262">
      <w:pPr>
        <w:spacing w:before="160"/>
        <w:jc w:val="center"/>
        <w:rPr>
          <w:szCs w:val="24"/>
        </w:rPr>
      </w:pPr>
      <w:r w:rsidRPr="002A725C">
        <w:rPr>
          <w:szCs w:val="24"/>
        </w:rPr>
        <w:t>XII</w:t>
      </w:r>
    </w:p>
    <w:p w14:paraId="39FCC235" w14:textId="77777777" w:rsidR="00A46262" w:rsidRPr="002A725C" w:rsidRDefault="00A46262" w:rsidP="00A46262">
      <w:pPr>
        <w:spacing w:before="160"/>
        <w:ind w:firstLine="1134"/>
        <w:jc w:val="both"/>
        <w:rPr>
          <w:szCs w:val="24"/>
        </w:rPr>
      </w:pPr>
      <w:r w:rsidRPr="002A725C">
        <w:rPr>
          <w:szCs w:val="24"/>
        </w:rPr>
        <w:t xml:space="preserve">Em síntese, condeno em débito os responsáveis pela inclusão indevida de novos serviços associados à ocorrência de matacões, pelo reequilíbrio econômico-financeiro calculado por metodologia inadequada, pela duplicidade decorrente da inclusão dos PCPs 106 e 107 cumulativamente com o PCP-108 no 10º TAM e pelo não reaproveitamento do material pétreo escavado, observadas, em cada caso, as responsabilidades individualizadas neste voto. </w:t>
      </w:r>
      <w:r>
        <w:t xml:space="preserve">Acolho as alegações de defesa de José Arnaldo Almeida dos Santos, do espólio de Estanislau Marcka, de Carlos Satoru Miyasato e de Emílio Urbano Squarcina quanto a essa última irregularidade. </w:t>
      </w:r>
      <w:r w:rsidRPr="002A725C">
        <w:rPr>
          <w:szCs w:val="24"/>
        </w:rPr>
        <w:t>Rejeito as razões de justificativa relativas aos aditivos com impacto financeiro declarado como nulo e, quanto à OAE 204, as de Benedito Aparecido Trida, acolhendo as de Pedro Paulo Dantas do Amaral Campos. Acolho as razões de justificativa relativas à subcontratação e à análise das prestações de contas do TC-004/1999, julgando regulares as contas de Arabenes Pereira de Andrade Correa e Jaqueline Costa da Silva. Aplico as multas dos arts. 57 e 58 da Lei 8.443/1992 nos termos do acórdão.</w:t>
      </w:r>
    </w:p>
    <w:p w14:paraId="30B34133" w14:textId="77777777" w:rsidR="00A46262" w:rsidRDefault="00A46262" w:rsidP="00A46262">
      <w:pPr>
        <w:spacing w:before="160"/>
        <w:ind w:firstLine="1134"/>
        <w:jc w:val="both"/>
      </w:pPr>
      <w:r w:rsidRPr="002A725C">
        <w:t xml:space="preserve">Nessas conclusões, alinho-me ao MPTCU e à AudTCE quanto aos matacões, ao reequilíbrio econômico-financeiro, à OAE 204 no que toca a Benedito Aparecido Trida, e às prestações de contas. Divirjo da AudTCE, em linha com o MPTCU, ao rejeitar as razões de justificativa de Benedito Aparecido Trida quanto ao impacto financeiro nulo e ao rejeitar as </w:t>
      </w:r>
      <w:r>
        <w:t>alegações de defesa</w:t>
      </w:r>
      <w:r w:rsidRPr="002A725C">
        <w:t xml:space="preserve"> de Pedro da Silva, Laurence Casagrande Lourenço e Pedro Paulo Dantas do Amaral Campos quanto ao não reaproveitamento do material pétreo escavado. Divirjo do MPTCU, em linha com a AudTCE, ao acolher as razões de justificativa </w:t>
      </w:r>
      <w:r w:rsidRPr="005779CA">
        <w:t>de todos os responsáveis quanto à subcontratação, as alegações de defesa de José Arnaldo Almeida dos Santos, do espólio de Estanislau Marcka, de Carlos Satoru Miyasato e de Emílio Urbano Squarcina quanto ao não reaproveitamento do material pétreo escavado e as razões de justificativa de Pedro Paulo Dantas do Amaral Campos quanto à OAE 204.</w:t>
      </w:r>
    </w:p>
    <w:p w14:paraId="67D9021D" w14:textId="77777777" w:rsidR="00A46262" w:rsidRDefault="00A46262" w:rsidP="00A46262">
      <w:pPr>
        <w:spacing w:before="160"/>
        <w:ind w:firstLine="1134"/>
        <w:jc w:val="both"/>
      </w:pPr>
      <w:r w:rsidRPr="002A725C">
        <w:t xml:space="preserve">Quanto ao julgamento das contas, alinho-me a ambos: julgo irregulares as contas de todos os responsáveis condenados em débito ou sancionados com multa, à exceção de Sílvia Cristina Aranega Menezes e João Henrique Poiani, </w:t>
      </w:r>
      <w:r>
        <w:t>que não foram citados e respondem exclusivamente pelas condutas objeto das audiências promovidas no TC 034.481/2016-8, processo de fiscalização que deu origem a esta TCE, sem vínculo com os débitos aqui apurados, razão pela qual se lhes aplica tão somente a sanção do art. 58 da Lei 8.443/1992, sem julgamento de contas neste feito. Julgo regulares, com quitação plena, as contas de José Arnaldo Almeida dos Santos, do espólio de Estanislau Marcka e de Emílio Urbano Squarcina, citados exclusivamente em razão do não reaproveitamento do material pétreo escavado e cujas alegações de defesa foram integralmente acolhidas.</w:t>
      </w:r>
    </w:p>
    <w:p w14:paraId="0B330268" w14:textId="77777777" w:rsidR="00A46262" w:rsidRPr="002A725C" w:rsidRDefault="00A46262" w:rsidP="00A46262">
      <w:pPr>
        <w:spacing w:before="160"/>
        <w:ind w:firstLine="1134"/>
        <w:jc w:val="both"/>
        <w:rPr>
          <w:szCs w:val="24"/>
        </w:rPr>
      </w:pPr>
      <w:r w:rsidRPr="002A725C">
        <w:rPr>
          <w:szCs w:val="24"/>
        </w:rPr>
        <w:t>Com essas considerações, incorporo às minhas razões de decidir as análises e conclusões constantes da instrução da AudTCE (peça 312) e do parecer do MPTCU (peça 315) naquilo que compatíveis com os fundamentos desenvolvidos neste voto, e voto no sentido de que o Tribunal adote o Acórdão que ora submeto à apreciação deste Colegiado.</w:t>
      </w:r>
    </w:p>
    <w:p w14:paraId="3EF00A87" w14:textId="77777777" w:rsidR="00A46262" w:rsidRPr="002A725C" w:rsidRDefault="00A46262" w:rsidP="00A46262">
      <w:pPr>
        <w:ind w:firstLine="1134"/>
        <w:jc w:val="both"/>
        <w:rPr>
          <w:szCs w:val="20"/>
          <w:lang w:eastAsia="pt-BR"/>
        </w:rPr>
      </w:pPr>
    </w:p>
    <w:p w14:paraId="19D0A01B" w14:textId="77777777" w:rsidR="00A46262" w:rsidRPr="002A725C" w:rsidRDefault="00A46262" w:rsidP="00A46262">
      <w:pPr>
        <w:ind w:firstLine="1134"/>
        <w:jc w:val="both"/>
        <w:rPr>
          <w:szCs w:val="20"/>
          <w:lang w:eastAsia="pt-BR"/>
        </w:rPr>
      </w:pPr>
      <w:r w:rsidRPr="002A725C">
        <w:rPr>
          <w:szCs w:val="20"/>
          <w:lang w:eastAsia="pt-BR"/>
        </w:rPr>
        <w:lastRenderedPageBreak/>
        <w:t>TCU, Sala das Sessões, em 14 de julho de 2026.</w:t>
      </w:r>
    </w:p>
    <w:p w14:paraId="739AF516" w14:textId="77777777" w:rsidR="00A46262" w:rsidRPr="002A725C" w:rsidRDefault="00A46262" w:rsidP="00A46262">
      <w:pPr>
        <w:jc w:val="center"/>
        <w:rPr>
          <w:szCs w:val="20"/>
          <w:lang w:eastAsia="pt-BR"/>
        </w:rPr>
      </w:pPr>
    </w:p>
    <w:p w14:paraId="1AB93F8F" w14:textId="77777777" w:rsidR="00A46262" w:rsidRPr="002A725C" w:rsidRDefault="00A46262" w:rsidP="00A46262">
      <w:pPr>
        <w:jc w:val="center"/>
        <w:rPr>
          <w:szCs w:val="20"/>
          <w:lang w:eastAsia="pt-BR"/>
        </w:rPr>
      </w:pPr>
    </w:p>
    <w:p w14:paraId="4FC82073" w14:textId="77777777" w:rsidR="00A46262" w:rsidRPr="002A725C" w:rsidRDefault="00A46262" w:rsidP="00A46262">
      <w:pPr>
        <w:jc w:val="center"/>
        <w:rPr>
          <w:szCs w:val="20"/>
          <w:lang w:eastAsia="pt-BR"/>
        </w:rPr>
      </w:pPr>
    </w:p>
    <w:p w14:paraId="4B91AAE7" w14:textId="77777777" w:rsidR="00A46262" w:rsidRPr="002A725C" w:rsidRDefault="00A46262" w:rsidP="00A46262">
      <w:pPr>
        <w:jc w:val="center"/>
        <w:rPr>
          <w:szCs w:val="20"/>
          <w:lang w:eastAsia="pt-BR"/>
        </w:rPr>
      </w:pPr>
    </w:p>
    <w:p w14:paraId="2E563291" w14:textId="77777777" w:rsidR="00A46262" w:rsidRPr="002A725C" w:rsidRDefault="00A46262" w:rsidP="00A46262">
      <w:pPr>
        <w:jc w:val="center"/>
        <w:rPr>
          <w:szCs w:val="20"/>
          <w:lang w:eastAsia="pt-BR"/>
        </w:rPr>
      </w:pPr>
      <w:r w:rsidRPr="002A725C">
        <w:rPr>
          <w:szCs w:val="20"/>
          <w:lang w:eastAsia="pt-BR"/>
        </w:rPr>
        <w:t xml:space="preserve">WALTON ALENCAR RODRIGUES </w:t>
      </w:r>
    </w:p>
    <w:p w14:paraId="3BDEA590" w14:textId="77777777" w:rsidR="00A46262" w:rsidRPr="002A725C" w:rsidRDefault="00A46262" w:rsidP="00A46262">
      <w:pPr>
        <w:jc w:val="center"/>
        <w:rPr>
          <w:szCs w:val="20"/>
          <w:lang w:eastAsia="pt-BR"/>
        </w:rPr>
      </w:pPr>
      <w:r w:rsidRPr="002A725C">
        <w:rPr>
          <w:szCs w:val="20"/>
          <w:lang w:eastAsia="pt-BR"/>
        </w:rPr>
        <w:t>Relator</w:t>
      </w:r>
    </w:p>
    <w:p w14:paraId="67826AB0" w14:textId="77777777" w:rsidR="00A46262" w:rsidRPr="002A725C" w:rsidRDefault="00A46262" w:rsidP="00A46262">
      <w:pPr>
        <w:jc w:val="center"/>
        <w:rPr>
          <w:szCs w:val="20"/>
          <w:lang w:eastAsia="pt-BR"/>
        </w:rPr>
      </w:pPr>
    </w:p>
    <w:p w14:paraId="1143D8ED" w14:textId="77777777" w:rsidR="00A46262" w:rsidRPr="0039071C" w:rsidRDefault="00A46262" w:rsidP="00A46262">
      <w:pPr>
        <w:pStyle w:val="TCU-Epgrafe"/>
        <w:ind w:left="0"/>
        <w:jc w:val="center"/>
        <w:rPr>
          <w:szCs w:val="24"/>
          <w:u w:val="single"/>
        </w:rPr>
      </w:pPr>
    </w:p>
    <w:p w14:paraId="72E5C0A7" w14:textId="77777777" w:rsidR="00A46262" w:rsidRPr="00B177C3" w:rsidRDefault="00A46262" w:rsidP="00A46262">
      <w:pPr>
        <w:spacing w:before="120" w:after="200" w:line="276" w:lineRule="auto"/>
        <w:ind w:firstLine="1134"/>
        <w:jc w:val="both"/>
        <w:rPr>
          <w:i/>
          <w:iCs/>
        </w:rPr>
      </w:pPr>
      <w:r w:rsidRPr="00B177C3">
        <w:rPr>
          <w:i/>
          <w:iCs/>
        </w:rPr>
        <w:br w:type="page"/>
      </w:r>
    </w:p>
    <w:p w14:paraId="731CCE96" w14:textId="77777777" w:rsidR="00A46262" w:rsidRPr="00DE0343" w:rsidRDefault="00A46262" w:rsidP="00A46262">
      <w:pPr>
        <w:widowControl w:val="0"/>
        <w:tabs>
          <w:tab w:val="left" w:pos="-142"/>
        </w:tabs>
        <w:autoSpaceDE w:val="0"/>
        <w:autoSpaceDN w:val="0"/>
        <w:ind w:left="360"/>
        <w:rPr>
          <w:kern w:val="2"/>
          <w:szCs w:val="24"/>
        </w:rPr>
      </w:pPr>
    </w:p>
    <w:p w14:paraId="332E3D84" w14:textId="77777777" w:rsidR="00A46262" w:rsidRPr="00987DA3" w:rsidRDefault="00A46262" w:rsidP="00A46262">
      <w:pPr>
        <w:widowControl w:val="0"/>
        <w:tabs>
          <w:tab w:val="left" w:pos="-142"/>
        </w:tabs>
        <w:autoSpaceDE w:val="0"/>
        <w:autoSpaceDN w:val="0"/>
        <w:ind w:left="360"/>
        <w:jc w:val="center"/>
        <w:rPr>
          <w:kern w:val="2"/>
          <w:szCs w:val="24"/>
        </w:rPr>
      </w:pPr>
      <w:r w:rsidRPr="00987DA3">
        <w:rPr>
          <w:kern w:val="2"/>
          <w:szCs w:val="24"/>
        </w:rPr>
        <w:t>ACÓRDÃO Nº 3646/2026 – TCU – 1ª Câmara</w:t>
      </w:r>
    </w:p>
    <w:p w14:paraId="0FFAAF86" w14:textId="77777777" w:rsidR="00A46262" w:rsidRPr="00987DA3" w:rsidRDefault="00A46262" w:rsidP="00A46262">
      <w:pPr>
        <w:jc w:val="center"/>
        <w:rPr>
          <w:kern w:val="2"/>
          <w:szCs w:val="24"/>
          <w:lang w:eastAsia="pt-BR"/>
        </w:rPr>
      </w:pPr>
    </w:p>
    <w:p w14:paraId="1F2C4E7F" w14:textId="77777777" w:rsidR="00A46262" w:rsidRDefault="00A46262" w:rsidP="00A46262">
      <w:pPr>
        <w:widowControl w:val="0"/>
        <w:tabs>
          <w:tab w:val="left" w:pos="284"/>
        </w:tabs>
        <w:autoSpaceDE w:val="0"/>
        <w:autoSpaceDN w:val="0"/>
        <w:jc w:val="both"/>
        <w:rPr>
          <w:kern w:val="2"/>
          <w:szCs w:val="24"/>
        </w:rPr>
      </w:pPr>
      <w:r>
        <w:rPr>
          <w:kern w:val="2"/>
          <w:szCs w:val="24"/>
        </w:rPr>
        <w:t>1. Processo nº TC 014.012/2022-7.</w:t>
      </w:r>
    </w:p>
    <w:p w14:paraId="01CC1510" w14:textId="77777777" w:rsidR="00A46262" w:rsidRPr="00987DA3" w:rsidRDefault="00A46262" w:rsidP="00A46262">
      <w:pPr>
        <w:widowControl w:val="0"/>
        <w:tabs>
          <w:tab w:val="left" w:pos="284"/>
        </w:tabs>
        <w:autoSpaceDE w:val="0"/>
        <w:autoSpaceDN w:val="0"/>
        <w:jc w:val="both"/>
        <w:rPr>
          <w:kern w:val="2"/>
          <w:szCs w:val="24"/>
        </w:rPr>
      </w:pPr>
      <w:r w:rsidRPr="00987DA3">
        <w:rPr>
          <w:kern w:val="2"/>
          <w:szCs w:val="24"/>
        </w:rPr>
        <w:t>1.1. Apenso: 034.481/2016-8</w:t>
      </w:r>
    </w:p>
    <w:p w14:paraId="0D50BFC3" w14:textId="77777777" w:rsidR="00A46262" w:rsidRDefault="00A46262" w:rsidP="00A46262">
      <w:pPr>
        <w:widowControl w:val="0"/>
        <w:tabs>
          <w:tab w:val="left" w:pos="284"/>
        </w:tabs>
        <w:autoSpaceDE w:val="0"/>
        <w:autoSpaceDN w:val="0"/>
        <w:jc w:val="both"/>
        <w:rPr>
          <w:kern w:val="2"/>
          <w:szCs w:val="24"/>
        </w:rPr>
      </w:pPr>
      <w:r w:rsidRPr="00987DA3">
        <w:rPr>
          <w:kern w:val="2"/>
          <w:szCs w:val="24"/>
        </w:rPr>
        <w:t xml:space="preserve">2. Grupo II – Classe de Assunto: II </w:t>
      </w:r>
      <w:r>
        <w:rPr>
          <w:kern w:val="2"/>
          <w:szCs w:val="24"/>
        </w:rPr>
        <w:t xml:space="preserve">– </w:t>
      </w:r>
      <w:r w:rsidRPr="00987DA3">
        <w:rPr>
          <w:kern w:val="2"/>
          <w:szCs w:val="24"/>
        </w:rPr>
        <w:t>Tomada de Contas Especial</w:t>
      </w:r>
    </w:p>
    <w:p w14:paraId="6DD9511D" w14:textId="77777777" w:rsidR="00A46262" w:rsidRPr="00987DA3" w:rsidRDefault="00A46262" w:rsidP="00A46262">
      <w:pPr>
        <w:widowControl w:val="0"/>
        <w:tabs>
          <w:tab w:val="left" w:pos="284"/>
        </w:tabs>
        <w:autoSpaceDE w:val="0"/>
        <w:autoSpaceDN w:val="0"/>
        <w:jc w:val="both"/>
        <w:rPr>
          <w:kern w:val="2"/>
          <w:szCs w:val="24"/>
        </w:rPr>
      </w:pPr>
      <w:r w:rsidRPr="00987DA3">
        <w:rPr>
          <w:kern w:val="2"/>
          <w:szCs w:val="24"/>
        </w:rPr>
        <w:t>3. Interessados/Responsáveis:</w:t>
      </w:r>
    </w:p>
    <w:p w14:paraId="4509BBFD" w14:textId="77777777" w:rsidR="00A46262" w:rsidRPr="00987DA3" w:rsidRDefault="00A46262" w:rsidP="00A46262">
      <w:pPr>
        <w:widowControl w:val="0"/>
        <w:tabs>
          <w:tab w:val="left" w:pos="284"/>
        </w:tabs>
        <w:autoSpaceDE w:val="0"/>
        <w:autoSpaceDN w:val="0"/>
        <w:jc w:val="both"/>
        <w:rPr>
          <w:kern w:val="2"/>
          <w:szCs w:val="24"/>
        </w:rPr>
      </w:pPr>
      <w:r w:rsidRPr="00987DA3">
        <w:rPr>
          <w:kern w:val="2"/>
          <w:szCs w:val="24"/>
        </w:rPr>
        <w:t xml:space="preserve">3.1. Responsáveis: Arabenes Pereira de Andrade Correa (359.388.891-20); Benedito Aparecido Trida (010.073.898-26); Benjamim Venancio de Melo Júnior (393.818.546-53); Carlos Satoru Miyasato (679.210.948-72); Construtora Coesa S.A. </w:t>
      </w:r>
      <w:r>
        <w:rPr>
          <w:kern w:val="2"/>
          <w:szCs w:val="24"/>
        </w:rPr>
        <w:t>–</w:t>
      </w:r>
      <w:r w:rsidRPr="00987DA3">
        <w:rPr>
          <w:kern w:val="2"/>
          <w:szCs w:val="24"/>
        </w:rPr>
        <w:t xml:space="preserve"> </w:t>
      </w:r>
      <w:r>
        <w:rPr>
          <w:kern w:val="2"/>
          <w:szCs w:val="24"/>
        </w:rPr>
        <w:t>E</w:t>
      </w:r>
      <w:r w:rsidRPr="00987DA3">
        <w:rPr>
          <w:kern w:val="2"/>
          <w:szCs w:val="24"/>
        </w:rPr>
        <w:t xml:space="preserve">m </w:t>
      </w:r>
      <w:r>
        <w:rPr>
          <w:kern w:val="2"/>
          <w:szCs w:val="24"/>
        </w:rPr>
        <w:t>R</w:t>
      </w:r>
      <w:r w:rsidRPr="00987DA3">
        <w:rPr>
          <w:kern w:val="2"/>
          <w:szCs w:val="24"/>
        </w:rPr>
        <w:t xml:space="preserve">ecuperação </w:t>
      </w:r>
      <w:r>
        <w:rPr>
          <w:kern w:val="2"/>
          <w:szCs w:val="24"/>
        </w:rPr>
        <w:t>J</w:t>
      </w:r>
      <w:r w:rsidRPr="00987DA3">
        <w:rPr>
          <w:kern w:val="2"/>
          <w:szCs w:val="24"/>
        </w:rPr>
        <w:t>udicial (14.310.577/0001-04); Emilio Urbano Squarcina (005.306.068-79); Estanislau Marcka (188.925.588-20); Jaqueline Costa da Silva (552.182.371-91); Joao Carlos de Lima Pereira (085.953.828-16); Jose Arnaldo Almeida dos Santos (597.025.678-15); João Henrique Poiani (121.545.628-09); Laurence Casagrande Lourenço (076.527.158-30); Nilson Rogerio Baroni (863.854.708-06); Pedro Paulo Dantas do Amaral Campos (020.072.648-03); Pedro da Silva (120.388.878-37); Silvia Cristina Aranega Menezes (245.616.728-77); Wild Goncalves Fischer (218.964.578-60).</w:t>
      </w:r>
    </w:p>
    <w:p w14:paraId="217DAA36" w14:textId="77777777" w:rsidR="00A46262" w:rsidRPr="00987DA3" w:rsidRDefault="00A46262" w:rsidP="00A46262">
      <w:pPr>
        <w:widowControl w:val="0"/>
        <w:tabs>
          <w:tab w:val="left" w:pos="284"/>
        </w:tabs>
        <w:autoSpaceDE w:val="0"/>
        <w:autoSpaceDN w:val="0"/>
        <w:jc w:val="both"/>
        <w:rPr>
          <w:kern w:val="2"/>
          <w:szCs w:val="24"/>
        </w:rPr>
      </w:pPr>
      <w:r w:rsidRPr="00987DA3">
        <w:rPr>
          <w:kern w:val="2"/>
          <w:szCs w:val="24"/>
        </w:rPr>
        <w:t>4. Órgãos/Entidades: Departamento Nacional de Infraestrutura de Transportes; Dersa – Desenvolvimento Rodoviário S/A – Em Liquidação.</w:t>
      </w:r>
    </w:p>
    <w:p w14:paraId="6CF7902A" w14:textId="77777777" w:rsidR="00A46262" w:rsidRPr="00987DA3" w:rsidRDefault="00A46262" w:rsidP="00A46262">
      <w:pPr>
        <w:widowControl w:val="0"/>
        <w:tabs>
          <w:tab w:val="left" w:pos="284"/>
        </w:tabs>
        <w:autoSpaceDE w:val="0"/>
        <w:autoSpaceDN w:val="0"/>
        <w:jc w:val="both"/>
        <w:rPr>
          <w:kern w:val="2"/>
          <w:szCs w:val="24"/>
        </w:rPr>
      </w:pPr>
      <w:r w:rsidRPr="00987DA3">
        <w:rPr>
          <w:kern w:val="2"/>
          <w:szCs w:val="24"/>
        </w:rPr>
        <w:t>5. Relator: Ministro Walton Alencar Rodrigues.</w:t>
      </w:r>
    </w:p>
    <w:p w14:paraId="70627E16" w14:textId="77777777" w:rsidR="00A46262" w:rsidRPr="00987DA3" w:rsidRDefault="00A46262" w:rsidP="00A46262">
      <w:pPr>
        <w:widowControl w:val="0"/>
        <w:tabs>
          <w:tab w:val="left" w:pos="284"/>
        </w:tabs>
        <w:autoSpaceDE w:val="0"/>
        <w:autoSpaceDN w:val="0"/>
        <w:jc w:val="both"/>
        <w:rPr>
          <w:kern w:val="2"/>
          <w:szCs w:val="24"/>
        </w:rPr>
      </w:pPr>
      <w:r w:rsidRPr="00987DA3">
        <w:rPr>
          <w:kern w:val="2"/>
          <w:szCs w:val="24"/>
        </w:rPr>
        <w:t>6. Representante do Ministério Público: Procurador Sergio Ricardo Costa Caribé.</w:t>
      </w:r>
    </w:p>
    <w:p w14:paraId="0D8C0250" w14:textId="77777777" w:rsidR="00A46262" w:rsidRPr="00987DA3" w:rsidRDefault="00A46262" w:rsidP="00A46262">
      <w:pPr>
        <w:widowControl w:val="0"/>
        <w:tabs>
          <w:tab w:val="left" w:pos="284"/>
        </w:tabs>
        <w:autoSpaceDE w:val="0"/>
        <w:autoSpaceDN w:val="0"/>
        <w:jc w:val="both"/>
        <w:rPr>
          <w:kern w:val="2"/>
          <w:szCs w:val="24"/>
        </w:rPr>
      </w:pPr>
      <w:r w:rsidRPr="00987DA3">
        <w:rPr>
          <w:kern w:val="2"/>
          <w:szCs w:val="24"/>
        </w:rPr>
        <w:t>7. Unidade Técnica: Unidade de Auditoria Especializada em Tomada de Contas Especial (AudTCE).</w:t>
      </w:r>
    </w:p>
    <w:p w14:paraId="4F417554" w14:textId="77777777" w:rsidR="00A46262" w:rsidRDefault="00A46262" w:rsidP="00A46262">
      <w:pPr>
        <w:widowControl w:val="0"/>
        <w:tabs>
          <w:tab w:val="left" w:pos="284"/>
        </w:tabs>
        <w:autoSpaceDE w:val="0"/>
        <w:autoSpaceDN w:val="0"/>
        <w:jc w:val="both"/>
        <w:rPr>
          <w:kern w:val="2"/>
          <w:szCs w:val="24"/>
        </w:rPr>
      </w:pPr>
      <w:r w:rsidRPr="00987DA3">
        <w:rPr>
          <w:kern w:val="2"/>
          <w:szCs w:val="24"/>
        </w:rPr>
        <w:t>8. Representação legal: Fernanda Leoni (330251/OAB-SP); Edison Elias de Freitas (246675/OAB-SP) e Victor Luis Portela Rocha (455249/OAB-SP); Otoni França da Costa Filho (280228/OAB-SP), Cristiane Gomes Calil (133131/OAB-SP) e outros; Rodrigo Lorandi Sibinelli (212662/OAB-SP); Fernanda Leoni, Giuseppe Giamundo Neto (234412/OAB-SP) e Camillo Giamundo (305964/OAB-SP); Helena Najjar Abdo (155099/OAB-SP), Victor Luis Portela Rocha (455249/OAB-SP) e outros; Fernanda Leoni (330251/OAB-SP), Giuseppe Giamundo Neto (234412/OAB-SP) e Camillo Giamundo (305964/OAB-SP); Pedro Eduardo Clemesha Ferreira (451535/OAB-SP), Ricardo Menin Gaertner (164495/OAB-SP) e outros; Mateus Cibinello Gomes (81868/OAB-PR); Gilberto Mendes Calasans Gomes (43391/OAB-DF); Guilherme Gonçalves Martin (42989/OAB-DF), Isabella Ribeiro Goncalves (65024/OAB-DF) e outros; Gabriel Jose Bernardi Costa (390203/OAB-SP); Danilo Tavares da Silva (237309/OAB-SP), Nilce Aparecida Silva Van de Bilt (252969/OAB-SP) e outros; Fabiana Pinheiro Freme Ferreira (246899/OAB-SP); Fernanda Leoni (330251/OAB-SP); Fernanda Leoni (330251/OAB-SP).</w:t>
      </w:r>
    </w:p>
    <w:p w14:paraId="1D3EEF2F" w14:textId="77777777" w:rsidR="00A46262" w:rsidRDefault="00A46262" w:rsidP="00A46262">
      <w:pPr>
        <w:widowControl w:val="0"/>
        <w:tabs>
          <w:tab w:val="left" w:pos="284"/>
        </w:tabs>
        <w:autoSpaceDE w:val="0"/>
        <w:autoSpaceDN w:val="0"/>
        <w:jc w:val="both"/>
        <w:rPr>
          <w:kern w:val="2"/>
          <w:szCs w:val="24"/>
        </w:rPr>
      </w:pPr>
    </w:p>
    <w:p w14:paraId="126AA57C" w14:textId="77777777" w:rsidR="00A46262" w:rsidRPr="00987DA3" w:rsidRDefault="00A46262" w:rsidP="00A46262">
      <w:pPr>
        <w:widowControl w:val="0"/>
        <w:tabs>
          <w:tab w:val="left" w:pos="284"/>
        </w:tabs>
        <w:autoSpaceDE w:val="0"/>
        <w:autoSpaceDN w:val="0"/>
        <w:jc w:val="both"/>
        <w:rPr>
          <w:kern w:val="2"/>
          <w:szCs w:val="24"/>
        </w:rPr>
      </w:pPr>
      <w:r>
        <w:rPr>
          <w:kern w:val="2"/>
          <w:szCs w:val="24"/>
        </w:rPr>
        <w:t>9. Acórdão</w:t>
      </w:r>
      <w:r w:rsidRPr="00987DA3">
        <w:rPr>
          <w:kern w:val="2"/>
          <w:szCs w:val="24"/>
        </w:rPr>
        <w:t>:</w:t>
      </w:r>
    </w:p>
    <w:p w14:paraId="205B3D7F" w14:textId="77777777" w:rsidR="00A46262" w:rsidRPr="00987DA3" w:rsidRDefault="00A46262" w:rsidP="00A46262">
      <w:pPr>
        <w:widowControl w:val="0"/>
        <w:tabs>
          <w:tab w:val="left" w:pos="284"/>
        </w:tabs>
        <w:autoSpaceDE w:val="0"/>
        <w:autoSpaceDN w:val="0"/>
        <w:ind w:firstLine="1134"/>
        <w:jc w:val="both"/>
        <w:rPr>
          <w:kern w:val="2"/>
          <w:szCs w:val="24"/>
        </w:rPr>
      </w:pPr>
      <w:r w:rsidRPr="00987DA3">
        <w:rPr>
          <w:kern w:val="2"/>
          <w:szCs w:val="24"/>
        </w:rPr>
        <w:t>VISTOS, relatados e discutidos estes autos de Tomada de Contas Especial instaurada em cumprimento ao Acórdão 1.632/2022-TCU-Plenário, para apurar irregularidades identificadas nas obras de construção do Lote 2 do Trecho Norte do Rodoanel Mário Covas, objeto do Contrato 4.349/2013, firmado entre a Dersa – Desenvolvimento Rodoviário S.A. e a Construtora OAS S.A.;</w:t>
      </w:r>
    </w:p>
    <w:p w14:paraId="6752F47F" w14:textId="77777777" w:rsidR="00A46262" w:rsidRDefault="00A46262" w:rsidP="00A46262">
      <w:pPr>
        <w:widowControl w:val="0"/>
        <w:tabs>
          <w:tab w:val="left" w:pos="284"/>
        </w:tabs>
        <w:autoSpaceDE w:val="0"/>
        <w:autoSpaceDN w:val="0"/>
        <w:ind w:firstLine="1134"/>
        <w:jc w:val="both"/>
        <w:rPr>
          <w:kern w:val="2"/>
          <w:szCs w:val="24"/>
        </w:rPr>
      </w:pPr>
      <w:r w:rsidRPr="00987DA3">
        <w:rPr>
          <w:kern w:val="2"/>
          <w:szCs w:val="24"/>
        </w:rPr>
        <w:t xml:space="preserve">ACORDAM os Ministros do Tribunal de Contas da União, </w:t>
      </w:r>
      <w:r w:rsidRPr="00E62710">
        <w:rPr>
          <w:kern w:val="2"/>
          <w:szCs w:val="24"/>
        </w:rPr>
        <w:t>reunidos em sessão da Primeira Câmara, por unanimidade</w:t>
      </w:r>
      <w:r w:rsidRPr="00987DA3">
        <w:rPr>
          <w:kern w:val="2"/>
          <w:szCs w:val="24"/>
        </w:rPr>
        <w:t>, ante as razões expostas pelo Relator, em:</w:t>
      </w:r>
    </w:p>
    <w:p w14:paraId="747A9149" w14:textId="77777777" w:rsidR="00A46262" w:rsidRPr="00987DA3" w:rsidRDefault="00A46262" w:rsidP="00A46262">
      <w:pPr>
        <w:widowControl w:val="0"/>
        <w:tabs>
          <w:tab w:val="left" w:pos="284"/>
        </w:tabs>
        <w:autoSpaceDE w:val="0"/>
        <w:autoSpaceDN w:val="0"/>
        <w:ind w:firstLine="1134"/>
        <w:jc w:val="both"/>
        <w:rPr>
          <w:kern w:val="2"/>
          <w:szCs w:val="24"/>
        </w:rPr>
      </w:pPr>
      <w:r>
        <w:rPr>
          <w:kern w:val="2"/>
        </w:rPr>
        <w:t>9.1. indeferir os pedidos de restituição dos autos à unidade instrutiva formulados pela Construtora Coesa S.A. – Em Recuperação Judicial (peças 316 a 321), e por Laurence Casagrande Lourenço (peças 322 e 323);</w:t>
      </w:r>
    </w:p>
    <w:p w14:paraId="1D24A5F7" w14:textId="77777777" w:rsidR="00A46262" w:rsidRPr="00987DA3" w:rsidRDefault="00A46262" w:rsidP="00A46262">
      <w:pPr>
        <w:widowControl w:val="0"/>
        <w:tabs>
          <w:tab w:val="left" w:pos="284"/>
        </w:tabs>
        <w:autoSpaceDE w:val="0"/>
        <w:autoSpaceDN w:val="0"/>
        <w:ind w:firstLine="1134"/>
        <w:jc w:val="both"/>
        <w:rPr>
          <w:kern w:val="2"/>
          <w:szCs w:val="24"/>
        </w:rPr>
      </w:pPr>
      <w:r w:rsidRPr="00987DA3">
        <w:rPr>
          <w:kern w:val="2"/>
          <w:szCs w:val="24"/>
        </w:rPr>
        <w:lastRenderedPageBreak/>
        <w:t>9.</w:t>
      </w:r>
      <w:r>
        <w:rPr>
          <w:kern w:val="2"/>
          <w:szCs w:val="24"/>
        </w:rPr>
        <w:t>2</w:t>
      </w:r>
      <w:r w:rsidRPr="00987DA3">
        <w:rPr>
          <w:kern w:val="2"/>
          <w:szCs w:val="24"/>
        </w:rPr>
        <w:t xml:space="preserve">. rejeitar as alegações de defesa apresentadas por Benedito Aparecido Trida, Pedro da Silva, Laurence Casagrande Lourenço, Pedro Paulo Dantas do Amaral Campos, Benjamim Venâncio de Melo Júnior, Nilson Rogério Baroni e Construtora </w:t>
      </w:r>
      <w:r>
        <w:rPr>
          <w:kern w:val="2"/>
          <w:szCs w:val="24"/>
        </w:rPr>
        <w:t>Coesa</w:t>
      </w:r>
      <w:r w:rsidRPr="00987DA3">
        <w:rPr>
          <w:kern w:val="2"/>
          <w:szCs w:val="24"/>
        </w:rPr>
        <w:t xml:space="preserve"> S.A., referentes ao superfaturamento decorrente da inclusão indevida de novos serviços no 3º </w:t>
      </w:r>
      <w:r>
        <w:rPr>
          <w:kern w:val="2"/>
          <w:szCs w:val="24"/>
        </w:rPr>
        <w:t>Termo Aditivo Modificativo (</w:t>
      </w:r>
      <w:r w:rsidRPr="00987DA3">
        <w:rPr>
          <w:kern w:val="2"/>
          <w:szCs w:val="24"/>
        </w:rPr>
        <w:t>TAM</w:t>
      </w:r>
      <w:r>
        <w:rPr>
          <w:kern w:val="2"/>
          <w:szCs w:val="24"/>
        </w:rPr>
        <w:t>)</w:t>
      </w:r>
      <w:r w:rsidRPr="00987DA3">
        <w:rPr>
          <w:kern w:val="2"/>
          <w:szCs w:val="24"/>
        </w:rPr>
        <w:t xml:space="preserve"> relacionados à ocorrência de matacões;</w:t>
      </w:r>
    </w:p>
    <w:p w14:paraId="21FFC5BB" w14:textId="77777777" w:rsidR="00A46262" w:rsidRPr="00987DA3" w:rsidRDefault="00A46262" w:rsidP="00A46262">
      <w:pPr>
        <w:widowControl w:val="0"/>
        <w:tabs>
          <w:tab w:val="left" w:pos="284"/>
        </w:tabs>
        <w:autoSpaceDE w:val="0"/>
        <w:autoSpaceDN w:val="0"/>
        <w:ind w:firstLine="1134"/>
        <w:jc w:val="both"/>
        <w:rPr>
          <w:kern w:val="2"/>
          <w:szCs w:val="24"/>
        </w:rPr>
      </w:pPr>
      <w:r w:rsidRPr="00987DA3">
        <w:rPr>
          <w:kern w:val="2"/>
          <w:szCs w:val="24"/>
        </w:rPr>
        <w:t>9.</w:t>
      </w:r>
      <w:r>
        <w:rPr>
          <w:kern w:val="2"/>
          <w:szCs w:val="24"/>
        </w:rPr>
        <w:t>3</w:t>
      </w:r>
      <w:r w:rsidRPr="00987DA3">
        <w:rPr>
          <w:kern w:val="2"/>
          <w:szCs w:val="24"/>
        </w:rPr>
        <w:t xml:space="preserve">. rejeitar as alegações de defesa apresentadas por Carlos Satoru Miyasato, João Carlos de Lima Pereira, Wild Gonçalves Fischer, Pedro da Silva, Pedro Paulo Dantas do Amaral Campos e Construtora </w:t>
      </w:r>
      <w:r>
        <w:rPr>
          <w:kern w:val="2"/>
          <w:szCs w:val="24"/>
        </w:rPr>
        <w:t>Coesa</w:t>
      </w:r>
      <w:r w:rsidRPr="00987DA3">
        <w:rPr>
          <w:kern w:val="2"/>
          <w:szCs w:val="24"/>
        </w:rPr>
        <w:t xml:space="preserve"> S.A., referentes ao superfaturamento resultante da utilização de inadequada metodologia de cálculo do reequilíbrio econômico-financeiro;</w:t>
      </w:r>
    </w:p>
    <w:p w14:paraId="6C5157F8" w14:textId="77777777" w:rsidR="00A46262" w:rsidRPr="00987DA3" w:rsidRDefault="00A46262" w:rsidP="00A46262">
      <w:pPr>
        <w:widowControl w:val="0"/>
        <w:tabs>
          <w:tab w:val="left" w:pos="284"/>
        </w:tabs>
        <w:autoSpaceDE w:val="0"/>
        <w:autoSpaceDN w:val="0"/>
        <w:ind w:firstLine="1134"/>
        <w:jc w:val="both"/>
        <w:rPr>
          <w:kern w:val="2"/>
          <w:szCs w:val="24"/>
        </w:rPr>
      </w:pPr>
      <w:r w:rsidRPr="00987DA3">
        <w:rPr>
          <w:kern w:val="2"/>
          <w:szCs w:val="24"/>
        </w:rPr>
        <w:t>9.</w:t>
      </w:r>
      <w:r>
        <w:rPr>
          <w:kern w:val="2"/>
          <w:szCs w:val="24"/>
        </w:rPr>
        <w:t>4</w:t>
      </w:r>
      <w:r w:rsidRPr="00987DA3">
        <w:rPr>
          <w:kern w:val="2"/>
          <w:szCs w:val="24"/>
        </w:rPr>
        <w:t xml:space="preserve">. rejeitar as alegações de defesa apresentadas por Pedro da Silva, Pedro Paulo Dantas do Amaral Campos e Construtora </w:t>
      </w:r>
      <w:r>
        <w:rPr>
          <w:kern w:val="2"/>
          <w:szCs w:val="24"/>
        </w:rPr>
        <w:t>Coesa</w:t>
      </w:r>
      <w:r w:rsidRPr="00987DA3">
        <w:rPr>
          <w:kern w:val="2"/>
          <w:szCs w:val="24"/>
        </w:rPr>
        <w:t xml:space="preserve"> S.A., referentes ao superfaturamento resultante da duplicidade de pagamentos no 10º TAM;</w:t>
      </w:r>
    </w:p>
    <w:p w14:paraId="07A8B86A" w14:textId="77777777" w:rsidR="00A46262" w:rsidRPr="00987DA3" w:rsidRDefault="00A46262" w:rsidP="00A46262">
      <w:pPr>
        <w:widowControl w:val="0"/>
        <w:tabs>
          <w:tab w:val="left" w:pos="284"/>
        </w:tabs>
        <w:autoSpaceDE w:val="0"/>
        <w:autoSpaceDN w:val="0"/>
        <w:ind w:firstLine="1134"/>
        <w:jc w:val="both"/>
        <w:rPr>
          <w:kern w:val="2"/>
          <w:szCs w:val="24"/>
        </w:rPr>
      </w:pPr>
      <w:r w:rsidRPr="00987DA3">
        <w:rPr>
          <w:kern w:val="2"/>
          <w:szCs w:val="24"/>
        </w:rPr>
        <w:t>9.</w:t>
      </w:r>
      <w:r>
        <w:rPr>
          <w:kern w:val="2"/>
          <w:szCs w:val="24"/>
        </w:rPr>
        <w:t>5</w:t>
      </w:r>
      <w:r w:rsidRPr="00987DA3">
        <w:rPr>
          <w:kern w:val="2"/>
          <w:szCs w:val="24"/>
        </w:rPr>
        <w:t xml:space="preserve">. rejeitar as alegações de defesa apresentadas por Benedito Aparecido Trida, Pedro da Silva, Pedro Paulo Dantas do Amaral Campos, Laurence Casagrande Lourenço e Construtora </w:t>
      </w:r>
      <w:r>
        <w:rPr>
          <w:kern w:val="2"/>
          <w:szCs w:val="24"/>
        </w:rPr>
        <w:t>Coesa</w:t>
      </w:r>
      <w:r w:rsidRPr="00987DA3">
        <w:rPr>
          <w:kern w:val="2"/>
          <w:szCs w:val="24"/>
        </w:rPr>
        <w:t xml:space="preserve"> S.A., referentes ao não reaproveitamento do material pétreo de 3ª categoria escavado na obra;</w:t>
      </w:r>
    </w:p>
    <w:p w14:paraId="6EB75C99" w14:textId="77777777" w:rsidR="00A46262" w:rsidRPr="00987DA3" w:rsidRDefault="00A46262" w:rsidP="00A46262">
      <w:pPr>
        <w:widowControl w:val="0"/>
        <w:tabs>
          <w:tab w:val="left" w:pos="284"/>
        </w:tabs>
        <w:autoSpaceDE w:val="0"/>
        <w:autoSpaceDN w:val="0"/>
        <w:ind w:firstLine="1134"/>
        <w:jc w:val="both"/>
        <w:rPr>
          <w:kern w:val="2"/>
          <w:szCs w:val="24"/>
        </w:rPr>
      </w:pPr>
      <w:r w:rsidRPr="00987DA3">
        <w:rPr>
          <w:kern w:val="2"/>
          <w:szCs w:val="24"/>
        </w:rPr>
        <w:t>9.</w:t>
      </w:r>
      <w:r>
        <w:rPr>
          <w:kern w:val="2"/>
          <w:szCs w:val="24"/>
        </w:rPr>
        <w:t>6</w:t>
      </w:r>
      <w:r w:rsidRPr="00987DA3">
        <w:rPr>
          <w:kern w:val="2"/>
          <w:szCs w:val="24"/>
        </w:rPr>
        <w:t>. acolher as alegações de defesa apresentadas por José Arnaldo Almeida dos Santos, espólio de Estanislau Marcka, Carlos Satoru Miyasato e Emílio Urbano Squarcina, referentes ao não reaproveitamento do material pétreo de 3ª categoria escavado na obra;</w:t>
      </w:r>
    </w:p>
    <w:p w14:paraId="0B684C3A" w14:textId="77777777" w:rsidR="00A46262" w:rsidRPr="00987DA3" w:rsidRDefault="00A46262" w:rsidP="00A46262">
      <w:pPr>
        <w:widowControl w:val="0"/>
        <w:tabs>
          <w:tab w:val="left" w:pos="284"/>
        </w:tabs>
        <w:autoSpaceDE w:val="0"/>
        <w:autoSpaceDN w:val="0"/>
        <w:ind w:firstLine="1134"/>
        <w:jc w:val="both"/>
        <w:rPr>
          <w:kern w:val="2"/>
          <w:szCs w:val="24"/>
        </w:rPr>
      </w:pPr>
      <w:r w:rsidRPr="00987DA3">
        <w:rPr>
          <w:kern w:val="2"/>
          <w:szCs w:val="24"/>
        </w:rPr>
        <w:t>9.</w:t>
      </w:r>
      <w:r>
        <w:rPr>
          <w:kern w:val="2"/>
          <w:szCs w:val="24"/>
        </w:rPr>
        <w:t>7</w:t>
      </w:r>
      <w:r w:rsidRPr="00987DA3">
        <w:rPr>
          <w:kern w:val="2"/>
          <w:szCs w:val="24"/>
        </w:rPr>
        <w:t>. rejeitar as razões de justificativa apresentadas por Pedro da Silva, Laurence Casagrande Lourenço, Benjamim Venâncio de Melo Júnior, Sílvia Cristina Aranega Menezes, João Henrique Poiani, Nilson Rogério Baroni e Benedito Aparecido Trida, referentes à aprovação de aditivos com impacto financeiro declarado como nulo;</w:t>
      </w:r>
    </w:p>
    <w:p w14:paraId="3B40FD40" w14:textId="77777777" w:rsidR="00A46262" w:rsidRPr="00987DA3" w:rsidRDefault="00A46262" w:rsidP="00A46262">
      <w:pPr>
        <w:widowControl w:val="0"/>
        <w:tabs>
          <w:tab w:val="left" w:pos="284"/>
        </w:tabs>
        <w:autoSpaceDE w:val="0"/>
        <w:autoSpaceDN w:val="0"/>
        <w:ind w:firstLine="1134"/>
        <w:jc w:val="both"/>
        <w:rPr>
          <w:kern w:val="2"/>
          <w:szCs w:val="24"/>
        </w:rPr>
      </w:pPr>
      <w:r w:rsidRPr="00987DA3">
        <w:rPr>
          <w:kern w:val="2"/>
          <w:szCs w:val="24"/>
        </w:rPr>
        <w:t>9.</w:t>
      </w:r>
      <w:r>
        <w:rPr>
          <w:kern w:val="2"/>
          <w:szCs w:val="24"/>
        </w:rPr>
        <w:t>8</w:t>
      </w:r>
      <w:r w:rsidRPr="00987DA3">
        <w:rPr>
          <w:kern w:val="2"/>
          <w:szCs w:val="24"/>
        </w:rPr>
        <w:t>. acolher as razões de justificativa apresentadas por Benedito Aparecido Trida, Pedro da Silva, Pedro Paulo Dantas do Amaral Campos, Laurence Casagrande Lourenço, Benjamim Venâncio de Melo Júnior e Nilson Rogério Baroni, referentes à subcontratação dos serviços de escavação dos Túneis 201 e 301;</w:t>
      </w:r>
    </w:p>
    <w:p w14:paraId="47405239" w14:textId="77777777" w:rsidR="00A46262" w:rsidRPr="00987DA3" w:rsidRDefault="00A46262" w:rsidP="00A46262">
      <w:pPr>
        <w:widowControl w:val="0"/>
        <w:tabs>
          <w:tab w:val="left" w:pos="284"/>
        </w:tabs>
        <w:autoSpaceDE w:val="0"/>
        <w:autoSpaceDN w:val="0"/>
        <w:ind w:firstLine="1134"/>
        <w:jc w:val="both"/>
        <w:rPr>
          <w:kern w:val="2"/>
          <w:szCs w:val="24"/>
        </w:rPr>
      </w:pPr>
      <w:r w:rsidRPr="00987DA3">
        <w:rPr>
          <w:kern w:val="2"/>
          <w:szCs w:val="24"/>
        </w:rPr>
        <w:t>9.</w:t>
      </w:r>
      <w:r>
        <w:rPr>
          <w:kern w:val="2"/>
          <w:szCs w:val="24"/>
        </w:rPr>
        <w:t>9</w:t>
      </w:r>
      <w:r w:rsidRPr="00987DA3">
        <w:rPr>
          <w:kern w:val="2"/>
          <w:szCs w:val="24"/>
        </w:rPr>
        <w:t xml:space="preserve">. acolher as razões de justificativa apresentadas por Pedro Paulo Dantas do Amaral Campos e rejeitar as apresentadas por Benedito Aparecido Trida, referentes ao pagamento por serviços da </w:t>
      </w:r>
      <w:r>
        <w:rPr>
          <w:kern w:val="2"/>
          <w:szCs w:val="24"/>
        </w:rPr>
        <w:t>Obra de Arte Especial (</w:t>
      </w:r>
      <w:r w:rsidRPr="00987DA3">
        <w:rPr>
          <w:kern w:val="2"/>
          <w:szCs w:val="24"/>
        </w:rPr>
        <w:t>OAE</w:t>
      </w:r>
      <w:r>
        <w:rPr>
          <w:kern w:val="2"/>
          <w:szCs w:val="24"/>
        </w:rPr>
        <w:t>)</w:t>
      </w:r>
      <w:r w:rsidRPr="00987DA3">
        <w:rPr>
          <w:kern w:val="2"/>
          <w:szCs w:val="24"/>
        </w:rPr>
        <w:t xml:space="preserve"> 204 medidos de modo diverso do executado;</w:t>
      </w:r>
    </w:p>
    <w:p w14:paraId="099F239C" w14:textId="77777777" w:rsidR="00A46262" w:rsidRPr="00987DA3" w:rsidRDefault="00A46262" w:rsidP="00A46262">
      <w:pPr>
        <w:widowControl w:val="0"/>
        <w:tabs>
          <w:tab w:val="left" w:pos="284"/>
        </w:tabs>
        <w:autoSpaceDE w:val="0"/>
        <w:autoSpaceDN w:val="0"/>
        <w:ind w:firstLine="1134"/>
        <w:jc w:val="both"/>
        <w:rPr>
          <w:kern w:val="2"/>
          <w:szCs w:val="24"/>
        </w:rPr>
      </w:pPr>
      <w:r w:rsidRPr="00987DA3">
        <w:rPr>
          <w:kern w:val="2"/>
          <w:szCs w:val="24"/>
        </w:rPr>
        <w:t>9.</w:t>
      </w:r>
      <w:r>
        <w:rPr>
          <w:kern w:val="2"/>
          <w:szCs w:val="24"/>
        </w:rPr>
        <w:t>10</w:t>
      </w:r>
      <w:r w:rsidRPr="00987DA3">
        <w:rPr>
          <w:kern w:val="2"/>
          <w:szCs w:val="24"/>
        </w:rPr>
        <w:t>. acolher as razões de justificativa apresentadas por Arabenes Pereira de Andrade Correa e Jaqueline Costa da Silva, referentes à omissão na análise das prestações de contas do Termo de Compromisso TC-004/1999;</w:t>
      </w:r>
    </w:p>
    <w:p w14:paraId="3925D56A" w14:textId="77777777" w:rsidR="00A46262" w:rsidRPr="00987DA3" w:rsidRDefault="00A46262" w:rsidP="00A46262">
      <w:pPr>
        <w:widowControl w:val="0"/>
        <w:tabs>
          <w:tab w:val="left" w:pos="284"/>
        </w:tabs>
        <w:autoSpaceDE w:val="0"/>
        <w:autoSpaceDN w:val="0"/>
        <w:ind w:firstLine="1134"/>
        <w:jc w:val="both"/>
        <w:rPr>
          <w:kern w:val="2"/>
          <w:szCs w:val="24"/>
        </w:rPr>
      </w:pPr>
      <w:r w:rsidRPr="00987DA3">
        <w:rPr>
          <w:kern w:val="2"/>
          <w:szCs w:val="24"/>
        </w:rPr>
        <w:t>9.1</w:t>
      </w:r>
      <w:r>
        <w:rPr>
          <w:kern w:val="2"/>
          <w:szCs w:val="24"/>
        </w:rPr>
        <w:t>1</w:t>
      </w:r>
      <w:r w:rsidRPr="00987DA3">
        <w:rPr>
          <w:kern w:val="2"/>
          <w:szCs w:val="24"/>
        </w:rPr>
        <w:t>. julgar regulares, com fundamento nos arts. 1º, inciso I, 16, inciso I, 17 e 23, inciso I, da Lei 8.443/1992, as contas de Arabenes Pereira de Andrade Correa</w:t>
      </w:r>
      <w:r>
        <w:rPr>
          <w:kern w:val="2"/>
          <w:szCs w:val="24"/>
        </w:rPr>
        <w:t xml:space="preserve">, de </w:t>
      </w:r>
      <w:r w:rsidRPr="00987DA3">
        <w:rPr>
          <w:kern w:val="2"/>
          <w:szCs w:val="24"/>
        </w:rPr>
        <w:t xml:space="preserve">Jaqueline Costa da Silva, </w:t>
      </w:r>
      <w:r>
        <w:rPr>
          <w:kern w:val="2"/>
        </w:rPr>
        <w:t xml:space="preserve">de José Arnaldo Almeida dos Santos, do espólio de Estanislau Marcka e de Emílio Urbano Squarcina, </w:t>
      </w:r>
      <w:r w:rsidRPr="00987DA3">
        <w:rPr>
          <w:kern w:val="2"/>
          <w:szCs w:val="24"/>
        </w:rPr>
        <w:t>dando-lhes quitação plena;</w:t>
      </w:r>
    </w:p>
    <w:p w14:paraId="7B7910C1" w14:textId="77777777" w:rsidR="00A46262" w:rsidRPr="00987DA3" w:rsidRDefault="00A46262" w:rsidP="00A46262">
      <w:pPr>
        <w:widowControl w:val="0"/>
        <w:tabs>
          <w:tab w:val="left" w:pos="284"/>
        </w:tabs>
        <w:autoSpaceDE w:val="0"/>
        <w:autoSpaceDN w:val="0"/>
        <w:ind w:firstLine="1134"/>
        <w:jc w:val="both"/>
        <w:rPr>
          <w:kern w:val="2"/>
          <w:szCs w:val="24"/>
        </w:rPr>
      </w:pPr>
      <w:r w:rsidRPr="00987DA3">
        <w:rPr>
          <w:kern w:val="2"/>
          <w:szCs w:val="24"/>
        </w:rPr>
        <w:t>9.1</w:t>
      </w:r>
      <w:r>
        <w:rPr>
          <w:kern w:val="2"/>
          <w:szCs w:val="24"/>
        </w:rPr>
        <w:t>2</w:t>
      </w:r>
      <w:r w:rsidRPr="00987DA3">
        <w:rPr>
          <w:kern w:val="2"/>
          <w:szCs w:val="24"/>
        </w:rPr>
        <w:t xml:space="preserve">. julgar irregulares, com fundamento nos arts. 1º, inciso I, 16, inciso III, alíneas “b” e “c”, e 19, </w:t>
      </w:r>
      <w:r w:rsidRPr="00456AC8">
        <w:rPr>
          <w:i/>
          <w:iCs/>
          <w:kern w:val="2"/>
          <w:szCs w:val="24"/>
        </w:rPr>
        <w:t>caput</w:t>
      </w:r>
      <w:r w:rsidRPr="00987DA3">
        <w:rPr>
          <w:kern w:val="2"/>
          <w:szCs w:val="24"/>
        </w:rPr>
        <w:t xml:space="preserve">, da Lei 8.443/1992, as contas de Benedito Aparecido Trida, Pedro da Silva, Laurence Casagrande Lourenço, Pedro Paulo Dantas do Amaral Campos, Carlos Satoru Miyasato, João Carlos de Lima Pereira, Wild Gonçalves Fischer, Benjamim Venâncio de Melo Júnior, Nilson Rogério Baroni e Construtora </w:t>
      </w:r>
      <w:r>
        <w:rPr>
          <w:kern w:val="2"/>
          <w:szCs w:val="24"/>
        </w:rPr>
        <w:t>Coesa</w:t>
      </w:r>
      <w:r w:rsidRPr="00987DA3">
        <w:rPr>
          <w:kern w:val="2"/>
          <w:szCs w:val="24"/>
        </w:rPr>
        <w:t xml:space="preserve"> S.A.;</w:t>
      </w:r>
    </w:p>
    <w:p w14:paraId="6E84C6BA" w14:textId="77777777" w:rsidR="00A46262" w:rsidRPr="00987DA3" w:rsidRDefault="00A46262" w:rsidP="00A46262">
      <w:pPr>
        <w:widowControl w:val="0"/>
        <w:tabs>
          <w:tab w:val="left" w:pos="284"/>
        </w:tabs>
        <w:autoSpaceDE w:val="0"/>
        <w:autoSpaceDN w:val="0"/>
        <w:ind w:firstLine="1134"/>
        <w:jc w:val="both"/>
        <w:rPr>
          <w:kern w:val="2"/>
          <w:szCs w:val="24"/>
        </w:rPr>
      </w:pPr>
      <w:r w:rsidRPr="00987DA3">
        <w:rPr>
          <w:kern w:val="2"/>
          <w:szCs w:val="24"/>
        </w:rPr>
        <w:t>9.1</w:t>
      </w:r>
      <w:r>
        <w:rPr>
          <w:kern w:val="2"/>
          <w:szCs w:val="24"/>
        </w:rPr>
        <w:t>3</w:t>
      </w:r>
      <w:r w:rsidRPr="00987DA3">
        <w:rPr>
          <w:kern w:val="2"/>
          <w:szCs w:val="24"/>
        </w:rPr>
        <w:t xml:space="preserve">. condenar Benedito Aparecido Trida, Pedro da Silva, Laurence Casagrande Lourenço, Pedro Paulo Dantas do Amaral Campos, Benjamim Venâncio de Melo Júnior, Nilson Rogério Baroni e Construtora </w:t>
      </w:r>
      <w:r>
        <w:rPr>
          <w:kern w:val="2"/>
          <w:szCs w:val="24"/>
        </w:rPr>
        <w:t>Coesa</w:t>
      </w:r>
      <w:r w:rsidRPr="00987DA3">
        <w:rPr>
          <w:kern w:val="2"/>
          <w:szCs w:val="24"/>
        </w:rPr>
        <w:t xml:space="preserve"> S.A., solidariamente, ao pagamento das quantias a seguir especificadas, pelo superfaturamento decorrente da </w:t>
      </w:r>
      <w:r w:rsidRPr="00987DA3">
        <w:rPr>
          <w:kern w:val="2"/>
          <w:szCs w:val="24"/>
        </w:rPr>
        <w:lastRenderedPageBreak/>
        <w:t xml:space="preserve">inclusão indevida de novos serviços no 3º TAM relacionados à ocorrência de matacões (medições 32 a 56), com a atualização monetária e os juros de mora calculados desde as datas indicadas até o efetivo recolhimento, fixando-lhes o prazo de 15 (quinze) dias, a contar das notificações, para que comprovem, perante o Tribunal, o recolhimento da dívida ao </w:t>
      </w:r>
      <w:r>
        <w:rPr>
          <w:kern w:val="2"/>
          <w:szCs w:val="24"/>
        </w:rPr>
        <w:t>Tesouro Nacional</w:t>
      </w:r>
      <w:r w:rsidRPr="00987DA3">
        <w:rPr>
          <w:kern w:val="2"/>
          <w:szCs w:val="24"/>
        </w:rPr>
        <w:t>, nos termos do art. 214, inciso III, alínea “a”, do Regimento Interno:</w:t>
      </w:r>
    </w:p>
    <w:tbl>
      <w:tblPr>
        <w:tblW w:w="0" w:type="auto"/>
        <w:jc w:val="center"/>
        <w:tblCellSpacing w:w="15" w:type="dxa"/>
        <w:tblBorders>
          <w:top w:val="single" w:sz="4" w:space="0" w:color="auto"/>
          <w:left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731"/>
        <w:gridCol w:w="2761"/>
      </w:tblGrid>
      <w:tr w:rsidR="00A46262" w:rsidRPr="00987DA3" w14:paraId="5BA67118" w14:textId="77777777" w:rsidTr="003116EC">
        <w:trPr>
          <w:tblHeader/>
          <w:tblCellSpacing w:w="15" w:type="dxa"/>
          <w:jc w:val="center"/>
        </w:trPr>
        <w:tc>
          <w:tcPr>
            <w:tcW w:w="2686"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76C8CF45" w14:textId="77777777" w:rsidR="00A46262" w:rsidRPr="00987DA3" w:rsidRDefault="00A46262" w:rsidP="003116EC">
            <w:pPr>
              <w:widowControl w:val="0"/>
              <w:tabs>
                <w:tab w:val="left" w:pos="284"/>
              </w:tabs>
              <w:autoSpaceDE w:val="0"/>
              <w:autoSpaceDN w:val="0"/>
              <w:ind w:left="215" w:hanging="142"/>
              <w:jc w:val="center"/>
              <w:rPr>
                <w:b/>
                <w:bCs/>
                <w:kern w:val="2"/>
                <w:szCs w:val="24"/>
              </w:rPr>
            </w:pPr>
            <w:bookmarkStart w:id="5" w:name="_Hlk232172135"/>
            <w:r w:rsidRPr="00987DA3">
              <w:rPr>
                <w:b/>
                <w:bCs/>
                <w:kern w:val="2"/>
                <w:szCs w:val="24"/>
              </w:rPr>
              <w:t>VALOR ORIGINAL (R$)</w:t>
            </w:r>
          </w:p>
        </w:tc>
        <w:tc>
          <w:tcPr>
            <w:tcW w:w="2716" w:type="dxa"/>
            <w:tcBorders>
              <w:top w:val="nil"/>
              <w:left w:val="nil"/>
              <w:bottom w:val="single" w:sz="4" w:space="0" w:color="auto"/>
            </w:tcBorders>
            <w:tcMar>
              <w:top w:w="15" w:type="dxa"/>
              <w:left w:w="15" w:type="dxa"/>
              <w:bottom w:w="15" w:type="dxa"/>
              <w:right w:w="15" w:type="dxa"/>
            </w:tcMar>
            <w:vAlign w:val="center"/>
            <w:hideMark/>
          </w:tcPr>
          <w:p w14:paraId="10C47418" w14:textId="77777777" w:rsidR="00A46262" w:rsidRPr="00987DA3" w:rsidRDefault="00A46262" w:rsidP="003116EC">
            <w:pPr>
              <w:widowControl w:val="0"/>
              <w:tabs>
                <w:tab w:val="left" w:pos="284"/>
              </w:tabs>
              <w:autoSpaceDE w:val="0"/>
              <w:autoSpaceDN w:val="0"/>
              <w:ind w:left="215" w:hanging="142"/>
              <w:jc w:val="center"/>
              <w:rPr>
                <w:b/>
                <w:bCs/>
                <w:kern w:val="2"/>
                <w:szCs w:val="24"/>
              </w:rPr>
            </w:pPr>
            <w:r w:rsidRPr="00987DA3">
              <w:rPr>
                <w:b/>
                <w:bCs/>
                <w:kern w:val="2"/>
                <w:szCs w:val="24"/>
              </w:rPr>
              <w:t>DATA DA OCORRÊNCIA</w:t>
            </w:r>
          </w:p>
        </w:tc>
      </w:tr>
      <w:tr w:rsidR="00A46262" w:rsidRPr="00987DA3" w14:paraId="20DE3F03" w14:textId="77777777" w:rsidTr="003116EC">
        <w:trPr>
          <w:tblCellSpacing w:w="15" w:type="dxa"/>
          <w:jc w:val="center"/>
        </w:trPr>
        <w:tc>
          <w:tcPr>
            <w:tcW w:w="2686"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1B4D7E49"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10.714.457,84</w:t>
            </w:r>
          </w:p>
        </w:tc>
        <w:tc>
          <w:tcPr>
            <w:tcW w:w="2716" w:type="dxa"/>
            <w:tcBorders>
              <w:top w:val="nil"/>
              <w:left w:val="nil"/>
              <w:bottom w:val="single" w:sz="4" w:space="0" w:color="auto"/>
            </w:tcBorders>
            <w:tcMar>
              <w:top w:w="15" w:type="dxa"/>
              <w:left w:w="15" w:type="dxa"/>
              <w:bottom w:w="15" w:type="dxa"/>
              <w:right w:w="15" w:type="dxa"/>
            </w:tcMar>
            <w:vAlign w:val="center"/>
            <w:hideMark/>
          </w:tcPr>
          <w:p w14:paraId="06F284D3"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30/10/2015</w:t>
            </w:r>
          </w:p>
        </w:tc>
      </w:tr>
      <w:tr w:rsidR="00A46262" w:rsidRPr="00987DA3" w14:paraId="412F9EFB" w14:textId="77777777" w:rsidTr="003116EC">
        <w:trPr>
          <w:tblCellSpacing w:w="15" w:type="dxa"/>
          <w:jc w:val="center"/>
        </w:trPr>
        <w:tc>
          <w:tcPr>
            <w:tcW w:w="2686"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09241DF3"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16.599.532,68</w:t>
            </w:r>
          </w:p>
        </w:tc>
        <w:tc>
          <w:tcPr>
            <w:tcW w:w="2716" w:type="dxa"/>
            <w:tcBorders>
              <w:top w:val="nil"/>
              <w:left w:val="nil"/>
              <w:bottom w:val="single" w:sz="4" w:space="0" w:color="auto"/>
            </w:tcBorders>
            <w:tcMar>
              <w:top w:w="15" w:type="dxa"/>
              <w:left w:w="15" w:type="dxa"/>
              <w:bottom w:w="15" w:type="dxa"/>
              <w:right w:w="15" w:type="dxa"/>
            </w:tcMar>
            <w:vAlign w:val="center"/>
            <w:hideMark/>
          </w:tcPr>
          <w:p w14:paraId="499DAE2C"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30/11/2015</w:t>
            </w:r>
          </w:p>
        </w:tc>
      </w:tr>
      <w:tr w:rsidR="00A46262" w:rsidRPr="00987DA3" w14:paraId="08F462CC" w14:textId="77777777" w:rsidTr="003116EC">
        <w:trPr>
          <w:tblCellSpacing w:w="15" w:type="dxa"/>
          <w:jc w:val="center"/>
        </w:trPr>
        <w:tc>
          <w:tcPr>
            <w:tcW w:w="2686"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5AF2EA95"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5.186.923,01</w:t>
            </w:r>
          </w:p>
        </w:tc>
        <w:tc>
          <w:tcPr>
            <w:tcW w:w="2716" w:type="dxa"/>
            <w:tcBorders>
              <w:top w:val="nil"/>
              <w:left w:val="nil"/>
              <w:bottom w:val="single" w:sz="4" w:space="0" w:color="auto"/>
            </w:tcBorders>
            <w:tcMar>
              <w:top w:w="15" w:type="dxa"/>
              <w:left w:w="15" w:type="dxa"/>
              <w:bottom w:w="15" w:type="dxa"/>
              <w:right w:w="15" w:type="dxa"/>
            </w:tcMar>
            <w:vAlign w:val="center"/>
            <w:hideMark/>
          </w:tcPr>
          <w:p w14:paraId="341E4972"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30/12/2015</w:t>
            </w:r>
          </w:p>
        </w:tc>
      </w:tr>
      <w:tr w:rsidR="00A46262" w:rsidRPr="00987DA3" w14:paraId="5AE449A0" w14:textId="77777777" w:rsidTr="003116EC">
        <w:trPr>
          <w:tblCellSpacing w:w="15" w:type="dxa"/>
          <w:jc w:val="center"/>
        </w:trPr>
        <w:tc>
          <w:tcPr>
            <w:tcW w:w="2686"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227EF16C"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4.771,21</w:t>
            </w:r>
          </w:p>
        </w:tc>
        <w:tc>
          <w:tcPr>
            <w:tcW w:w="2716" w:type="dxa"/>
            <w:tcBorders>
              <w:top w:val="nil"/>
              <w:left w:val="nil"/>
              <w:bottom w:val="single" w:sz="4" w:space="0" w:color="auto"/>
            </w:tcBorders>
            <w:tcMar>
              <w:top w:w="15" w:type="dxa"/>
              <w:left w:w="15" w:type="dxa"/>
              <w:bottom w:w="15" w:type="dxa"/>
              <w:right w:w="15" w:type="dxa"/>
            </w:tcMar>
            <w:vAlign w:val="center"/>
            <w:hideMark/>
          </w:tcPr>
          <w:p w14:paraId="7B007062"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29/1/2016</w:t>
            </w:r>
          </w:p>
        </w:tc>
      </w:tr>
      <w:tr w:rsidR="00A46262" w:rsidRPr="00987DA3" w14:paraId="444FB87F" w14:textId="77777777" w:rsidTr="003116EC">
        <w:trPr>
          <w:tblCellSpacing w:w="15" w:type="dxa"/>
          <w:jc w:val="center"/>
        </w:trPr>
        <w:tc>
          <w:tcPr>
            <w:tcW w:w="2686"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02E959DE"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2.512.290,70</w:t>
            </w:r>
          </w:p>
        </w:tc>
        <w:tc>
          <w:tcPr>
            <w:tcW w:w="2716" w:type="dxa"/>
            <w:tcBorders>
              <w:top w:val="nil"/>
              <w:left w:val="nil"/>
              <w:bottom w:val="single" w:sz="4" w:space="0" w:color="auto"/>
            </w:tcBorders>
            <w:tcMar>
              <w:top w:w="15" w:type="dxa"/>
              <w:left w:w="15" w:type="dxa"/>
              <w:bottom w:w="15" w:type="dxa"/>
              <w:right w:w="15" w:type="dxa"/>
            </w:tcMar>
            <w:vAlign w:val="center"/>
            <w:hideMark/>
          </w:tcPr>
          <w:p w14:paraId="4D294BDA"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29/2/2016</w:t>
            </w:r>
          </w:p>
        </w:tc>
      </w:tr>
      <w:tr w:rsidR="00A46262" w:rsidRPr="00987DA3" w14:paraId="3ED6D4FC" w14:textId="77777777" w:rsidTr="003116EC">
        <w:trPr>
          <w:tblCellSpacing w:w="15" w:type="dxa"/>
          <w:jc w:val="center"/>
        </w:trPr>
        <w:tc>
          <w:tcPr>
            <w:tcW w:w="2686"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4165C9DC"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4.361,71</w:t>
            </w:r>
          </w:p>
        </w:tc>
        <w:tc>
          <w:tcPr>
            <w:tcW w:w="2716" w:type="dxa"/>
            <w:tcBorders>
              <w:top w:val="nil"/>
              <w:left w:val="nil"/>
              <w:bottom w:val="single" w:sz="4" w:space="0" w:color="auto"/>
            </w:tcBorders>
            <w:tcMar>
              <w:top w:w="15" w:type="dxa"/>
              <w:left w:w="15" w:type="dxa"/>
              <w:bottom w:w="15" w:type="dxa"/>
              <w:right w:w="15" w:type="dxa"/>
            </w:tcMar>
            <w:vAlign w:val="center"/>
            <w:hideMark/>
          </w:tcPr>
          <w:p w14:paraId="78FDE212"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30/3/2016</w:t>
            </w:r>
          </w:p>
        </w:tc>
      </w:tr>
      <w:tr w:rsidR="00A46262" w:rsidRPr="00987DA3" w14:paraId="61FE8B81" w14:textId="77777777" w:rsidTr="003116EC">
        <w:trPr>
          <w:tblCellSpacing w:w="15" w:type="dxa"/>
          <w:jc w:val="center"/>
        </w:trPr>
        <w:tc>
          <w:tcPr>
            <w:tcW w:w="2686"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52B5988B"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1.620.330,59</w:t>
            </w:r>
          </w:p>
        </w:tc>
        <w:tc>
          <w:tcPr>
            <w:tcW w:w="2716" w:type="dxa"/>
            <w:tcBorders>
              <w:top w:val="nil"/>
              <w:left w:val="nil"/>
              <w:bottom w:val="single" w:sz="4" w:space="0" w:color="auto"/>
            </w:tcBorders>
            <w:tcMar>
              <w:top w:w="15" w:type="dxa"/>
              <w:left w:w="15" w:type="dxa"/>
              <w:bottom w:w="15" w:type="dxa"/>
              <w:right w:w="15" w:type="dxa"/>
            </w:tcMar>
            <w:vAlign w:val="center"/>
            <w:hideMark/>
          </w:tcPr>
          <w:p w14:paraId="1BA9F3E6"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30/11/2016</w:t>
            </w:r>
          </w:p>
        </w:tc>
      </w:tr>
      <w:tr w:rsidR="00A46262" w:rsidRPr="00987DA3" w14:paraId="472E3AC6" w14:textId="77777777" w:rsidTr="003116EC">
        <w:trPr>
          <w:tblCellSpacing w:w="15" w:type="dxa"/>
          <w:jc w:val="center"/>
        </w:trPr>
        <w:tc>
          <w:tcPr>
            <w:tcW w:w="2686"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7D3AC29B"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707.584,55</w:t>
            </w:r>
          </w:p>
        </w:tc>
        <w:tc>
          <w:tcPr>
            <w:tcW w:w="2716" w:type="dxa"/>
            <w:tcBorders>
              <w:top w:val="nil"/>
              <w:left w:val="nil"/>
              <w:bottom w:val="single" w:sz="4" w:space="0" w:color="auto"/>
            </w:tcBorders>
            <w:tcMar>
              <w:top w:w="15" w:type="dxa"/>
              <w:left w:w="15" w:type="dxa"/>
              <w:bottom w:w="15" w:type="dxa"/>
              <w:right w:w="15" w:type="dxa"/>
            </w:tcMar>
            <w:vAlign w:val="center"/>
            <w:hideMark/>
          </w:tcPr>
          <w:p w14:paraId="52489FFB"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29/12/2016</w:t>
            </w:r>
          </w:p>
        </w:tc>
      </w:tr>
      <w:tr w:rsidR="00A46262" w:rsidRPr="00987DA3" w14:paraId="13562FBF" w14:textId="77777777" w:rsidTr="003116EC">
        <w:trPr>
          <w:tblCellSpacing w:w="15" w:type="dxa"/>
          <w:jc w:val="center"/>
        </w:trPr>
        <w:tc>
          <w:tcPr>
            <w:tcW w:w="2686"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5391888F"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382.289,84</w:t>
            </w:r>
          </w:p>
        </w:tc>
        <w:tc>
          <w:tcPr>
            <w:tcW w:w="2716" w:type="dxa"/>
            <w:tcBorders>
              <w:top w:val="nil"/>
              <w:left w:val="nil"/>
              <w:bottom w:val="single" w:sz="4" w:space="0" w:color="auto"/>
            </w:tcBorders>
            <w:tcMar>
              <w:top w:w="15" w:type="dxa"/>
              <w:left w:w="15" w:type="dxa"/>
              <w:bottom w:w="15" w:type="dxa"/>
              <w:right w:w="15" w:type="dxa"/>
            </w:tcMar>
            <w:vAlign w:val="center"/>
            <w:hideMark/>
          </w:tcPr>
          <w:p w14:paraId="1130AC7F"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31/1/2017</w:t>
            </w:r>
          </w:p>
        </w:tc>
      </w:tr>
      <w:tr w:rsidR="00A46262" w:rsidRPr="00987DA3" w14:paraId="6A691460" w14:textId="77777777" w:rsidTr="003116EC">
        <w:trPr>
          <w:tblCellSpacing w:w="15" w:type="dxa"/>
          <w:jc w:val="center"/>
        </w:trPr>
        <w:tc>
          <w:tcPr>
            <w:tcW w:w="2686"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6C728149"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656.109,05</w:t>
            </w:r>
          </w:p>
        </w:tc>
        <w:tc>
          <w:tcPr>
            <w:tcW w:w="2716" w:type="dxa"/>
            <w:tcBorders>
              <w:top w:val="nil"/>
              <w:left w:val="nil"/>
              <w:bottom w:val="single" w:sz="4" w:space="0" w:color="auto"/>
            </w:tcBorders>
            <w:tcMar>
              <w:top w:w="15" w:type="dxa"/>
              <w:left w:w="15" w:type="dxa"/>
              <w:bottom w:w="15" w:type="dxa"/>
              <w:right w:w="15" w:type="dxa"/>
            </w:tcMar>
            <w:vAlign w:val="center"/>
            <w:hideMark/>
          </w:tcPr>
          <w:p w14:paraId="7FD6B19F"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6/3/2017</w:t>
            </w:r>
          </w:p>
        </w:tc>
      </w:tr>
      <w:tr w:rsidR="00A46262" w:rsidRPr="00987DA3" w14:paraId="0FC2A041" w14:textId="77777777" w:rsidTr="003116EC">
        <w:trPr>
          <w:tblCellSpacing w:w="15" w:type="dxa"/>
          <w:jc w:val="center"/>
        </w:trPr>
        <w:tc>
          <w:tcPr>
            <w:tcW w:w="2686"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5C3F8B34"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593.555,40</w:t>
            </w:r>
          </w:p>
        </w:tc>
        <w:tc>
          <w:tcPr>
            <w:tcW w:w="2716" w:type="dxa"/>
            <w:tcBorders>
              <w:top w:val="nil"/>
              <w:left w:val="nil"/>
              <w:bottom w:val="single" w:sz="4" w:space="0" w:color="auto"/>
            </w:tcBorders>
            <w:tcMar>
              <w:top w:w="15" w:type="dxa"/>
              <w:left w:w="15" w:type="dxa"/>
              <w:bottom w:w="15" w:type="dxa"/>
              <w:right w:w="15" w:type="dxa"/>
            </w:tcMar>
            <w:vAlign w:val="center"/>
            <w:hideMark/>
          </w:tcPr>
          <w:p w14:paraId="0CCC2C0D"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30/3/2017</w:t>
            </w:r>
          </w:p>
        </w:tc>
      </w:tr>
      <w:tr w:rsidR="00A46262" w:rsidRPr="00987DA3" w14:paraId="71FB1952" w14:textId="77777777" w:rsidTr="003116EC">
        <w:trPr>
          <w:tblCellSpacing w:w="15" w:type="dxa"/>
          <w:jc w:val="center"/>
        </w:trPr>
        <w:tc>
          <w:tcPr>
            <w:tcW w:w="2686"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388A9390"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445.547,34</w:t>
            </w:r>
          </w:p>
        </w:tc>
        <w:tc>
          <w:tcPr>
            <w:tcW w:w="2716" w:type="dxa"/>
            <w:tcBorders>
              <w:top w:val="nil"/>
              <w:left w:val="nil"/>
              <w:bottom w:val="single" w:sz="4" w:space="0" w:color="auto"/>
            </w:tcBorders>
            <w:tcMar>
              <w:top w:w="15" w:type="dxa"/>
              <w:left w:w="15" w:type="dxa"/>
              <w:bottom w:w="15" w:type="dxa"/>
              <w:right w:w="15" w:type="dxa"/>
            </w:tcMar>
            <w:vAlign w:val="center"/>
            <w:hideMark/>
          </w:tcPr>
          <w:p w14:paraId="374BCCC3"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3/5/2017</w:t>
            </w:r>
          </w:p>
        </w:tc>
      </w:tr>
      <w:tr w:rsidR="00A46262" w:rsidRPr="00987DA3" w14:paraId="4204AB15" w14:textId="77777777" w:rsidTr="003116EC">
        <w:trPr>
          <w:tblCellSpacing w:w="15" w:type="dxa"/>
          <w:jc w:val="center"/>
        </w:trPr>
        <w:tc>
          <w:tcPr>
            <w:tcW w:w="2686"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49075FBE"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456.691,16</w:t>
            </w:r>
          </w:p>
        </w:tc>
        <w:tc>
          <w:tcPr>
            <w:tcW w:w="2716" w:type="dxa"/>
            <w:tcBorders>
              <w:top w:val="nil"/>
              <w:left w:val="nil"/>
              <w:bottom w:val="single" w:sz="4" w:space="0" w:color="auto"/>
            </w:tcBorders>
            <w:tcMar>
              <w:top w:w="15" w:type="dxa"/>
              <w:left w:w="15" w:type="dxa"/>
              <w:bottom w:w="15" w:type="dxa"/>
              <w:right w:w="15" w:type="dxa"/>
            </w:tcMar>
            <w:vAlign w:val="center"/>
            <w:hideMark/>
          </w:tcPr>
          <w:p w14:paraId="3AF0C6BA"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31/5/2017</w:t>
            </w:r>
          </w:p>
        </w:tc>
      </w:tr>
      <w:tr w:rsidR="00A46262" w:rsidRPr="00987DA3" w14:paraId="4C34E296" w14:textId="77777777" w:rsidTr="003116EC">
        <w:trPr>
          <w:tblCellSpacing w:w="15" w:type="dxa"/>
          <w:jc w:val="center"/>
        </w:trPr>
        <w:tc>
          <w:tcPr>
            <w:tcW w:w="2686"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4824127B"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558.814,94</w:t>
            </w:r>
          </w:p>
        </w:tc>
        <w:tc>
          <w:tcPr>
            <w:tcW w:w="2716" w:type="dxa"/>
            <w:tcBorders>
              <w:top w:val="nil"/>
              <w:left w:val="nil"/>
              <w:bottom w:val="single" w:sz="4" w:space="0" w:color="auto"/>
            </w:tcBorders>
            <w:tcMar>
              <w:top w:w="15" w:type="dxa"/>
              <w:left w:w="15" w:type="dxa"/>
              <w:bottom w:w="15" w:type="dxa"/>
              <w:right w:w="15" w:type="dxa"/>
            </w:tcMar>
            <w:vAlign w:val="center"/>
            <w:hideMark/>
          </w:tcPr>
          <w:p w14:paraId="2AE5C7F6"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30/6/2017</w:t>
            </w:r>
          </w:p>
        </w:tc>
      </w:tr>
      <w:tr w:rsidR="00A46262" w:rsidRPr="00987DA3" w14:paraId="1AD27912" w14:textId="77777777" w:rsidTr="003116EC">
        <w:trPr>
          <w:tblCellSpacing w:w="15" w:type="dxa"/>
          <w:jc w:val="center"/>
        </w:trPr>
        <w:tc>
          <w:tcPr>
            <w:tcW w:w="2686"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23E57381"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520.984,67</w:t>
            </w:r>
          </w:p>
        </w:tc>
        <w:tc>
          <w:tcPr>
            <w:tcW w:w="2716" w:type="dxa"/>
            <w:tcBorders>
              <w:top w:val="nil"/>
              <w:left w:val="nil"/>
              <w:bottom w:val="single" w:sz="4" w:space="0" w:color="auto"/>
            </w:tcBorders>
            <w:tcMar>
              <w:top w:w="15" w:type="dxa"/>
              <w:left w:w="15" w:type="dxa"/>
              <w:bottom w:w="15" w:type="dxa"/>
              <w:right w:w="15" w:type="dxa"/>
            </w:tcMar>
            <w:vAlign w:val="center"/>
            <w:hideMark/>
          </w:tcPr>
          <w:p w14:paraId="348CDBA1"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30/6/2017</w:t>
            </w:r>
          </w:p>
        </w:tc>
      </w:tr>
      <w:tr w:rsidR="00A46262" w:rsidRPr="00987DA3" w14:paraId="2C1F8E3E" w14:textId="77777777" w:rsidTr="003116EC">
        <w:trPr>
          <w:tblCellSpacing w:w="15" w:type="dxa"/>
          <w:jc w:val="center"/>
        </w:trPr>
        <w:tc>
          <w:tcPr>
            <w:tcW w:w="2686"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177B6941"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46.672,99</w:t>
            </w:r>
          </w:p>
        </w:tc>
        <w:tc>
          <w:tcPr>
            <w:tcW w:w="2716" w:type="dxa"/>
            <w:tcBorders>
              <w:top w:val="nil"/>
              <w:left w:val="nil"/>
              <w:bottom w:val="single" w:sz="4" w:space="0" w:color="auto"/>
            </w:tcBorders>
            <w:tcMar>
              <w:top w:w="15" w:type="dxa"/>
              <w:left w:w="15" w:type="dxa"/>
              <w:bottom w:w="15" w:type="dxa"/>
              <w:right w:w="15" w:type="dxa"/>
            </w:tcMar>
            <w:vAlign w:val="center"/>
            <w:hideMark/>
          </w:tcPr>
          <w:p w14:paraId="7481A18D"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29/9/2017</w:t>
            </w:r>
          </w:p>
        </w:tc>
      </w:tr>
      <w:tr w:rsidR="00A46262" w:rsidRPr="00987DA3" w14:paraId="3C4A39D3" w14:textId="77777777" w:rsidTr="003116EC">
        <w:trPr>
          <w:tblCellSpacing w:w="15" w:type="dxa"/>
          <w:jc w:val="center"/>
        </w:trPr>
        <w:tc>
          <w:tcPr>
            <w:tcW w:w="2686"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51A0A947"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(1.237.081,83)</w:t>
            </w:r>
          </w:p>
        </w:tc>
        <w:tc>
          <w:tcPr>
            <w:tcW w:w="2716" w:type="dxa"/>
            <w:tcBorders>
              <w:top w:val="nil"/>
              <w:left w:val="nil"/>
              <w:bottom w:val="single" w:sz="4" w:space="0" w:color="auto"/>
            </w:tcBorders>
            <w:tcMar>
              <w:top w:w="15" w:type="dxa"/>
              <w:left w:w="15" w:type="dxa"/>
              <w:bottom w:w="15" w:type="dxa"/>
              <w:right w:w="15" w:type="dxa"/>
            </w:tcMar>
            <w:vAlign w:val="center"/>
            <w:hideMark/>
          </w:tcPr>
          <w:p w14:paraId="1B8AF0F2"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8/11/2017</w:t>
            </w:r>
          </w:p>
        </w:tc>
      </w:tr>
    </w:tbl>
    <w:bookmarkEnd w:id="5"/>
    <w:p w14:paraId="06991931" w14:textId="77777777" w:rsidR="00A46262" w:rsidRPr="00987DA3" w:rsidRDefault="00A46262" w:rsidP="00A46262">
      <w:pPr>
        <w:widowControl w:val="0"/>
        <w:tabs>
          <w:tab w:val="left" w:pos="284"/>
        </w:tabs>
        <w:autoSpaceDE w:val="0"/>
        <w:autoSpaceDN w:val="0"/>
        <w:ind w:firstLine="1134"/>
        <w:jc w:val="both"/>
        <w:rPr>
          <w:kern w:val="2"/>
          <w:szCs w:val="24"/>
        </w:rPr>
      </w:pPr>
      <w:r w:rsidRPr="00987DA3">
        <w:rPr>
          <w:kern w:val="2"/>
          <w:szCs w:val="24"/>
        </w:rPr>
        <w:t>9.1</w:t>
      </w:r>
      <w:r>
        <w:rPr>
          <w:kern w:val="2"/>
          <w:szCs w:val="24"/>
        </w:rPr>
        <w:t>4</w:t>
      </w:r>
      <w:r w:rsidRPr="00987DA3">
        <w:rPr>
          <w:kern w:val="2"/>
          <w:szCs w:val="24"/>
        </w:rPr>
        <w:t xml:space="preserve">. condenar Carlos Satoru Miyasato, João Carlos de Lima Pereira, Wild Gonçalves Fischer, Pedro da Silva, Pedro Paulo Dantas do Amaral Campos e Construtora </w:t>
      </w:r>
      <w:r>
        <w:rPr>
          <w:kern w:val="2"/>
          <w:szCs w:val="24"/>
        </w:rPr>
        <w:t>Coesa</w:t>
      </w:r>
      <w:r w:rsidRPr="00987DA3">
        <w:rPr>
          <w:kern w:val="2"/>
          <w:szCs w:val="24"/>
        </w:rPr>
        <w:t xml:space="preserve"> S.A., solidariamente, ao pagamento das quantias a seguir especificadas, pelo superfaturamento resultante da utilização de inadequada metodologia de cálculo do reequilíbrio econômico-financeiro, nas mesmas condições do subitem 9.1</w:t>
      </w:r>
      <w:r>
        <w:rPr>
          <w:kern w:val="2"/>
          <w:szCs w:val="24"/>
        </w:rPr>
        <w:t>3</w:t>
      </w:r>
      <w:r w:rsidRPr="00987DA3">
        <w:rPr>
          <w:kern w:val="2"/>
          <w:szCs w:val="24"/>
        </w:rPr>
        <w:t>:</w:t>
      </w:r>
    </w:p>
    <w:tbl>
      <w:tblPr>
        <w:tblW w:w="0" w:type="auto"/>
        <w:jc w:val="center"/>
        <w:tblCellSpacing w:w="15" w:type="dxa"/>
        <w:tblBorders>
          <w:top w:val="single" w:sz="4" w:space="0" w:color="auto"/>
          <w:left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677"/>
        <w:gridCol w:w="2761"/>
      </w:tblGrid>
      <w:tr w:rsidR="00A46262" w:rsidRPr="00987DA3" w14:paraId="0BC6A81D" w14:textId="77777777" w:rsidTr="003116EC">
        <w:trPr>
          <w:tblHeader/>
          <w:tblCellSpacing w:w="15" w:type="dxa"/>
          <w:jc w:val="center"/>
        </w:trPr>
        <w:tc>
          <w:tcPr>
            <w:tcW w:w="2632"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3A680F7E" w14:textId="77777777" w:rsidR="00A46262" w:rsidRPr="00987DA3" w:rsidRDefault="00A46262" w:rsidP="003116EC">
            <w:pPr>
              <w:widowControl w:val="0"/>
              <w:tabs>
                <w:tab w:val="left" w:pos="284"/>
              </w:tabs>
              <w:autoSpaceDE w:val="0"/>
              <w:autoSpaceDN w:val="0"/>
              <w:ind w:left="215" w:hanging="142"/>
              <w:jc w:val="center"/>
              <w:rPr>
                <w:b/>
                <w:bCs/>
                <w:kern w:val="2"/>
                <w:szCs w:val="24"/>
              </w:rPr>
            </w:pPr>
            <w:r w:rsidRPr="00987DA3">
              <w:rPr>
                <w:b/>
                <w:bCs/>
                <w:kern w:val="2"/>
                <w:szCs w:val="24"/>
              </w:rPr>
              <w:t>VALOR ORIGINAL (R$)</w:t>
            </w:r>
          </w:p>
        </w:tc>
        <w:tc>
          <w:tcPr>
            <w:tcW w:w="2716" w:type="dxa"/>
            <w:tcBorders>
              <w:top w:val="nil"/>
              <w:left w:val="nil"/>
              <w:bottom w:val="single" w:sz="4" w:space="0" w:color="auto"/>
            </w:tcBorders>
            <w:tcMar>
              <w:top w:w="15" w:type="dxa"/>
              <w:left w:w="15" w:type="dxa"/>
              <w:bottom w:w="15" w:type="dxa"/>
              <w:right w:w="15" w:type="dxa"/>
            </w:tcMar>
            <w:vAlign w:val="center"/>
            <w:hideMark/>
          </w:tcPr>
          <w:p w14:paraId="4527326F" w14:textId="77777777" w:rsidR="00A46262" w:rsidRPr="00987DA3" w:rsidRDefault="00A46262" w:rsidP="003116EC">
            <w:pPr>
              <w:widowControl w:val="0"/>
              <w:tabs>
                <w:tab w:val="left" w:pos="284"/>
              </w:tabs>
              <w:autoSpaceDE w:val="0"/>
              <w:autoSpaceDN w:val="0"/>
              <w:ind w:left="215" w:hanging="142"/>
              <w:jc w:val="center"/>
              <w:rPr>
                <w:b/>
                <w:bCs/>
                <w:kern w:val="2"/>
                <w:szCs w:val="24"/>
              </w:rPr>
            </w:pPr>
            <w:r w:rsidRPr="00987DA3">
              <w:rPr>
                <w:b/>
                <w:bCs/>
                <w:kern w:val="2"/>
                <w:szCs w:val="24"/>
              </w:rPr>
              <w:t>DATA DA OCORRÊNCIA</w:t>
            </w:r>
          </w:p>
        </w:tc>
      </w:tr>
      <w:tr w:rsidR="00A46262" w:rsidRPr="00987DA3" w14:paraId="053D6FB2" w14:textId="77777777" w:rsidTr="003116EC">
        <w:trPr>
          <w:tblCellSpacing w:w="15" w:type="dxa"/>
          <w:jc w:val="center"/>
        </w:trPr>
        <w:tc>
          <w:tcPr>
            <w:tcW w:w="2632"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5F2C2791"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9.827.183,50</w:t>
            </w:r>
          </w:p>
        </w:tc>
        <w:tc>
          <w:tcPr>
            <w:tcW w:w="2716" w:type="dxa"/>
            <w:tcBorders>
              <w:top w:val="nil"/>
              <w:left w:val="nil"/>
              <w:bottom w:val="single" w:sz="4" w:space="0" w:color="auto"/>
            </w:tcBorders>
            <w:tcMar>
              <w:top w:w="15" w:type="dxa"/>
              <w:left w:w="15" w:type="dxa"/>
              <w:bottom w:w="15" w:type="dxa"/>
              <w:right w:w="15" w:type="dxa"/>
            </w:tcMar>
            <w:vAlign w:val="center"/>
            <w:hideMark/>
          </w:tcPr>
          <w:p w14:paraId="3BF6C702"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27/9/2016</w:t>
            </w:r>
          </w:p>
        </w:tc>
      </w:tr>
      <w:tr w:rsidR="00A46262" w:rsidRPr="00987DA3" w14:paraId="0528E65E" w14:textId="77777777" w:rsidTr="003116EC">
        <w:trPr>
          <w:tblCellSpacing w:w="15" w:type="dxa"/>
          <w:jc w:val="center"/>
        </w:trPr>
        <w:tc>
          <w:tcPr>
            <w:tcW w:w="2632"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20F2BC95"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1.403.883,36</w:t>
            </w:r>
          </w:p>
        </w:tc>
        <w:tc>
          <w:tcPr>
            <w:tcW w:w="2716" w:type="dxa"/>
            <w:tcBorders>
              <w:top w:val="nil"/>
              <w:left w:val="nil"/>
              <w:bottom w:val="single" w:sz="4" w:space="0" w:color="auto"/>
            </w:tcBorders>
            <w:tcMar>
              <w:top w:w="15" w:type="dxa"/>
              <w:left w:w="15" w:type="dxa"/>
              <w:bottom w:w="15" w:type="dxa"/>
              <w:right w:w="15" w:type="dxa"/>
            </w:tcMar>
            <w:vAlign w:val="center"/>
            <w:hideMark/>
          </w:tcPr>
          <w:p w14:paraId="1B396D75"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30/9/2016</w:t>
            </w:r>
          </w:p>
        </w:tc>
      </w:tr>
      <w:tr w:rsidR="00A46262" w:rsidRPr="00987DA3" w14:paraId="22672B8C" w14:textId="77777777" w:rsidTr="003116EC">
        <w:trPr>
          <w:tblCellSpacing w:w="15" w:type="dxa"/>
          <w:jc w:val="center"/>
        </w:trPr>
        <w:tc>
          <w:tcPr>
            <w:tcW w:w="2632"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0D1A54DB"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1.403.883,36</w:t>
            </w:r>
          </w:p>
        </w:tc>
        <w:tc>
          <w:tcPr>
            <w:tcW w:w="2716" w:type="dxa"/>
            <w:tcBorders>
              <w:top w:val="nil"/>
              <w:left w:val="nil"/>
              <w:bottom w:val="single" w:sz="4" w:space="0" w:color="auto"/>
            </w:tcBorders>
            <w:tcMar>
              <w:top w:w="15" w:type="dxa"/>
              <w:left w:w="15" w:type="dxa"/>
              <w:bottom w:w="15" w:type="dxa"/>
              <w:right w:w="15" w:type="dxa"/>
            </w:tcMar>
            <w:vAlign w:val="center"/>
            <w:hideMark/>
          </w:tcPr>
          <w:p w14:paraId="46360B95"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31/10/2016</w:t>
            </w:r>
          </w:p>
        </w:tc>
      </w:tr>
      <w:tr w:rsidR="00A46262" w:rsidRPr="00987DA3" w14:paraId="0F10E8BF" w14:textId="77777777" w:rsidTr="003116EC">
        <w:trPr>
          <w:tblCellSpacing w:w="15" w:type="dxa"/>
          <w:jc w:val="center"/>
        </w:trPr>
        <w:tc>
          <w:tcPr>
            <w:tcW w:w="2632"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6AFE5A38"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1.496.472,53</w:t>
            </w:r>
          </w:p>
        </w:tc>
        <w:tc>
          <w:tcPr>
            <w:tcW w:w="2716" w:type="dxa"/>
            <w:tcBorders>
              <w:top w:val="nil"/>
              <w:left w:val="nil"/>
              <w:bottom w:val="single" w:sz="4" w:space="0" w:color="auto"/>
            </w:tcBorders>
            <w:tcMar>
              <w:top w:w="15" w:type="dxa"/>
              <w:left w:w="15" w:type="dxa"/>
              <w:bottom w:w="15" w:type="dxa"/>
              <w:right w:w="15" w:type="dxa"/>
            </w:tcMar>
            <w:vAlign w:val="center"/>
            <w:hideMark/>
          </w:tcPr>
          <w:p w14:paraId="3AD817AC"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5/12/2016</w:t>
            </w:r>
          </w:p>
        </w:tc>
      </w:tr>
      <w:tr w:rsidR="00A46262" w:rsidRPr="00987DA3" w14:paraId="3D5649F0" w14:textId="77777777" w:rsidTr="003116EC">
        <w:trPr>
          <w:tblCellSpacing w:w="15" w:type="dxa"/>
          <w:jc w:val="center"/>
        </w:trPr>
        <w:tc>
          <w:tcPr>
            <w:tcW w:w="2632"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16BD90E6"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1.496.472,53</w:t>
            </w:r>
          </w:p>
        </w:tc>
        <w:tc>
          <w:tcPr>
            <w:tcW w:w="2716" w:type="dxa"/>
            <w:tcBorders>
              <w:top w:val="nil"/>
              <w:left w:val="nil"/>
              <w:bottom w:val="single" w:sz="4" w:space="0" w:color="auto"/>
            </w:tcBorders>
            <w:tcMar>
              <w:top w:w="15" w:type="dxa"/>
              <w:left w:w="15" w:type="dxa"/>
              <w:bottom w:w="15" w:type="dxa"/>
              <w:right w:w="15" w:type="dxa"/>
            </w:tcMar>
            <w:vAlign w:val="center"/>
            <w:hideMark/>
          </w:tcPr>
          <w:p w14:paraId="016C9329"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29/12/2016</w:t>
            </w:r>
          </w:p>
        </w:tc>
      </w:tr>
      <w:tr w:rsidR="00A46262" w:rsidRPr="00987DA3" w14:paraId="6C6BA942" w14:textId="77777777" w:rsidTr="003116EC">
        <w:trPr>
          <w:tblCellSpacing w:w="15" w:type="dxa"/>
          <w:jc w:val="center"/>
        </w:trPr>
        <w:tc>
          <w:tcPr>
            <w:tcW w:w="2632"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325F3EF3"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1.496.472,53</w:t>
            </w:r>
          </w:p>
        </w:tc>
        <w:tc>
          <w:tcPr>
            <w:tcW w:w="2716" w:type="dxa"/>
            <w:tcBorders>
              <w:top w:val="nil"/>
              <w:left w:val="nil"/>
              <w:bottom w:val="single" w:sz="4" w:space="0" w:color="auto"/>
            </w:tcBorders>
            <w:tcMar>
              <w:top w:w="15" w:type="dxa"/>
              <w:left w:w="15" w:type="dxa"/>
              <w:bottom w:w="15" w:type="dxa"/>
              <w:right w:w="15" w:type="dxa"/>
            </w:tcMar>
            <w:vAlign w:val="center"/>
            <w:hideMark/>
          </w:tcPr>
          <w:p w14:paraId="0AFECF84"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1/2/2017</w:t>
            </w:r>
          </w:p>
        </w:tc>
      </w:tr>
      <w:tr w:rsidR="00A46262" w:rsidRPr="00987DA3" w14:paraId="1DA8D5B5" w14:textId="77777777" w:rsidTr="003116EC">
        <w:trPr>
          <w:tblCellSpacing w:w="15" w:type="dxa"/>
          <w:jc w:val="center"/>
        </w:trPr>
        <w:tc>
          <w:tcPr>
            <w:tcW w:w="2632"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79492C8E"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1.496.472,53</w:t>
            </w:r>
          </w:p>
        </w:tc>
        <w:tc>
          <w:tcPr>
            <w:tcW w:w="2716" w:type="dxa"/>
            <w:tcBorders>
              <w:top w:val="nil"/>
              <w:left w:val="nil"/>
              <w:bottom w:val="single" w:sz="4" w:space="0" w:color="auto"/>
            </w:tcBorders>
            <w:tcMar>
              <w:top w:w="15" w:type="dxa"/>
              <w:left w:w="15" w:type="dxa"/>
              <w:bottom w:w="15" w:type="dxa"/>
              <w:right w:w="15" w:type="dxa"/>
            </w:tcMar>
            <w:vAlign w:val="center"/>
            <w:hideMark/>
          </w:tcPr>
          <w:p w14:paraId="073F2CDD"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24/2/2017</w:t>
            </w:r>
          </w:p>
        </w:tc>
      </w:tr>
      <w:tr w:rsidR="00A46262" w:rsidRPr="00987DA3" w14:paraId="648BCDFA" w14:textId="77777777" w:rsidTr="003116EC">
        <w:trPr>
          <w:tblCellSpacing w:w="15" w:type="dxa"/>
          <w:jc w:val="center"/>
        </w:trPr>
        <w:tc>
          <w:tcPr>
            <w:tcW w:w="2632"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711B35CD"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1.496.472,53</w:t>
            </w:r>
          </w:p>
        </w:tc>
        <w:tc>
          <w:tcPr>
            <w:tcW w:w="2716" w:type="dxa"/>
            <w:tcBorders>
              <w:top w:val="nil"/>
              <w:left w:val="nil"/>
              <w:bottom w:val="single" w:sz="4" w:space="0" w:color="auto"/>
            </w:tcBorders>
            <w:tcMar>
              <w:top w:w="15" w:type="dxa"/>
              <w:left w:w="15" w:type="dxa"/>
              <w:bottom w:w="15" w:type="dxa"/>
              <w:right w:w="15" w:type="dxa"/>
            </w:tcMar>
            <w:vAlign w:val="center"/>
            <w:hideMark/>
          </w:tcPr>
          <w:p w14:paraId="3BEBEA64"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31/3/2017</w:t>
            </w:r>
          </w:p>
        </w:tc>
      </w:tr>
      <w:tr w:rsidR="00A46262" w:rsidRPr="00987DA3" w14:paraId="7CB070DC" w14:textId="77777777" w:rsidTr="003116EC">
        <w:trPr>
          <w:tblCellSpacing w:w="15" w:type="dxa"/>
          <w:jc w:val="center"/>
        </w:trPr>
        <w:tc>
          <w:tcPr>
            <w:tcW w:w="2632"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6269CCE1"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1.496.472,53</w:t>
            </w:r>
          </w:p>
        </w:tc>
        <w:tc>
          <w:tcPr>
            <w:tcW w:w="2716" w:type="dxa"/>
            <w:tcBorders>
              <w:top w:val="nil"/>
              <w:left w:val="nil"/>
              <w:bottom w:val="single" w:sz="4" w:space="0" w:color="auto"/>
            </w:tcBorders>
            <w:tcMar>
              <w:top w:w="15" w:type="dxa"/>
              <w:left w:w="15" w:type="dxa"/>
              <w:bottom w:w="15" w:type="dxa"/>
              <w:right w:w="15" w:type="dxa"/>
            </w:tcMar>
            <w:vAlign w:val="center"/>
            <w:hideMark/>
          </w:tcPr>
          <w:p w14:paraId="0FE5C482"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28/4/2017</w:t>
            </w:r>
          </w:p>
        </w:tc>
      </w:tr>
      <w:tr w:rsidR="00A46262" w:rsidRPr="00987DA3" w14:paraId="4C71DF4F" w14:textId="77777777" w:rsidTr="003116EC">
        <w:trPr>
          <w:tblCellSpacing w:w="15" w:type="dxa"/>
          <w:jc w:val="center"/>
        </w:trPr>
        <w:tc>
          <w:tcPr>
            <w:tcW w:w="2632"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17E6AC9F"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1.496.472,53</w:t>
            </w:r>
          </w:p>
        </w:tc>
        <w:tc>
          <w:tcPr>
            <w:tcW w:w="2716" w:type="dxa"/>
            <w:tcBorders>
              <w:top w:val="nil"/>
              <w:left w:val="nil"/>
              <w:bottom w:val="single" w:sz="4" w:space="0" w:color="auto"/>
            </w:tcBorders>
            <w:tcMar>
              <w:top w:w="15" w:type="dxa"/>
              <w:left w:w="15" w:type="dxa"/>
              <w:bottom w:w="15" w:type="dxa"/>
              <w:right w:w="15" w:type="dxa"/>
            </w:tcMar>
            <w:vAlign w:val="center"/>
            <w:hideMark/>
          </w:tcPr>
          <w:p w14:paraId="07791D9E"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31/5/2017</w:t>
            </w:r>
          </w:p>
        </w:tc>
      </w:tr>
      <w:tr w:rsidR="00A46262" w:rsidRPr="00987DA3" w14:paraId="45B5A063" w14:textId="77777777" w:rsidTr="003116EC">
        <w:trPr>
          <w:tblCellSpacing w:w="15" w:type="dxa"/>
          <w:jc w:val="center"/>
        </w:trPr>
        <w:tc>
          <w:tcPr>
            <w:tcW w:w="2632"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4790BA48"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lastRenderedPageBreak/>
              <w:t>5.985.890,12</w:t>
            </w:r>
          </w:p>
        </w:tc>
        <w:tc>
          <w:tcPr>
            <w:tcW w:w="2716" w:type="dxa"/>
            <w:tcBorders>
              <w:top w:val="nil"/>
              <w:left w:val="nil"/>
              <w:bottom w:val="single" w:sz="4" w:space="0" w:color="auto"/>
            </w:tcBorders>
            <w:tcMar>
              <w:top w:w="15" w:type="dxa"/>
              <w:left w:w="15" w:type="dxa"/>
              <w:bottom w:w="15" w:type="dxa"/>
              <w:right w:w="15" w:type="dxa"/>
            </w:tcMar>
            <w:vAlign w:val="center"/>
            <w:hideMark/>
          </w:tcPr>
          <w:p w14:paraId="16473B2B"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30/6/2017</w:t>
            </w:r>
          </w:p>
        </w:tc>
      </w:tr>
      <w:tr w:rsidR="00A46262" w:rsidRPr="00987DA3" w14:paraId="67EB0957" w14:textId="77777777" w:rsidTr="003116EC">
        <w:trPr>
          <w:tblCellSpacing w:w="15" w:type="dxa"/>
          <w:jc w:val="center"/>
        </w:trPr>
        <w:tc>
          <w:tcPr>
            <w:tcW w:w="2632"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63D6BF8B"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9.448.115,58</w:t>
            </w:r>
          </w:p>
        </w:tc>
        <w:tc>
          <w:tcPr>
            <w:tcW w:w="2716" w:type="dxa"/>
            <w:tcBorders>
              <w:top w:val="nil"/>
              <w:left w:val="nil"/>
              <w:bottom w:val="single" w:sz="4" w:space="0" w:color="auto"/>
            </w:tcBorders>
            <w:tcMar>
              <w:top w:w="15" w:type="dxa"/>
              <w:left w:w="15" w:type="dxa"/>
              <w:bottom w:w="15" w:type="dxa"/>
              <w:right w:w="15" w:type="dxa"/>
            </w:tcMar>
            <w:vAlign w:val="center"/>
            <w:hideMark/>
          </w:tcPr>
          <w:p w14:paraId="407F1F92"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30/4/2018</w:t>
            </w:r>
          </w:p>
        </w:tc>
      </w:tr>
      <w:tr w:rsidR="00A46262" w:rsidRPr="00987DA3" w14:paraId="392AE805" w14:textId="77777777" w:rsidTr="003116EC">
        <w:trPr>
          <w:tblCellSpacing w:w="15" w:type="dxa"/>
          <w:jc w:val="center"/>
        </w:trPr>
        <w:tc>
          <w:tcPr>
            <w:tcW w:w="2632"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3ED23EA0"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549.575,23</w:t>
            </w:r>
          </w:p>
        </w:tc>
        <w:tc>
          <w:tcPr>
            <w:tcW w:w="2716" w:type="dxa"/>
            <w:tcBorders>
              <w:top w:val="nil"/>
              <w:left w:val="nil"/>
              <w:bottom w:val="single" w:sz="4" w:space="0" w:color="auto"/>
            </w:tcBorders>
            <w:tcMar>
              <w:top w:w="15" w:type="dxa"/>
              <w:left w:w="15" w:type="dxa"/>
              <w:bottom w:w="15" w:type="dxa"/>
              <w:right w:w="15" w:type="dxa"/>
            </w:tcMar>
            <w:vAlign w:val="center"/>
            <w:hideMark/>
          </w:tcPr>
          <w:p w14:paraId="22B948CF"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30/5/2018</w:t>
            </w:r>
          </w:p>
        </w:tc>
      </w:tr>
    </w:tbl>
    <w:p w14:paraId="3E13D1D9" w14:textId="77777777" w:rsidR="00A46262" w:rsidRPr="00987DA3" w:rsidRDefault="00A46262" w:rsidP="00A46262">
      <w:pPr>
        <w:widowControl w:val="0"/>
        <w:tabs>
          <w:tab w:val="left" w:pos="284"/>
        </w:tabs>
        <w:autoSpaceDE w:val="0"/>
        <w:autoSpaceDN w:val="0"/>
        <w:ind w:firstLine="1134"/>
        <w:jc w:val="both"/>
        <w:rPr>
          <w:kern w:val="2"/>
          <w:szCs w:val="24"/>
        </w:rPr>
      </w:pPr>
      <w:r w:rsidRPr="00987DA3">
        <w:rPr>
          <w:kern w:val="2"/>
          <w:szCs w:val="24"/>
        </w:rPr>
        <w:t>9.1</w:t>
      </w:r>
      <w:r>
        <w:rPr>
          <w:kern w:val="2"/>
          <w:szCs w:val="24"/>
        </w:rPr>
        <w:t>5</w:t>
      </w:r>
      <w:r w:rsidRPr="00987DA3">
        <w:rPr>
          <w:kern w:val="2"/>
          <w:szCs w:val="24"/>
        </w:rPr>
        <w:t xml:space="preserve">. condenar Pedro da Silva, Pedro Paulo Dantas do Amaral Campos e Construtora </w:t>
      </w:r>
      <w:r>
        <w:rPr>
          <w:kern w:val="2"/>
          <w:szCs w:val="24"/>
        </w:rPr>
        <w:t>Coesa</w:t>
      </w:r>
      <w:r w:rsidRPr="00987DA3">
        <w:rPr>
          <w:kern w:val="2"/>
          <w:szCs w:val="24"/>
        </w:rPr>
        <w:t xml:space="preserve"> S.A., solidariamente, ao pagamento da quantia a seguir especificada, pelo superfaturamento resultante da duplicidade ao incluir os serviços “PCP-106 – Administração Local (prazo complementar)” e “PCP-107 – Mobilização e desmobilização de equipamentos (prazo complementar)” cumulativamente com o serviço “PCP-108 – Reequilíbrio econômico-financeiro (prazo complementar)”, nas mesmas condições do subitem 9.1</w:t>
      </w:r>
      <w:r>
        <w:rPr>
          <w:kern w:val="2"/>
          <w:szCs w:val="24"/>
        </w:rPr>
        <w:t>3</w:t>
      </w:r>
      <w:r w:rsidRPr="00987DA3">
        <w:rPr>
          <w:kern w:val="2"/>
          <w:szCs w:val="24"/>
        </w:rPr>
        <w:t>:</w:t>
      </w:r>
    </w:p>
    <w:tbl>
      <w:tblPr>
        <w:tblW w:w="0" w:type="auto"/>
        <w:jc w:val="center"/>
        <w:tblCellSpacing w:w="15" w:type="dxa"/>
        <w:tblBorders>
          <w:top w:val="single" w:sz="4" w:space="0" w:color="auto"/>
          <w:left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694"/>
        <w:gridCol w:w="2745"/>
      </w:tblGrid>
      <w:tr w:rsidR="00A46262" w:rsidRPr="00987DA3" w14:paraId="3A6DC919" w14:textId="77777777" w:rsidTr="003116EC">
        <w:trPr>
          <w:tblHeader/>
          <w:tblCellSpacing w:w="15" w:type="dxa"/>
          <w:jc w:val="center"/>
        </w:trPr>
        <w:tc>
          <w:tcPr>
            <w:tcW w:w="2649"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196636FE" w14:textId="77777777" w:rsidR="00A46262" w:rsidRPr="00987DA3" w:rsidRDefault="00A46262" w:rsidP="003116EC">
            <w:pPr>
              <w:widowControl w:val="0"/>
              <w:tabs>
                <w:tab w:val="left" w:pos="284"/>
              </w:tabs>
              <w:autoSpaceDE w:val="0"/>
              <w:autoSpaceDN w:val="0"/>
              <w:ind w:left="215" w:hanging="142"/>
              <w:jc w:val="center"/>
              <w:rPr>
                <w:b/>
                <w:bCs/>
                <w:kern w:val="2"/>
                <w:szCs w:val="24"/>
              </w:rPr>
            </w:pPr>
            <w:r w:rsidRPr="00987DA3">
              <w:rPr>
                <w:b/>
                <w:bCs/>
                <w:kern w:val="2"/>
                <w:szCs w:val="24"/>
              </w:rPr>
              <w:t>VALOR ORIGINAL (R$)</w:t>
            </w:r>
          </w:p>
        </w:tc>
        <w:tc>
          <w:tcPr>
            <w:tcW w:w="2700" w:type="dxa"/>
            <w:tcBorders>
              <w:top w:val="nil"/>
              <w:left w:val="nil"/>
              <w:bottom w:val="single" w:sz="4" w:space="0" w:color="auto"/>
            </w:tcBorders>
            <w:tcMar>
              <w:top w:w="15" w:type="dxa"/>
              <w:left w:w="15" w:type="dxa"/>
              <w:bottom w:w="15" w:type="dxa"/>
              <w:right w:w="15" w:type="dxa"/>
            </w:tcMar>
            <w:vAlign w:val="center"/>
            <w:hideMark/>
          </w:tcPr>
          <w:p w14:paraId="01587ADB" w14:textId="77777777" w:rsidR="00A46262" w:rsidRPr="00987DA3" w:rsidRDefault="00A46262" w:rsidP="003116EC">
            <w:pPr>
              <w:widowControl w:val="0"/>
              <w:tabs>
                <w:tab w:val="left" w:pos="284"/>
              </w:tabs>
              <w:autoSpaceDE w:val="0"/>
              <w:autoSpaceDN w:val="0"/>
              <w:ind w:left="215" w:hanging="142"/>
              <w:jc w:val="center"/>
              <w:rPr>
                <w:b/>
                <w:bCs/>
                <w:kern w:val="2"/>
                <w:szCs w:val="24"/>
              </w:rPr>
            </w:pPr>
            <w:r w:rsidRPr="00987DA3">
              <w:rPr>
                <w:b/>
                <w:bCs/>
                <w:kern w:val="2"/>
                <w:szCs w:val="24"/>
              </w:rPr>
              <w:t>DATA DA OCORRÊNCIA</w:t>
            </w:r>
          </w:p>
        </w:tc>
      </w:tr>
      <w:tr w:rsidR="00A46262" w:rsidRPr="00987DA3" w14:paraId="0F01FD47" w14:textId="77777777" w:rsidTr="003116EC">
        <w:trPr>
          <w:tblCellSpacing w:w="15" w:type="dxa"/>
          <w:jc w:val="center"/>
        </w:trPr>
        <w:tc>
          <w:tcPr>
            <w:tcW w:w="2649"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20C89E00"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12.862.178,19</w:t>
            </w:r>
          </w:p>
        </w:tc>
        <w:tc>
          <w:tcPr>
            <w:tcW w:w="2700" w:type="dxa"/>
            <w:tcBorders>
              <w:top w:val="nil"/>
              <w:left w:val="nil"/>
              <w:bottom w:val="single" w:sz="4" w:space="0" w:color="auto"/>
            </w:tcBorders>
            <w:tcMar>
              <w:top w:w="15" w:type="dxa"/>
              <w:left w:w="15" w:type="dxa"/>
              <w:bottom w:w="15" w:type="dxa"/>
              <w:right w:w="15" w:type="dxa"/>
            </w:tcMar>
            <w:vAlign w:val="center"/>
            <w:hideMark/>
          </w:tcPr>
          <w:p w14:paraId="4B6223BE"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30/5/2018</w:t>
            </w:r>
          </w:p>
        </w:tc>
      </w:tr>
    </w:tbl>
    <w:p w14:paraId="5A5E4AAF" w14:textId="77777777" w:rsidR="00A46262" w:rsidRPr="00987DA3" w:rsidRDefault="00A46262" w:rsidP="00A46262">
      <w:pPr>
        <w:widowControl w:val="0"/>
        <w:tabs>
          <w:tab w:val="left" w:pos="284"/>
        </w:tabs>
        <w:autoSpaceDE w:val="0"/>
        <w:autoSpaceDN w:val="0"/>
        <w:ind w:firstLine="1134"/>
        <w:jc w:val="both"/>
        <w:rPr>
          <w:kern w:val="2"/>
          <w:szCs w:val="24"/>
        </w:rPr>
      </w:pPr>
      <w:r w:rsidRPr="00987DA3">
        <w:rPr>
          <w:kern w:val="2"/>
          <w:szCs w:val="24"/>
        </w:rPr>
        <w:t>9.1</w:t>
      </w:r>
      <w:r>
        <w:rPr>
          <w:kern w:val="2"/>
          <w:szCs w:val="24"/>
        </w:rPr>
        <w:t>6</w:t>
      </w:r>
      <w:r w:rsidRPr="00987DA3">
        <w:rPr>
          <w:kern w:val="2"/>
          <w:szCs w:val="24"/>
        </w:rPr>
        <w:t xml:space="preserve">. condenar Benedito Aparecido Trida, Pedro da Silva, Laurence Casagrande Lourenço e Construtora </w:t>
      </w:r>
      <w:r>
        <w:rPr>
          <w:kern w:val="2"/>
          <w:szCs w:val="24"/>
        </w:rPr>
        <w:t>Coesa</w:t>
      </w:r>
      <w:r w:rsidRPr="00987DA3">
        <w:rPr>
          <w:kern w:val="2"/>
          <w:szCs w:val="24"/>
        </w:rPr>
        <w:t xml:space="preserve"> S.A., solidariamente, ao pagamento das quantias a seguir especificadas, pelo superfaturamento resultante do não aproveitamento do material de 3ª categoria escavado na obra, entre a 6ª e a 31ª medições, nas mesmas condições do subitem 9.1</w:t>
      </w:r>
      <w:r>
        <w:rPr>
          <w:kern w:val="2"/>
          <w:szCs w:val="24"/>
        </w:rPr>
        <w:t>3</w:t>
      </w:r>
      <w:r w:rsidRPr="00987DA3">
        <w:rPr>
          <w:kern w:val="2"/>
          <w:szCs w:val="24"/>
        </w:rPr>
        <w:t>:</w:t>
      </w:r>
    </w:p>
    <w:tbl>
      <w:tblPr>
        <w:tblW w:w="0" w:type="auto"/>
        <w:jc w:val="center"/>
        <w:tblCellSpacing w:w="15" w:type="dxa"/>
        <w:tblBorders>
          <w:top w:val="single" w:sz="4" w:space="0" w:color="auto"/>
          <w:left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802"/>
        <w:gridCol w:w="2619"/>
      </w:tblGrid>
      <w:tr w:rsidR="00A46262" w:rsidRPr="00987DA3" w14:paraId="3B88F122" w14:textId="77777777" w:rsidTr="003116EC">
        <w:trPr>
          <w:tblHeader/>
          <w:tblCellSpacing w:w="15" w:type="dxa"/>
          <w:jc w:val="center"/>
        </w:trPr>
        <w:tc>
          <w:tcPr>
            <w:tcW w:w="2757"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6E63F6C2" w14:textId="77777777" w:rsidR="00A46262" w:rsidRPr="00987DA3" w:rsidRDefault="00A46262" w:rsidP="003116EC">
            <w:pPr>
              <w:widowControl w:val="0"/>
              <w:tabs>
                <w:tab w:val="left" w:pos="284"/>
              </w:tabs>
              <w:autoSpaceDE w:val="0"/>
              <w:autoSpaceDN w:val="0"/>
              <w:ind w:left="215" w:hanging="142"/>
              <w:jc w:val="center"/>
              <w:rPr>
                <w:b/>
                <w:bCs/>
                <w:kern w:val="2"/>
                <w:szCs w:val="24"/>
              </w:rPr>
            </w:pPr>
            <w:r w:rsidRPr="00987DA3">
              <w:rPr>
                <w:b/>
                <w:bCs/>
                <w:kern w:val="2"/>
                <w:szCs w:val="24"/>
              </w:rPr>
              <w:t>VALOR ORIGINAL (R$)</w:t>
            </w:r>
          </w:p>
        </w:tc>
        <w:tc>
          <w:tcPr>
            <w:tcW w:w="2574" w:type="dxa"/>
            <w:tcBorders>
              <w:top w:val="nil"/>
              <w:left w:val="nil"/>
              <w:bottom w:val="single" w:sz="4" w:space="0" w:color="auto"/>
            </w:tcBorders>
            <w:tcMar>
              <w:top w:w="15" w:type="dxa"/>
              <w:left w:w="15" w:type="dxa"/>
              <w:bottom w:w="15" w:type="dxa"/>
              <w:right w:w="15" w:type="dxa"/>
            </w:tcMar>
            <w:vAlign w:val="center"/>
            <w:hideMark/>
          </w:tcPr>
          <w:p w14:paraId="0BFE72DB" w14:textId="77777777" w:rsidR="00A46262" w:rsidRPr="00987DA3" w:rsidRDefault="00A46262" w:rsidP="003116EC">
            <w:pPr>
              <w:widowControl w:val="0"/>
              <w:tabs>
                <w:tab w:val="left" w:pos="284"/>
              </w:tabs>
              <w:autoSpaceDE w:val="0"/>
              <w:autoSpaceDN w:val="0"/>
              <w:ind w:left="215" w:hanging="142"/>
              <w:jc w:val="center"/>
              <w:rPr>
                <w:b/>
                <w:bCs/>
                <w:kern w:val="2"/>
                <w:szCs w:val="24"/>
              </w:rPr>
            </w:pPr>
            <w:r w:rsidRPr="00987DA3">
              <w:rPr>
                <w:b/>
                <w:bCs/>
                <w:kern w:val="2"/>
                <w:szCs w:val="24"/>
              </w:rPr>
              <w:t>DATA DA OCORRÊNCIA</w:t>
            </w:r>
          </w:p>
        </w:tc>
      </w:tr>
      <w:tr w:rsidR="00A46262" w:rsidRPr="00987DA3" w14:paraId="475CB474" w14:textId="77777777" w:rsidTr="003116EC">
        <w:trPr>
          <w:tblCellSpacing w:w="15" w:type="dxa"/>
          <w:jc w:val="center"/>
        </w:trPr>
        <w:tc>
          <w:tcPr>
            <w:tcW w:w="2757"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0F977A53"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806.936,20</w:t>
            </w:r>
          </w:p>
        </w:tc>
        <w:tc>
          <w:tcPr>
            <w:tcW w:w="2574" w:type="dxa"/>
            <w:tcBorders>
              <w:top w:val="nil"/>
              <w:left w:val="nil"/>
              <w:bottom w:val="single" w:sz="4" w:space="0" w:color="auto"/>
            </w:tcBorders>
            <w:tcMar>
              <w:top w:w="15" w:type="dxa"/>
              <w:left w:w="15" w:type="dxa"/>
              <w:bottom w:w="15" w:type="dxa"/>
              <w:right w:w="15" w:type="dxa"/>
            </w:tcMar>
            <w:vAlign w:val="center"/>
            <w:hideMark/>
          </w:tcPr>
          <w:p w14:paraId="413C74E1"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30/8/2013</w:t>
            </w:r>
          </w:p>
        </w:tc>
      </w:tr>
      <w:tr w:rsidR="00A46262" w:rsidRPr="00987DA3" w14:paraId="105BB474" w14:textId="77777777" w:rsidTr="003116EC">
        <w:trPr>
          <w:tblCellSpacing w:w="15" w:type="dxa"/>
          <w:jc w:val="center"/>
        </w:trPr>
        <w:tc>
          <w:tcPr>
            <w:tcW w:w="2757"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4A83A261"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175.870,51</w:t>
            </w:r>
          </w:p>
        </w:tc>
        <w:tc>
          <w:tcPr>
            <w:tcW w:w="2574" w:type="dxa"/>
            <w:tcBorders>
              <w:top w:val="nil"/>
              <w:left w:val="nil"/>
              <w:bottom w:val="single" w:sz="4" w:space="0" w:color="auto"/>
            </w:tcBorders>
            <w:tcMar>
              <w:top w:w="15" w:type="dxa"/>
              <w:left w:w="15" w:type="dxa"/>
              <w:bottom w:w="15" w:type="dxa"/>
              <w:right w:w="15" w:type="dxa"/>
            </w:tcMar>
            <w:vAlign w:val="center"/>
            <w:hideMark/>
          </w:tcPr>
          <w:p w14:paraId="36F92DB8"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30/10/2013</w:t>
            </w:r>
          </w:p>
        </w:tc>
      </w:tr>
      <w:tr w:rsidR="00A46262" w:rsidRPr="00987DA3" w14:paraId="0715C163" w14:textId="77777777" w:rsidTr="003116EC">
        <w:trPr>
          <w:tblCellSpacing w:w="15" w:type="dxa"/>
          <w:jc w:val="center"/>
        </w:trPr>
        <w:tc>
          <w:tcPr>
            <w:tcW w:w="2757"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292679FE"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771.954,32</w:t>
            </w:r>
          </w:p>
        </w:tc>
        <w:tc>
          <w:tcPr>
            <w:tcW w:w="2574" w:type="dxa"/>
            <w:tcBorders>
              <w:top w:val="nil"/>
              <w:left w:val="nil"/>
              <w:bottom w:val="single" w:sz="4" w:space="0" w:color="auto"/>
            </w:tcBorders>
            <w:tcMar>
              <w:top w:w="15" w:type="dxa"/>
              <w:left w:w="15" w:type="dxa"/>
              <w:bottom w:w="15" w:type="dxa"/>
              <w:right w:w="15" w:type="dxa"/>
            </w:tcMar>
            <w:vAlign w:val="center"/>
            <w:hideMark/>
          </w:tcPr>
          <w:p w14:paraId="4422D36C"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29/11/2013</w:t>
            </w:r>
          </w:p>
        </w:tc>
      </w:tr>
      <w:tr w:rsidR="00A46262" w:rsidRPr="00987DA3" w14:paraId="68ADE2CF" w14:textId="77777777" w:rsidTr="003116EC">
        <w:trPr>
          <w:tblCellSpacing w:w="15" w:type="dxa"/>
          <w:jc w:val="center"/>
        </w:trPr>
        <w:tc>
          <w:tcPr>
            <w:tcW w:w="2757"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68A89CB3"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3.269,51</w:t>
            </w:r>
          </w:p>
        </w:tc>
        <w:tc>
          <w:tcPr>
            <w:tcW w:w="2574" w:type="dxa"/>
            <w:tcBorders>
              <w:top w:val="nil"/>
              <w:left w:val="nil"/>
              <w:bottom w:val="single" w:sz="4" w:space="0" w:color="auto"/>
            </w:tcBorders>
            <w:tcMar>
              <w:top w:w="15" w:type="dxa"/>
              <w:left w:w="15" w:type="dxa"/>
              <w:bottom w:w="15" w:type="dxa"/>
              <w:right w:w="15" w:type="dxa"/>
            </w:tcMar>
            <w:vAlign w:val="center"/>
            <w:hideMark/>
          </w:tcPr>
          <w:p w14:paraId="27905F89"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27/12/2013</w:t>
            </w:r>
          </w:p>
        </w:tc>
      </w:tr>
      <w:tr w:rsidR="00A46262" w:rsidRPr="00987DA3" w14:paraId="29990DDB" w14:textId="77777777" w:rsidTr="003116EC">
        <w:trPr>
          <w:tblCellSpacing w:w="15" w:type="dxa"/>
          <w:jc w:val="center"/>
        </w:trPr>
        <w:tc>
          <w:tcPr>
            <w:tcW w:w="2757"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71E30972"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47.665,62</w:t>
            </w:r>
          </w:p>
        </w:tc>
        <w:tc>
          <w:tcPr>
            <w:tcW w:w="2574" w:type="dxa"/>
            <w:tcBorders>
              <w:top w:val="nil"/>
              <w:left w:val="nil"/>
              <w:bottom w:val="single" w:sz="4" w:space="0" w:color="auto"/>
            </w:tcBorders>
            <w:tcMar>
              <w:top w:w="15" w:type="dxa"/>
              <w:left w:w="15" w:type="dxa"/>
              <w:bottom w:w="15" w:type="dxa"/>
              <w:right w:w="15" w:type="dxa"/>
            </w:tcMar>
            <w:vAlign w:val="center"/>
            <w:hideMark/>
          </w:tcPr>
          <w:p w14:paraId="2DEE49FC"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30/1/2014</w:t>
            </w:r>
          </w:p>
        </w:tc>
      </w:tr>
      <w:tr w:rsidR="00A46262" w:rsidRPr="00987DA3" w14:paraId="3CF3680D" w14:textId="77777777" w:rsidTr="003116EC">
        <w:trPr>
          <w:tblCellSpacing w:w="15" w:type="dxa"/>
          <w:jc w:val="center"/>
        </w:trPr>
        <w:tc>
          <w:tcPr>
            <w:tcW w:w="2757"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6FB56512"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53.708,00</w:t>
            </w:r>
          </w:p>
        </w:tc>
        <w:tc>
          <w:tcPr>
            <w:tcW w:w="2574" w:type="dxa"/>
            <w:tcBorders>
              <w:top w:val="nil"/>
              <w:left w:val="nil"/>
              <w:bottom w:val="single" w:sz="4" w:space="0" w:color="auto"/>
            </w:tcBorders>
            <w:tcMar>
              <w:top w:w="15" w:type="dxa"/>
              <w:left w:w="15" w:type="dxa"/>
              <w:bottom w:w="15" w:type="dxa"/>
              <w:right w:w="15" w:type="dxa"/>
            </w:tcMar>
            <w:vAlign w:val="center"/>
            <w:hideMark/>
          </w:tcPr>
          <w:p w14:paraId="1CF34D91"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31/3/2014</w:t>
            </w:r>
          </w:p>
        </w:tc>
      </w:tr>
      <w:tr w:rsidR="00A46262" w:rsidRPr="00987DA3" w14:paraId="303D79CC" w14:textId="77777777" w:rsidTr="003116EC">
        <w:trPr>
          <w:tblCellSpacing w:w="15" w:type="dxa"/>
          <w:jc w:val="center"/>
        </w:trPr>
        <w:tc>
          <w:tcPr>
            <w:tcW w:w="2757"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60EB9349"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131.153,67</w:t>
            </w:r>
          </w:p>
        </w:tc>
        <w:tc>
          <w:tcPr>
            <w:tcW w:w="2574" w:type="dxa"/>
            <w:tcBorders>
              <w:top w:val="nil"/>
              <w:left w:val="nil"/>
              <w:bottom w:val="single" w:sz="4" w:space="0" w:color="auto"/>
            </w:tcBorders>
            <w:tcMar>
              <w:top w:w="15" w:type="dxa"/>
              <w:left w:w="15" w:type="dxa"/>
              <w:bottom w:w="15" w:type="dxa"/>
              <w:right w:w="15" w:type="dxa"/>
            </w:tcMar>
            <w:vAlign w:val="center"/>
            <w:hideMark/>
          </w:tcPr>
          <w:p w14:paraId="487E4C2F"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30/4/2014</w:t>
            </w:r>
          </w:p>
        </w:tc>
      </w:tr>
      <w:tr w:rsidR="00A46262" w:rsidRPr="00987DA3" w14:paraId="53A3CCE8" w14:textId="77777777" w:rsidTr="003116EC">
        <w:trPr>
          <w:tblCellSpacing w:w="15" w:type="dxa"/>
          <w:jc w:val="center"/>
        </w:trPr>
        <w:tc>
          <w:tcPr>
            <w:tcW w:w="2757"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41764EF7"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851.946,72</w:t>
            </w:r>
          </w:p>
        </w:tc>
        <w:tc>
          <w:tcPr>
            <w:tcW w:w="2574" w:type="dxa"/>
            <w:tcBorders>
              <w:top w:val="nil"/>
              <w:left w:val="nil"/>
              <w:bottom w:val="single" w:sz="4" w:space="0" w:color="auto"/>
            </w:tcBorders>
            <w:tcMar>
              <w:top w:w="15" w:type="dxa"/>
              <w:left w:w="15" w:type="dxa"/>
              <w:bottom w:w="15" w:type="dxa"/>
              <w:right w:w="15" w:type="dxa"/>
            </w:tcMar>
            <w:vAlign w:val="center"/>
            <w:hideMark/>
          </w:tcPr>
          <w:p w14:paraId="72C03AFC"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30/5/2014</w:t>
            </w:r>
          </w:p>
        </w:tc>
      </w:tr>
      <w:tr w:rsidR="00A46262" w:rsidRPr="00987DA3" w14:paraId="0DB7DA51" w14:textId="77777777" w:rsidTr="003116EC">
        <w:trPr>
          <w:tblCellSpacing w:w="15" w:type="dxa"/>
          <w:jc w:val="center"/>
        </w:trPr>
        <w:tc>
          <w:tcPr>
            <w:tcW w:w="2757"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4DF8C7C2"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482,45</w:t>
            </w:r>
          </w:p>
        </w:tc>
        <w:tc>
          <w:tcPr>
            <w:tcW w:w="2574" w:type="dxa"/>
            <w:tcBorders>
              <w:top w:val="nil"/>
              <w:left w:val="nil"/>
              <w:bottom w:val="single" w:sz="4" w:space="0" w:color="auto"/>
            </w:tcBorders>
            <w:tcMar>
              <w:top w:w="15" w:type="dxa"/>
              <w:left w:w="15" w:type="dxa"/>
              <w:bottom w:w="15" w:type="dxa"/>
              <w:right w:w="15" w:type="dxa"/>
            </w:tcMar>
            <w:vAlign w:val="center"/>
            <w:hideMark/>
          </w:tcPr>
          <w:p w14:paraId="5C143165"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30/6/2014</w:t>
            </w:r>
          </w:p>
        </w:tc>
      </w:tr>
      <w:tr w:rsidR="00A46262" w:rsidRPr="00987DA3" w14:paraId="0E1498AE" w14:textId="77777777" w:rsidTr="003116EC">
        <w:trPr>
          <w:tblCellSpacing w:w="15" w:type="dxa"/>
          <w:jc w:val="center"/>
        </w:trPr>
        <w:tc>
          <w:tcPr>
            <w:tcW w:w="2757"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613F1B1B"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841.188,20</w:t>
            </w:r>
          </w:p>
        </w:tc>
        <w:tc>
          <w:tcPr>
            <w:tcW w:w="2574" w:type="dxa"/>
            <w:tcBorders>
              <w:top w:val="nil"/>
              <w:left w:val="nil"/>
              <w:bottom w:val="single" w:sz="4" w:space="0" w:color="auto"/>
            </w:tcBorders>
            <w:tcMar>
              <w:top w:w="15" w:type="dxa"/>
              <w:left w:w="15" w:type="dxa"/>
              <w:bottom w:w="15" w:type="dxa"/>
              <w:right w:w="15" w:type="dxa"/>
            </w:tcMar>
            <w:vAlign w:val="center"/>
            <w:hideMark/>
          </w:tcPr>
          <w:p w14:paraId="4CFFD82A"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29/8/2014</w:t>
            </w:r>
          </w:p>
        </w:tc>
      </w:tr>
      <w:tr w:rsidR="00A46262" w:rsidRPr="00987DA3" w14:paraId="1C545921" w14:textId="77777777" w:rsidTr="003116EC">
        <w:trPr>
          <w:tblCellSpacing w:w="15" w:type="dxa"/>
          <w:jc w:val="center"/>
        </w:trPr>
        <w:tc>
          <w:tcPr>
            <w:tcW w:w="2757"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47320162"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(41.503,12)</w:t>
            </w:r>
          </w:p>
        </w:tc>
        <w:tc>
          <w:tcPr>
            <w:tcW w:w="2574" w:type="dxa"/>
            <w:tcBorders>
              <w:top w:val="nil"/>
              <w:left w:val="nil"/>
              <w:bottom w:val="single" w:sz="4" w:space="0" w:color="auto"/>
            </w:tcBorders>
            <w:tcMar>
              <w:top w:w="15" w:type="dxa"/>
              <w:left w:w="15" w:type="dxa"/>
              <w:bottom w:w="15" w:type="dxa"/>
              <w:right w:w="15" w:type="dxa"/>
            </w:tcMar>
            <w:vAlign w:val="center"/>
            <w:hideMark/>
          </w:tcPr>
          <w:p w14:paraId="646BF2F4"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30/9/2014</w:t>
            </w:r>
          </w:p>
        </w:tc>
      </w:tr>
      <w:tr w:rsidR="00A46262" w:rsidRPr="00987DA3" w14:paraId="77AF66A5" w14:textId="77777777" w:rsidTr="003116EC">
        <w:trPr>
          <w:tblCellSpacing w:w="15" w:type="dxa"/>
          <w:jc w:val="center"/>
        </w:trPr>
        <w:tc>
          <w:tcPr>
            <w:tcW w:w="2757"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6AEBFC56"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8.964,43</w:t>
            </w:r>
          </w:p>
        </w:tc>
        <w:tc>
          <w:tcPr>
            <w:tcW w:w="2574" w:type="dxa"/>
            <w:tcBorders>
              <w:top w:val="nil"/>
              <w:left w:val="nil"/>
              <w:bottom w:val="single" w:sz="4" w:space="0" w:color="auto"/>
            </w:tcBorders>
            <w:tcMar>
              <w:top w:w="15" w:type="dxa"/>
              <w:left w:w="15" w:type="dxa"/>
              <w:bottom w:w="15" w:type="dxa"/>
              <w:right w:w="15" w:type="dxa"/>
            </w:tcMar>
            <w:vAlign w:val="center"/>
            <w:hideMark/>
          </w:tcPr>
          <w:p w14:paraId="7A3C55AA"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28/11/2014</w:t>
            </w:r>
          </w:p>
        </w:tc>
      </w:tr>
      <w:tr w:rsidR="00A46262" w:rsidRPr="00987DA3" w14:paraId="1D365BCD" w14:textId="77777777" w:rsidTr="003116EC">
        <w:trPr>
          <w:tblCellSpacing w:w="15" w:type="dxa"/>
          <w:jc w:val="center"/>
        </w:trPr>
        <w:tc>
          <w:tcPr>
            <w:tcW w:w="2757"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1F01CCF1"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151.709,03</w:t>
            </w:r>
          </w:p>
        </w:tc>
        <w:tc>
          <w:tcPr>
            <w:tcW w:w="2574" w:type="dxa"/>
            <w:tcBorders>
              <w:top w:val="nil"/>
              <w:left w:val="nil"/>
              <w:bottom w:val="single" w:sz="4" w:space="0" w:color="auto"/>
            </w:tcBorders>
            <w:tcMar>
              <w:top w:w="15" w:type="dxa"/>
              <w:left w:w="15" w:type="dxa"/>
              <w:bottom w:w="15" w:type="dxa"/>
              <w:right w:w="15" w:type="dxa"/>
            </w:tcMar>
            <w:vAlign w:val="center"/>
            <w:hideMark/>
          </w:tcPr>
          <w:p w14:paraId="231FFCEA"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27/2/2015</w:t>
            </w:r>
          </w:p>
        </w:tc>
      </w:tr>
      <w:tr w:rsidR="00A46262" w:rsidRPr="00987DA3" w14:paraId="6F54FCA3" w14:textId="77777777" w:rsidTr="003116EC">
        <w:trPr>
          <w:tblCellSpacing w:w="15" w:type="dxa"/>
          <w:jc w:val="center"/>
        </w:trPr>
        <w:tc>
          <w:tcPr>
            <w:tcW w:w="2757"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496C8331"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117.881,59</w:t>
            </w:r>
          </w:p>
        </w:tc>
        <w:tc>
          <w:tcPr>
            <w:tcW w:w="2574" w:type="dxa"/>
            <w:tcBorders>
              <w:top w:val="nil"/>
              <w:left w:val="nil"/>
              <w:bottom w:val="single" w:sz="4" w:space="0" w:color="auto"/>
            </w:tcBorders>
            <w:tcMar>
              <w:top w:w="15" w:type="dxa"/>
              <w:left w:w="15" w:type="dxa"/>
              <w:bottom w:w="15" w:type="dxa"/>
              <w:right w:w="15" w:type="dxa"/>
            </w:tcMar>
            <w:vAlign w:val="center"/>
            <w:hideMark/>
          </w:tcPr>
          <w:p w14:paraId="62F1BFB9"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30/4/2015</w:t>
            </w:r>
          </w:p>
        </w:tc>
      </w:tr>
      <w:tr w:rsidR="00A46262" w:rsidRPr="00987DA3" w14:paraId="6134BB6B" w14:textId="77777777" w:rsidTr="003116EC">
        <w:trPr>
          <w:tblCellSpacing w:w="15" w:type="dxa"/>
          <w:jc w:val="center"/>
        </w:trPr>
        <w:tc>
          <w:tcPr>
            <w:tcW w:w="2757"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2A6CF0A7"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1.122,76</w:t>
            </w:r>
          </w:p>
        </w:tc>
        <w:tc>
          <w:tcPr>
            <w:tcW w:w="2574" w:type="dxa"/>
            <w:tcBorders>
              <w:top w:val="nil"/>
              <w:left w:val="nil"/>
              <w:bottom w:val="single" w:sz="4" w:space="0" w:color="auto"/>
            </w:tcBorders>
            <w:tcMar>
              <w:top w:w="15" w:type="dxa"/>
              <w:left w:w="15" w:type="dxa"/>
              <w:bottom w:w="15" w:type="dxa"/>
              <w:right w:w="15" w:type="dxa"/>
            </w:tcMar>
            <w:vAlign w:val="center"/>
            <w:hideMark/>
          </w:tcPr>
          <w:p w14:paraId="3058FED3"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29/5/2015</w:t>
            </w:r>
          </w:p>
        </w:tc>
      </w:tr>
      <w:tr w:rsidR="00A46262" w:rsidRPr="00987DA3" w14:paraId="53A88BBF" w14:textId="77777777" w:rsidTr="003116EC">
        <w:trPr>
          <w:tblCellSpacing w:w="15" w:type="dxa"/>
          <w:jc w:val="center"/>
        </w:trPr>
        <w:tc>
          <w:tcPr>
            <w:tcW w:w="2757"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3F06DEBF"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(499,70)</w:t>
            </w:r>
          </w:p>
        </w:tc>
        <w:tc>
          <w:tcPr>
            <w:tcW w:w="2574" w:type="dxa"/>
            <w:tcBorders>
              <w:top w:val="nil"/>
              <w:left w:val="nil"/>
              <w:bottom w:val="single" w:sz="4" w:space="0" w:color="auto"/>
            </w:tcBorders>
            <w:tcMar>
              <w:top w:w="15" w:type="dxa"/>
              <w:left w:w="15" w:type="dxa"/>
              <w:bottom w:w="15" w:type="dxa"/>
              <w:right w:w="15" w:type="dxa"/>
            </w:tcMar>
            <w:vAlign w:val="center"/>
            <w:hideMark/>
          </w:tcPr>
          <w:p w14:paraId="059C2E4A"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30/6/2015</w:t>
            </w:r>
          </w:p>
        </w:tc>
      </w:tr>
      <w:tr w:rsidR="00A46262" w:rsidRPr="00987DA3" w14:paraId="2DE33C38" w14:textId="77777777" w:rsidTr="003116EC">
        <w:trPr>
          <w:tblCellSpacing w:w="15" w:type="dxa"/>
          <w:jc w:val="center"/>
        </w:trPr>
        <w:tc>
          <w:tcPr>
            <w:tcW w:w="2757"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04060771"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2.719.906,45</w:t>
            </w:r>
          </w:p>
        </w:tc>
        <w:tc>
          <w:tcPr>
            <w:tcW w:w="2574" w:type="dxa"/>
            <w:tcBorders>
              <w:top w:val="nil"/>
              <w:left w:val="nil"/>
              <w:bottom w:val="single" w:sz="4" w:space="0" w:color="auto"/>
            </w:tcBorders>
            <w:tcMar>
              <w:top w:w="15" w:type="dxa"/>
              <w:left w:w="15" w:type="dxa"/>
              <w:bottom w:w="15" w:type="dxa"/>
              <w:right w:w="15" w:type="dxa"/>
            </w:tcMar>
            <w:vAlign w:val="center"/>
            <w:hideMark/>
          </w:tcPr>
          <w:p w14:paraId="7658207C"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30/9/2015</w:t>
            </w:r>
          </w:p>
        </w:tc>
      </w:tr>
    </w:tbl>
    <w:p w14:paraId="0189FDE6" w14:textId="77777777" w:rsidR="00A46262" w:rsidRPr="00987DA3" w:rsidRDefault="00A46262" w:rsidP="00A46262">
      <w:pPr>
        <w:widowControl w:val="0"/>
        <w:tabs>
          <w:tab w:val="left" w:pos="284"/>
        </w:tabs>
        <w:autoSpaceDE w:val="0"/>
        <w:autoSpaceDN w:val="0"/>
        <w:ind w:firstLine="1134"/>
        <w:jc w:val="both"/>
        <w:rPr>
          <w:kern w:val="2"/>
          <w:szCs w:val="24"/>
        </w:rPr>
      </w:pPr>
      <w:r w:rsidRPr="00987DA3">
        <w:rPr>
          <w:kern w:val="2"/>
          <w:szCs w:val="24"/>
        </w:rPr>
        <w:t>9.1</w:t>
      </w:r>
      <w:r>
        <w:rPr>
          <w:kern w:val="2"/>
          <w:szCs w:val="24"/>
        </w:rPr>
        <w:t>7</w:t>
      </w:r>
      <w:r w:rsidRPr="00987DA3">
        <w:rPr>
          <w:kern w:val="2"/>
          <w:szCs w:val="24"/>
        </w:rPr>
        <w:t xml:space="preserve">. condenar Benedito Aparecido Trida, Pedro Paulo Dantas do Amaral Campos, Pedro da Silva, Laurence Casagrande Lourenço e Construtora </w:t>
      </w:r>
      <w:r>
        <w:rPr>
          <w:kern w:val="2"/>
          <w:szCs w:val="24"/>
        </w:rPr>
        <w:t>Coesa</w:t>
      </w:r>
      <w:r w:rsidRPr="00987DA3">
        <w:rPr>
          <w:kern w:val="2"/>
          <w:szCs w:val="24"/>
        </w:rPr>
        <w:t xml:space="preserve"> S.A., solidariamente, ao pagamento das quantias a seguir especificadas, pelo superfaturamento resultante do não aproveitamento do material de 3ª categoria escavado na obra, entre a 49ªA e a 61ª medições, nas mesmas condições do subitem 9.1</w:t>
      </w:r>
      <w:r>
        <w:rPr>
          <w:kern w:val="2"/>
          <w:szCs w:val="24"/>
        </w:rPr>
        <w:t>3</w:t>
      </w:r>
      <w:r w:rsidRPr="00987DA3">
        <w:rPr>
          <w:kern w:val="2"/>
          <w:szCs w:val="24"/>
        </w:rPr>
        <w:t>:</w:t>
      </w:r>
    </w:p>
    <w:tbl>
      <w:tblPr>
        <w:tblW w:w="0" w:type="auto"/>
        <w:jc w:val="center"/>
        <w:tblCellSpacing w:w="15" w:type="dxa"/>
        <w:tblBorders>
          <w:top w:val="single" w:sz="4" w:space="0" w:color="auto"/>
          <w:left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872"/>
        <w:gridCol w:w="2587"/>
      </w:tblGrid>
      <w:tr w:rsidR="00A46262" w:rsidRPr="00987DA3" w14:paraId="31ADD0C4" w14:textId="77777777" w:rsidTr="003116EC">
        <w:trPr>
          <w:tblHeader/>
          <w:tblCellSpacing w:w="15" w:type="dxa"/>
          <w:jc w:val="center"/>
        </w:trPr>
        <w:tc>
          <w:tcPr>
            <w:tcW w:w="2827"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25DE13F5" w14:textId="77777777" w:rsidR="00A46262" w:rsidRPr="00987DA3" w:rsidRDefault="00A46262" w:rsidP="003116EC">
            <w:pPr>
              <w:widowControl w:val="0"/>
              <w:tabs>
                <w:tab w:val="left" w:pos="284"/>
              </w:tabs>
              <w:autoSpaceDE w:val="0"/>
              <w:autoSpaceDN w:val="0"/>
              <w:ind w:left="215" w:hanging="142"/>
              <w:jc w:val="center"/>
              <w:rPr>
                <w:b/>
                <w:bCs/>
                <w:kern w:val="2"/>
                <w:szCs w:val="24"/>
              </w:rPr>
            </w:pPr>
            <w:r w:rsidRPr="00987DA3">
              <w:rPr>
                <w:b/>
                <w:bCs/>
                <w:kern w:val="2"/>
                <w:szCs w:val="24"/>
              </w:rPr>
              <w:lastRenderedPageBreak/>
              <w:t>VALOR ORIGINAL (R$)</w:t>
            </w:r>
          </w:p>
        </w:tc>
        <w:tc>
          <w:tcPr>
            <w:tcW w:w="2542" w:type="dxa"/>
            <w:tcBorders>
              <w:top w:val="nil"/>
              <w:left w:val="nil"/>
              <w:bottom w:val="single" w:sz="4" w:space="0" w:color="auto"/>
            </w:tcBorders>
            <w:tcMar>
              <w:top w:w="15" w:type="dxa"/>
              <w:left w:w="15" w:type="dxa"/>
              <w:bottom w:w="15" w:type="dxa"/>
              <w:right w:w="15" w:type="dxa"/>
            </w:tcMar>
            <w:vAlign w:val="center"/>
            <w:hideMark/>
          </w:tcPr>
          <w:p w14:paraId="53B068B5" w14:textId="77777777" w:rsidR="00A46262" w:rsidRPr="00987DA3" w:rsidRDefault="00A46262" w:rsidP="003116EC">
            <w:pPr>
              <w:widowControl w:val="0"/>
              <w:tabs>
                <w:tab w:val="left" w:pos="284"/>
              </w:tabs>
              <w:autoSpaceDE w:val="0"/>
              <w:autoSpaceDN w:val="0"/>
              <w:ind w:left="215" w:hanging="142"/>
              <w:jc w:val="center"/>
              <w:rPr>
                <w:b/>
                <w:bCs/>
                <w:kern w:val="2"/>
                <w:szCs w:val="24"/>
              </w:rPr>
            </w:pPr>
            <w:r w:rsidRPr="00987DA3">
              <w:rPr>
                <w:b/>
                <w:bCs/>
                <w:kern w:val="2"/>
                <w:szCs w:val="24"/>
              </w:rPr>
              <w:t>DATA DA OCORRÊNCIA</w:t>
            </w:r>
          </w:p>
        </w:tc>
      </w:tr>
      <w:tr w:rsidR="00A46262" w:rsidRPr="00987DA3" w14:paraId="62D2FFC2" w14:textId="77777777" w:rsidTr="003116EC">
        <w:trPr>
          <w:tblCellSpacing w:w="15" w:type="dxa"/>
          <w:jc w:val="center"/>
        </w:trPr>
        <w:tc>
          <w:tcPr>
            <w:tcW w:w="2827"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742ECBA9" w14:textId="77777777" w:rsidR="00A46262" w:rsidRPr="00987DA3" w:rsidRDefault="00A46262" w:rsidP="003116EC">
            <w:pPr>
              <w:widowControl w:val="0"/>
              <w:tabs>
                <w:tab w:val="left" w:pos="284"/>
              </w:tabs>
              <w:autoSpaceDE w:val="0"/>
              <w:autoSpaceDN w:val="0"/>
              <w:ind w:left="215" w:right="949" w:hanging="142"/>
              <w:jc w:val="right"/>
              <w:rPr>
                <w:kern w:val="2"/>
                <w:szCs w:val="24"/>
              </w:rPr>
            </w:pPr>
            <w:r w:rsidRPr="00987DA3">
              <w:rPr>
                <w:kern w:val="2"/>
                <w:szCs w:val="24"/>
              </w:rPr>
              <w:t>200,25</w:t>
            </w:r>
          </w:p>
        </w:tc>
        <w:tc>
          <w:tcPr>
            <w:tcW w:w="2542" w:type="dxa"/>
            <w:tcBorders>
              <w:top w:val="nil"/>
              <w:left w:val="nil"/>
              <w:bottom w:val="single" w:sz="4" w:space="0" w:color="auto"/>
            </w:tcBorders>
            <w:tcMar>
              <w:top w:w="15" w:type="dxa"/>
              <w:left w:w="15" w:type="dxa"/>
              <w:bottom w:w="15" w:type="dxa"/>
              <w:right w:w="15" w:type="dxa"/>
            </w:tcMar>
            <w:vAlign w:val="center"/>
            <w:hideMark/>
          </w:tcPr>
          <w:p w14:paraId="42481824" w14:textId="77777777" w:rsidR="00A46262" w:rsidRPr="00987DA3" w:rsidRDefault="00A46262" w:rsidP="003116EC">
            <w:pPr>
              <w:widowControl w:val="0"/>
              <w:tabs>
                <w:tab w:val="left" w:pos="284"/>
              </w:tabs>
              <w:autoSpaceDE w:val="0"/>
              <w:autoSpaceDN w:val="0"/>
              <w:ind w:left="215" w:right="949" w:hanging="142"/>
              <w:jc w:val="right"/>
              <w:rPr>
                <w:kern w:val="2"/>
                <w:szCs w:val="24"/>
              </w:rPr>
            </w:pPr>
            <w:r w:rsidRPr="00987DA3">
              <w:rPr>
                <w:kern w:val="2"/>
                <w:szCs w:val="24"/>
              </w:rPr>
              <w:t>30/3/2017</w:t>
            </w:r>
          </w:p>
        </w:tc>
      </w:tr>
      <w:tr w:rsidR="00A46262" w:rsidRPr="00987DA3" w14:paraId="22119E1E" w14:textId="77777777" w:rsidTr="003116EC">
        <w:trPr>
          <w:tblCellSpacing w:w="15" w:type="dxa"/>
          <w:jc w:val="center"/>
        </w:trPr>
        <w:tc>
          <w:tcPr>
            <w:tcW w:w="2827"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53AA97C8" w14:textId="77777777" w:rsidR="00A46262" w:rsidRPr="00987DA3" w:rsidRDefault="00A46262" w:rsidP="003116EC">
            <w:pPr>
              <w:widowControl w:val="0"/>
              <w:tabs>
                <w:tab w:val="left" w:pos="284"/>
              </w:tabs>
              <w:autoSpaceDE w:val="0"/>
              <w:autoSpaceDN w:val="0"/>
              <w:ind w:left="215" w:right="949" w:hanging="142"/>
              <w:jc w:val="right"/>
              <w:rPr>
                <w:kern w:val="2"/>
                <w:szCs w:val="24"/>
              </w:rPr>
            </w:pPr>
            <w:r w:rsidRPr="00987DA3">
              <w:rPr>
                <w:kern w:val="2"/>
                <w:szCs w:val="24"/>
              </w:rPr>
              <w:t>42.491,54</w:t>
            </w:r>
          </w:p>
        </w:tc>
        <w:tc>
          <w:tcPr>
            <w:tcW w:w="2542" w:type="dxa"/>
            <w:tcBorders>
              <w:top w:val="nil"/>
              <w:left w:val="nil"/>
              <w:bottom w:val="single" w:sz="4" w:space="0" w:color="auto"/>
            </w:tcBorders>
            <w:tcMar>
              <w:top w:w="15" w:type="dxa"/>
              <w:left w:w="15" w:type="dxa"/>
              <w:bottom w:w="15" w:type="dxa"/>
              <w:right w:w="15" w:type="dxa"/>
            </w:tcMar>
            <w:vAlign w:val="center"/>
            <w:hideMark/>
          </w:tcPr>
          <w:p w14:paraId="528DB97C" w14:textId="77777777" w:rsidR="00A46262" w:rsidRPr="00987DA3" w:rsidRDefault="00A46262" w:rsidP="003116EC">
            <w:pPr>
              <w:widowControl w:val="0"/>
              <w:tabs>
                <w:tab w:val="left" w:pos="284"/>
              </w:tabs>
              <w:autoSpaceDE w:val="0"/>
              <w:autoSpaceDN w:val="0"/>
              <w:ind w:left="215" w:right="949" w:hanging="142"/>
              <w:jc w:val="right"/>
              <w:rPr>
                <w:kern w:val="2"/>
                <w:szCs w:val="24"/>
              </w:rPr>
            </w:pPr>
            <w:r w:rsidRPr="00987DA3">
              <w:rPr>
                <w:kern w:val="2"/>
                <w:szCs w:val="24"/>
              </w:rPr>
              <w:t>30/6/2017</w:t>
            </w:r>
          </w:p>
        </w:tc>
      </w:tr>
      <w:tr w:rsidR="00A46262" w:rsidRPr="00987DA3" w14:paraId="02B3A76D" w14:textId="77777777" w:rsidTr="003116EC">
        <w:trPr>
          <w:tblCellSpacing w:w="15" w:type="dxa"/>
          <w:jc w:val="center"/>
        </w:trPr>
        <w:tc>
          <w:tcPr>
            <w:tcW w:w="2827"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18EBB719" w14:textId="77777777" w:rsidR="00A46262" w:rsidRPr="00987DA3" w:rsidRDefault="00A46262" w:rsidP="003116EC">
            <w:pPr>
              <w:widowControl w:val="0"/>
              <w:tabs>
                <w:tab w:val="left" w:pos="284"/>
              </w:tabs>
              <w:autoSpaceDE w:val="0"/>
              <w:autoSpaceDN w:val="0"/>
              <w:ind w:left="215" w:right="949" w:hanging="142"/>
              <w:jc w:val="right"/>
              <w:rPr>
                <w:kern w:val="2"/>
                <w:szCs w:val="24"/>
              </w:rPr>
            </w:pPr>
            <w:r w:rsidRPr="00987DA3">
              <w:rPr>
                <w:kern w:val="2"/>
                <w:szCs w:val="24"/>
              </w:rPr>
              <w:t>98.675,25</w:t>
            </w:r>
          </w:p>
        </w:tc>
        <w:tc>
          <w:tcPr>
            <w:tcW w:w="2542" w:type="dxa"/>
            <w:tcBorders>
              <w:top w:val="nil"/>
              <w:left w:val="nil"/>
              <w:bottom w:val="single" w:sz="4" w:space="0" w:color="auto"/>
            </w:tcBorders>
            <w:tcMar>
              <w:top w:w="15" w:type="dxa"/>
              <w:left w:w="15" w:type="dxa"/>
              <w:bottom w:w="15" w:type="dxa"/>
              <w:right w:w="15" w:type="dxa"/>
            </w:tcMar>
            <w:vAlign w:val="center"/>
            <w:hideMark/>
          </w:tcPr>
          <w:p w14:paraId="25DBF786" w14:textId="77777777" w:rsidR="00A46262" w:rsidRPr="00987DA3" w:rsidRDefault="00A46262" w:rsidP="003116EC">
            <w:pPr>
              <w:widowControl w:val="0"/>
              <w:tabs>
                <w:tab w:val="left" w:pos="284"/>
              </w:tabs>
              <w:autoSpaceDE w:val="0"/>
              <w:autoSpaceDN w:val="0"/>
              <w:ind w:left="215" w:right="949" w:hanging="142"/>
              <w:jc w:val="right"/>
              <w:rPr>
                <w:kern w:val="2"/>
                <w:szCs w:val="24"/>
              </w:rPr>
            </w:pPr>
            <w:r w:rsidRPr="00987DA3">
              <w:rPr>
                <w:kern w:val="2"/>
                <w:szCs w:val="24"/>
              </w:rPr>
              <w:t>1/9/2017</w:t>
            </w:r>
          </w:p>
        </w:tc>
      </w:tr>
      <w:tr w:rsidR="00A46262" w:rsidRPr="00987DA3" w14:paraId="5865C486" w14:textId="77777777" w:rsidTr="003116EC">
        <w:trPr>
          <w:tblCellSpacing w:w="15" w:type="dxa"/>
          <w:jc w:val="center"/>
        </w:trPr>
        <w:tc>
          <w:tcPr>
            <w:tcW w:w="2827"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412AA89C" w14:textId="77777777" w:rsidR="00A46262" w:rsidRPr="00987DA3" w:rsidRDefault="00A46262" w:rsidP="003116EC">
            <w:pPr>
              <w:widowControl w:val="0"/>
              <w:tabs>
                <w:tab w:val="left" w:pos="284"/>
              </w:tabs>
              <w:autoSpaceDE w:val="0"/>
              <w:autoSpaceDN w:val="0"/>
              <w:ind w:left="215" w:right="949" w:hanging="142"/>
              <w:jc w:val="right"/>
              <w:rPr>
                <w:kern w:val="2"/>
                <w:szCs w:val="24"/>
              </w:rPr>
            </w:pPr>
            <w:r w:rsidRPr="00987DA3">
              <w:rPr>
                <w:kern w:val="2"/>
                <w:szCs w:val="24"/>
              </w:rPr>
              <w:t>290,42</w:t>
            </w:r>
          </w:p>
        </w:tc>
        <w:tc>
          <w:tcPr>
            <w:tcW w:w="2542" w:type="dxa"/>
            <w:tcBorders>
              <w:top w:val="nil"/>
              <w:left w:val="nil"/>
              <w:bottom w:val="single" w:sz="4" w:space="0" w:color="auto"/>
            </w:tcBorders>
            <w:tcMar>
              <w:top w:w="15" w:type="dxa"/>
              <w:left w:w="15" w:type="dxa"/>
              <w:bottom w:w="15" w:type="dxa"/>
              <w:right w:w="15" w:type="dxa"/>
            </w:tcMar>
            <w:vAlign w:val="center"/>
            <w:hideMark/>
          </w:tcPr>
          <w:p w14:paraId="1C93425E" w14:textId="77777777" w:rsidR="00A46262" w:rsidRPr="00987DA3" w:rsidRDefault="00A46262" w:rsidP="003116EC">
            <w:pPr>
              <w:widowControl w:val="0"/>
              <w:tabs>
                <w:tab w:val="left" w:pos="284"/>
              </w:tabs>
              <w:autoSpaceDE w:val="0"/>
              <w:autoSpaceDN w:val="0"/>
              <w:ind w:left="215" w:right="949" w:hanging="142"/>
              <w:jc w:val="right"/>
              <w:rPr>
                <w:kern w:val="2"/>
                <w:szCs w:val="24"/>
              </w:rPr>
            </w:pPr>
            <w:r w:rsidRPr="00987DA3">
              <w:rPr>
                <w:kern w:val="2"/>
                <w:szCs w:val="24"/>
              </w:rPr>
              <w:t>29/9/2017</w:t>
            </w:r>
          </w:p>
        </w:tc>
      </w:tr>
      <w:tr w:rsidR="00A46262" w:rsidRPr="00987DA3" w14:paraId="7572D028" w14:textId="77777777" w:rsidTr="003116EC">
        <w:trPr>
          <w:tblCellSpacing w:w="15" w:type="dxa"/>
          <w:jc w:val="center"/>
        </w:trPr>
        <w:tc>
          <w:tcPr>
            <w:tcW w:w="2827"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5331213E" w14:textId="77777777" w:rsidR="00A46262" w:rsidRPr="00987DA3" w:rsidRDefault="00A46262" w:rsidP="003116EC">
            <w:pPr>
              <w:widowControl w:val="0"/>
              <w:tabs>
                <w:tab w:val="left" w:pos="284"/>
              </w:tabs>
              <w:autoSpaceDE w:val="0"/>
              <w:autoSpaceDN w:val="0"/>
              <w:ind w:left="215" w:right="949" w:hanging="142"/>
              <w:jc w:val="right"/>
              <w:rPr>
                <w:kern w:val="2"/>
                <w:szCs w:val="24"/>
              </w:rPr>
            </w:pPr>
            <w:r w:rsidRPr="00987DA3">
              <w:rPr>
                <w:kern w:val="2"/>
                <w:szCs w:val="24"/>
              </w:rPr>
              <w:t>1.245.676,45</w:t>
            </w:r>
          </w:p>
        </w:tc>
        <w:tc>
          <w:tcPr>
            <w:tcW w:w="2542" w:type="dxa"/>
            <w:tcBorders>
              <w:top w:val="nil"/>
              <w:left w:val="nil"/>
              <w:bottom w:val="single" w:sz="4" w:space="0" w:color="auto"/>
            </w:tcBorders>
            <w:tcMar>
              <w:top w:w="15" w:type="dxa"/>
              <w:left w:w="15" w:type="dxa"/>
              <w:bottom w:w="15" w:type="dxa"/>
              <w:right w:w="15" w:type="dxa"/>
            </w:tcMar>
            <w:vAlign w:val="center"/>
            <w:hideMark/>
          </w:tcPr>
          <w:p w14:paraId="1ED53C30" w14:textId="77777777" w:rsidR="00A46262" w:rsidRPr="00987DA3" w:rsidRDefault="00A46262" w:rsidP="003116EC">
            <w:pPr>
              <w:widowControl w:val="0"/>
              <w:tabs>
                <w:tab w:val="left" w:pos="284"/>
              </w:tabs>
              <w:autoSpaceDE w:val="0"/>
              <w:autoSpaceDN w:val="0"/>
              <w:ind w:left="215" w:right="949" w:hanging="142"/>
              <w:jc w:val="right"/>
              <w:rPr>
                <w:kern w:val="2"/>
                <w:szCs w:val="24"/>
              </w:rPr>
            </w:pPr>
            <w:r w:rsidRPr="00987DA3">
              <w:rPr>
                <w:kern w:val="2"/>
                <w:szCs w:val="24"/>
              </w:rPr>
              <w:t>2/4/2018</w:t>
            </w:r>
          </w:p>
        </w:tc>
      </w:tr>
    </w:tbl>
    <w:p w14:paraId="50A87CC0" w14:textId="77777777" w:rsidR="00A46262" w:rsidRPr="00987DA3" w:rsidRDefault="00A46262" w:rsidP="00A46262">
      <w:pPr>
        <w:widowControl w:val="0"/>
        <w:tabs>
          <w:tab w:val="left" w:pos="284"/>
        </w:tabs>
        <w:autoSpaceDE w:val="0"/>
        <w:autoSpaceDN w:val="0"/>
        <w:ind w:firstLine="1134"/>
        <w:jc w:val="both"/>
        <w:rPr>
          <w:kern w:val="2"/>
          <w:szCs w:val="24"/>
        </w:rPr>
      </w:pPr>
      <w:r w:rsidRPr="00987DA3">
        <w:rPr>
          <w:kern w:val="2"/>
          <w:szCs w:val="24"/>
        </w:rPr>
        <w:t>9.1</w:t>
      </w:r>
      <w:r>
        <w:rPr>
          <w:kern w:val="2"/>
          <w:szCs w:val="24"/>
        </w:rPr>
        <w:t>8</w:t>
      </w:r>
      <w:r w:rsidRPr="00987DA3">
        <w:rPr>
          <w:kern w:val="2"/>
          <w:szCs w:val="24"/>
        </w:rPr>
        <w:t xml:space="preserve">. condenar Benedito Aparecido Trida, Pedro Paulo Dantas do Amaral Campos, Pedro da Silva, Laurence Casagrande Lourenço e Construtora </w:t>
      </w:r>
      <w:r>
        <w:rPr>
          <w:kern w:val="2"/>
          <w:szCs w:val="24"/>
        </w:rPr>
        <w:t>Coesa</w:t>
      </w:r>
      <w:r w:rsidRPr="00987DA3">
        <w:rPr>
          <w:kern w:val="2"/>
          <w:szCs w:val="24"/>
        </w:rPr>
        <w:t xml:space="preserve"> S.A., solidariamente, ao pagamento das quantias a seguir especificadas, pelo superfaturamento resultante do não aproveitamento do material de 3ª categoria escavado na obra, entre a 62ª e a 63ª medições, nas mesmas condições do subitem 9.1</w:t>
      </w:r>
      <w:r>
        <w:rPr>
          <w:kern w:val="2"/>
          <w:szCs w:val="24"/>
        </w:rPr>
        <w:t>3</w:t>
      </w:r>
      <w:r w:rsidRPr="00987DA3">
        <w:rPr>
          <w:kern w:val="2"/>
          <w:szCs w:val="24"/>
        </w:rPr>
        <w:t>:</w:t>
      </w:r>
    </w:p>
    <w:tbl>
      <w:tblPr>
        <w:tblW w:w="0" w:type="auto"/>
        <w:jc w:val="center"/>
        <w:tblCellSpacing w:w="15" w:type="dxa"/>
        <w:tblBorders>
          <w:top w:val="single" w:sz="4" w:space="0" w:color="auto"/>
          <w:left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835"/>
        <w:gridCol w:w="2763"/>
      </w:tblGrid>
      <w:tr w:rsidR="00A46262" w:rsidRPr="00987DA3" w14:paraId="64AA1EA6" w14:textId="77777777" w:rsidTr="003116EC">
        <w:trPr>
          <w:tblHeader/>
          <w:tblCellSpacing w:w="15" w:type="dxa"/>
          <w:jc w:val="center"/>
        </w:trPr>
        <w:tc>
          <w:tcPr>
            <w:tcW w:w="2790"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6AC6B314" w14:textId="77777777" w:rsidR="00A46262" w:rsidRPr="00987DA3" w:rsidRDefault="00A46262" w:rsidP="003116EC">
            <w:pPr>
              <w:widowControl w:val="0"/>
              <w:tabs>
                <w:tab w:val="left" w:pos="284"/>
              </w:tabs>
              <w:autoSpaceDE w:val="0"/>
              <w:autoSpaceDN w:val="0"/>
              <w:ind w:left="215" w:hanging="142"/>
              <w:jc w:val="center"/>
              <w:rPr>
                <w:b/>
                <w:bCs/>
                <w:kern w:val="2"/>
                <w:szCs w:val="24"/>
              </w:rPr>
            </w:pPr>
            <w:r w:rsidRPr="00987DA3">
              <w:rPr>
                <w:b/>
                <w:bCs/>
                <w:kern w:val="2"/>
                <w:szCs w:val="24"/>
              </w:rPr>
              <w:t>VALOR ORIGINAL (R$)</w:t>
            </w:r>
          </w:p>
        </w:tc>
        <w:tc>
          <w:tcPr>
            <w:tcW w:w="2718" w:type="dxa"/>
            <w:tcBorders>
              <w:top w:val="nil"/>
              <w:left w:val="nil"/>
              <w:bottom w:val="single" w:sz="4" w:space="0" w:color="auto"/>
            </w:tcBorders>
            <w:tcMar>
              <w:top w:w="15" w:type="dxa"/>
              <w:left w:w="15" w:type="dxa"/>
              <w:bottom w:w="15" w:type="dxa"/>
              <w:right w:w="15" w:type="dxa"/>
            </w:tcMar>
            <w:vAlign w:val="center"/>
            <w:hideMark/>
          </w:tcPr>
          <w:p w14:paraId="63D10498" w14:textId="77777777" w:rsidR="00A46262" w:rsidRPr="00987DA3" w:rsidRDefault="00A46262" w:rsidP="003116EC">
            <w:pPr>
              <w:widowControl w:val="0"/>
              <w:tabs>
                <w:tab w:val="left" w:pos="284"/>
              </w:tabs>
              <w:autoSpaceDE w:val="0"/>
              <w:autoSpaceDN w:val="0"/>
              <w:ind w:left="215" w:hanging="142"/>
              <w:jc w:val="center"/>
              <w:rPr>
                <w:b/>
                <w:bCs/>
                <w:kern w:val="2"/>
                <w:szCs w:val="24"/>
              </w:rPr>
            </w:pPr>
            <w:r w:rsidRPr="00987DA3">
              <w:rPr>
                <w:b/>
                <w:bCs/>
                <w:kern w:val="2"/>
                <w:szCs w:val="24"/>
              </w:rPr>
              <w:t>DATA DA OCORRÊNCIA</w:t>
            </w:r>
          </w:p>
        </w:tc>
      </w:tr>
      <w:tr w:rsidR="00A46262" w:rsidRPr="00987DA3" w14:paraId="637876EC" w14:textId="77777777" w:rsidTr="003116EC">
        <w:trPr>
          <w:tblCellSpacing w:w="15" w:type="dxa"/>
          <w:jc w:val="center"/>
        </w:trPr>
        <w:tc>
          <w:tcPr>
            <w:tcW w:w="2790"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6D66A191"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301.809,77</w:t>
            </w:r>
          </w:p>
        </w:tc>
        <w:tc>
          <w:tcPr>
            <w:tcW w:w="2718" w:type="dxa"/>
            <w:tcBorders>
              <w:top w:val="nil"/>
              <w:left w:val="nil"/>
              <w:bottom w:val="single" w:sz="4" w:space="0" w:color="auto"/>
            </w:tcBorders>
            <w:tcMar>
              <w:top w:w="15" w:type="dxa"/>
              <w:left w:w="15" w:type="dxa"/>
              <w:bottom w:w="15" w:type="dxa"/>
              <w:right w:w="15" w:type="dxa"/>
            </w:tcMar>
            <w:vAlign w:val="center"/>
            <w:hideMark/>
          </w:tcPr>
          <w:p w14:paraId="15511AA9"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30/4/2018</w:t>
            </w:r>
          </w:p>
        </w:tc>
      </w:tr>
      <w:tr w:rsidR="00A46262" w:rsidRPr="00987DA3" w14:paraId="2402AAB0" w14:textId="77777777" w:rsidTr="003116EC">
        <w:trPr>
          <w:tblCellSpacing w:w="15" w:type="dxa"/>
          <w:jc w:val="center"/>
        </w:trPr>
        <w:tc>
          <w:tcPr>
            <w:tcW w:w="2790"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1F77180C"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975.791,06</w:t>
            </w:r>
          </w:p>
        </w:tc>
        <w:tc>
          <w:tcPr>
            <w:tcW w:w="2718" w:type="dxa"/>
            <w:tcBorders>
              <w:top w:val="nil"/>
              <w:left w:val="nil"/>
              <w:bottom w:val="single" w:sz="4" w:space="0" w:color="auto"/>
            </w:tcBorders>
            <w:tcMar>
              <w:top w:w="15" w:type="dxa"/>
              <w:left w:w="15" w:type="dxa"/>
              <w:bottom w:w="15" w:type="dxa"/>
              <w:right w:w="15" w:type="dxa"/>
            </w:tcMar>
            <w:vAlign w:val="center"/>
            <w:hideMark/>
          </w:tcPr>
          <w:p w14:paraId="36E255CF"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30/5/2018</w:t>
            </w:r>
          </w:p>
        </w:tc>
      </w:tr>
    </w:tbl>
    <w:p w14:paraId="155AD62A" w14:textId="77777777" w:rsidR="00A46262" w:rsidRPr="00987DA3" w:rsidRDefault="00A46262" w:rsidP="00A46262">
      <w:pPr>
        <w:widowControl w:val="0"/>
        <w:tabs>
          <w:tab w:val="left" w:pos="284"/>
        </w:tabs>
        <w:autoSpaceDE w:val="0"/>
        <w:autoSpaceDN w:val="0"/>
        <w:ind w:firstLine="1134"/>
        <w:jc w:val="both"/>
        <w:rPr>
          <w:kern w:val="2"/>
          <w:szCs w:val="24"/>
        </w:rPr>
      </w:pPr>
      <w:r w:rsidRPr="00987DA3">
        <w:rPr>
          <w:kern w:val="2"/>
          <w:szCs w:val="24"/>
        </w:rPr>
        <w:t>9.1</w:t>
      </w:r>
      <w:r>
        <w:rPr>
          <w:kern w:val="2"/>
          <w:szCs w:val="24"/>
        </w:rPr>
        <w:t>9</w:t>
      </w:r>
      <w:r w:rsidRPr="00987DA3">
        <w:rPr>
          <w:kern w:val="2"/>
          <w:szCs w:val="24"/>
        </w:rPr>
        <w:t>. aplicar individualmente aos responsáveis a seguir indicados a multa prevista no art. 57 da Lei 8.443/1992, nos valores especificados, fixando-lhes o prazo de 15 (quinze) dias, a contar das notificações, para que comprovem, perante o Tribunal, o recolhimento das dívidas ao Tesouro Nacional, atualizadas monetariamente desde a data deste Acórdão até a dos efetivos recolhimentos, se pagas após o vencimento, na forma da legislação em vigor:</w:t>
      </w:r>
    </w:p>
    <w:tbl>
      <w:tblPr>
        <w:tblW w:w="0" w:type="auto"/>
        <w:jc w:val="center"/>
        <w:tblCellSpacing w:w="15" w:type="dxa"/>
        <w:tblBorders>
          <w:top w:val="single" w:sz="4" w:space="0" w:color="auto"/>
          <w:left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995"/>
        <w:gridCol w:w="2801"/>
      </w:tblGrid>
      <w:tr w:rsidR="00A46262" w:rsidRPr="00987DA3" w14:paraId="370758B3" w14:textId="77777777" w:rsidTr="003116EC">
        <w:trPr>
          <w:tblHeader/>
          <w:tblCellSpacing w:w="15" w:type="dxa"/>
          <w:jc w:val="center"/>
        </w:trPr>
        <w:tc>
          <w:tcPr>
            <w:tcW w:w="0" w:type="auto"/>
            <w:tcBorders>
              <w:top w:val="nil"/>
              <w:left w:val="nil"/>
              <w:bottom w:val="single" w:sz="4" w:space="0" w:color="auto"/>
              <w:right w:val="single" w:sz="4" w:space="0" w:color="auto"/>
            </w:tcBorders>
            <w:tcMar>
              <w:top w:w="15" w:type="dxa"/>
              <w:left w:w="15" w:type="dxa"/>
              <w:bottom w:w="15" w:type="dxa"/>
              <w:right w:w="15" w:type="dxa"/>
            </w:tcMar>
            <w:vAlign w:val="center"/>
            <w:hideMark/>
          </w:tcPr>
          <w:p w14:paraId="58D6D3E3" w14:textId="77777777" w:rsidR="00A46262" w:rsidRPr="00987DA3" w:rsidRDefault="00A46262" w:rsidP="003116EC">
            <w:pPr>
              <w:widowControl w:val="0"/>
              <w:tabs>
                <w:tab w:val="left" w:pos="284"/>
              </w:tabs>
              <w:autoSpaceDE w:val="0"/>
              <w:autoSpaceDN w:val="0"/>
              <w:ind w:left="215" w:hanging="142"/>
              <w:jc w:val="center"/>
              <w:rPr>
                <w:b/>
                <w:bCs/>
                <w:kern w:val="2"/>
                <w:szCs w:val="24"/>
              </w:rPr>
            </w:pPr>
            <w:r w:rsidRPr="00987DA3">
              <w:rPr>
                <w:b/>
                <w:bCs/>
                <w:kern w:val="2"/>
                <w:szCs w:val="24"/>
              </w:rPr>
              <w:t>RESPONSÁVEL</w:t>
            </w:r>
          </w:p>
        </w:tc>
        <w:tc>
          <w:tcPr>
            <w:tcW w:w="0" w:type="auto"/>
            <w:tcBorders>
              <w:top w:val="nil"/>
              <w:left w:val="nil"/>
              <w:bottom w:val="single" w:sz="4" w:space="0" w:color="auto"/>
            </w:tcBorders>
            <w:tcMar>
              <w:top w:w="15" w:type="dxa"/>
              <w:left w:w="15" w:type="dxa"/>
              <w:bottom w:w="15" w:type="dxa"/>
              <w:right w:w="15" w:type="dxa"/>
            </w:tcMar>
            <w:vAlign w:val="center"/>
            <w:hideMark/>
          </w:tcPr>
          <w:p w14:paraId="448B8202" w14:textId="77777777" w:rsidR="00A46262" w:rsidRPr="00987DA3" w:rsidRDefault="00A46262" w:rsidP="003116EC">
            <w:pPr>
              <w:widowControl w:val="0"/>
              <w:tabs>
                <w:tab w:val="left" w:pos="284"/>
              </w:tabs>
              <w:autoSpaceDE w:val="0"/>
              <w:autoSpaceDN w:val="0"/>
              <w:ind w:left="215" w:hanging="142"/>
              <w:jc w:val="center"/>
              <w:rPr>
                <w:b/>
                <w:bCs/>
                <w:kern w:val="2"/>
                <w:szCs w:val="24"/>
              </w:rPr>
            </w:pPr>
            <w:r w:rsidRPr="00987DA3">
              <w:rPr>
                <w:b/>
                <w:bCs/>
                <w:kern w:val="2"/>
                <w:szCs w:val="24"/>
              </w:rPr>
              <w:t>VALOR DA MULTA (R$)</w:t>
            </w:r>
          </w:p>
        </w:tc>
      </w:tr>
      <w:tr w:rsidR="00A46262" w:rsidRPr="00987DA3" w14:paraId="35F98125" w14:textId="77777777" w:rsidTr="003116EC">
        <w:trPr>
          <w:tblCellSpacing w:w="15" w:type="dxa"/>
          <w:jc w:val="center"/>
        </w:trPr>
        <w:tc>
          <w:tcPr>
            <w:tcW w:w="0" w:type="auto"/>
            <w:tcBorders>
              <w:top w:val="nil"/>
              <w:left w:val="nil"/>
              <w:bottom w:val="single" w:sz="4" w:space="0" w:color="auto"/>
              <w:right w:val="single" w:sz="4" w:space="0" w:color="auto"/>
            </w:tcBorders>
            <w:tcMar>
              <w:top w:w="15" w:type="dxa"/>
              <w:left w:w="15" w:type="dxa"/>
              <w:bottom w:w="15" w:type="dxa"/>
              <w:right w:w="15" w:type="dxa"/>
            </w:tcMar>
            <w:vAlign w:val="center"/>
            <w:hideMark/>
          </w:tcPr>
          <w:p w14:paraId="2FE299EE" w14:textId="77777777" w:rsidR="00A46262" w:rsidRPr="00987DA3" w:rsidRDefault="00A46262" w:rsidP="003116EC">
            <w:pPr>
              <w:widowControl w:val="0"/>
              <w:tabs>
                <w:tab w:val="left" w:pos="284"/>
              </w:tabs>
              <w:autoSpaceDE w:val="0"/>
              <w:autoSpaceDN w:val="0"/>
              <w:ind w:left="245" w:hanging="142"/>
              <w:rPr>
                <w:kern w:val="2"/>
                <w:szCs w:val="24"/>
              </w:rPr>
            </w:pPr>
            <w:r w:rsidRPr="00987DA3">
              <w:rPr>
                <w:kern w:val="2"/>
                <w:szCs w:val="24"/>
              </w:rPr>
              <w:t>Benedito Aparecido Trida</w:t>
            </w:r>
          </w:p>
        </w:tc>
        <w:tc>
          <w:tcPr>
            <w:tcW w:w="0" w:type="auto"/>
            <w:tcBorders>
              <w:top w:val="nil"/>
              <w:left w:val="nil"/>
              <w:bottom w:val="single" w:sz="4" w:space="0" w:color="auto"/>
            </w:tcBorders>
            <w:tcMar>
              <w:top w:w="15" w:type="dxa"/>
              <w:left w:w="15" w:type="dxa"/>
              <w:bottom w:w="15" w:type="dxa"/>
              <w:right w:w="15" w:type="dxa"/>
            </w:tcMar>
            <w:vAlign w:val="center"/>
            <w:hideMark/>
          </w:tcPr>
          <w:p w14:paraId="2337FD34"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rPr>
              <w:t>2.</w:t>
            </w:r>
            <w:r>
              <w:rPr>
                <w:kern w:val="2"/>
              </w:rPr>
              <w:t>500.000,00</w:t>
            </w:r>
          </w:p>
        </w:tc>
      </w:tr>
      <w:tr w:rsidR="00A46262" w:rsidRPr="00987DA3" w14:paraId="45D37630" w14:textId="77777777" w:rsidTr="003116EC">
        <w:trPr>
          <w:tblCellSpacing w:w="15" w:type="dxa"/>
          <w:jc w:val="center"/>
        </w:trPr>
        <w:tc>
          <w:tcPr>
            <w:tcW w:w="0" w:type="auto"/>
            <w:tcBorders>
              <w:top w:val="nil"/>
              <w:left w:val="nil"/>
              <w:bottom w:val="single" w:sz="4" w:space="0" w:color="auto"/>
              <w:right w:val="single" w:sz="4" w:space="0" w:color="auto"/>
            </w:tcBorders>
            <w:tcMar>
              <w:top w:w="15" w:type="dxa"/>
              <w:left w:w="15" w:type="dxa"/>
              <w:bottom w:w="15" w:type="dxa"/>
              <w:right w:w="15" w:type="dxa"/>
            </w:tcMar>
            <w:vAlign w:val="center"/>
            <w:hideMark/>
          </w:tcPr>
          <w:p w14:paraId="3FDC2655" w14:textId="77777777" w:rsidR="00A46262" w:rsidRPr="00987DA3" w:rsidRDefault="00A46262" w:rsidP="003116EC">
            <w:pPr>
              <w:widowControl w:val="0"/>
              <w:tabs>
                <w:tab w:val="left" w:pos="284"/>
              </w:tabs>
              <w:autoSpaceDE w:val="0"/>
              <w:autoSpaceDN w:val="0"/>
              <w:ind w:left="245" w:hanging="142"/>
              <w:rPr>
                <w:kern w:val="2"/>
                <w:szCs w:val="24"/>
              </w:rPr>
            </w:pPr>
            <w:r w:rsidRPr="00987DA3">
              <w:rPr>
                <w:kern w:val="2"/>
                <w:szCs w:val="24"/>
              </w:rPr>
              <w:t>Pedro da Silva</w:t>
            </w:r>
          </w:p>
        </w:tc>
        <w:tc>
          <w:tcPr>
            <w:tcW w:w="0" w:type="auto"/>
            <w:tcBorders>
              <w:top w:val="nil"/>
              <w:left w:val="nil"/>
              <w:bottom w:val="single" w:sz="4" w:space="0" w:color="auto"/>
            </w:tcBorders>
            <w:tcMar>
              <w:top w:w="15" w:type="dxa"/>
              <w:left w:w="15" w:type="dxa"/>
              <w:bottom w:w="15" w:type="dxa"/>
              <w:right w:w="15" w:type="dxa"/>
            </w:tcMar>
            <w:vAlign w:val="center"/>
            <w:hideMark/>
          </w:tcPr>
          <w:p w14:paraId="7BB76610"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rPr>
              <w:t>42.50</w:t>
            </w:r>
            <w:r>
              <w:rPr>
                <w:kern w:val="2"/>
              </w:rPr>
              <w:t>0</w:t>
            </w:r>
            <w:r w:rsidRPr="00987DA3">
              <w:rPr>
                <w:kern w:val="2"/>
              </w:rPr>
              <w:t>.</w:t>
            </w:r>
            <w:r>
              <w:rPr>
                <w:kern w:val="2"/>
              </w:rPr>
              <w:t>000,00</w:t>
            </w:r>
          </w:p>
        </w:tc>
      </w:tr>
      <w:tr w:rsidR="00A46262" w:rsidRPr="00987DA3" w14:paraId="14E2B590" w14:textId="77777777" w:rsidTr="003116EC">
        <w:trPr>
          <w:tblCellSpacing w:w="15" w:type="dxa"/>
          <w:jc w:val="center"/>
        </w:trPr>
        <w:tc>
          <w:tcPr>
            <w:tcW w:w="0" w:type="auto"/>
            <w:tcBorders>
              <w:top w:val="nil"/>
              <w:left w:val="nil"/>
              <w:bottom w:val="single" w:sz="4" w:space="0" w:color="auto"/>
              <w:right w:val="single" w:sz="4" w:space="0" w:color="auto"/>
            </w:tcBorders>
            <w:tcMar>
              <w:top w:w="15" w:type="dxa"/>
              <w:left w:w="15" w:type="dxa"/>
              <w:bottom w:w="15" w:type="dxa"/>
              <w:right w:w="15" w:type="dxa"/>
            </w:tcMar>
            <w:vAlign w:val="center"/>
            <w:hideMark/>
          </w:tcPr>
          <w:p w14:paraId="5C69EB60" w14:textId="77777777" w:rsidR="00A46262" w:rsidRPr="00987DA3" w:rsidRDefault="00A46262" w:rsidP="003116EC">
            <w:pPr>
              <w:widowControl w:val="0"/>
              <w:tabs>
                <w:tab w:val="left" w:pos="284"/>
              </w:tabs>
              <w:autoSpaceDE w:val="0"/>
              <w:autoSpaceDN w:val="0"/>
              <w:ind w:left="245" w:hanging="142"/>
              <w:rPr>
                <w:kern w:val="2"/>
                <w:szCs w:val="24"/>
              </w:rPr>
            </w:pPr>
            <w:r w:rsidRPr="00987DA3">
              <w:rPr>
                <w:kern w:val="2"/>
                <w:szCs w:val="24"/>
              </w:rPr>
              <w:t>Pedro Paulo Dantas do Amaral Campos</w:t>
            </w:r>
          </w:p>
        </w:tc>
        <w:tc>
          <w:tcPr>
            <w:tcW w:w="0" w:type="auto"/>
            <w:tcBorders>
              <w:top w:val="nil"/>
              <w:left w:val="nil"/>
              <w:bottom w:val="single" w:sz="4" w:space="0" w:color="auto"/>
            </w:tcBorders>
            <w:tcMar>
              <w:top w:w="15" w:type="dxa"/>
              <w:left w:w="15" w:type="dxa"/>
              <w:bottom w:w="15" w:type="dxa"/>
              <w:right w:w="15" w:type="dxa"/>
            </w:tcMar>
            <w:vAlign w:val="center"/>
            <w:hideMark/>
          </w:tcPr>
          <w:p w14:paraId="667796D7"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rPr>
              <w:t>25.</w:t>
            </w:r>
            <w:r>
              <w:rPr>
                <w:kern w:val="2"/>
              </w:rPr>
              <w:t>000</w:t>
            </w:r>
            <w:r w:rsidRPr="00987DA3">
              <w:rPr>
                <w:kern w:val="2"/>
              </w:rPr>
              <w:t>.</w:t>
            </w:r>
            <w:r>
              <w:rPr>
                <w:kern w:val="2"/>
              </w:rPr>
              <w:t>000</w:t>
            </w:r>
            <w:r w:rsidRPr="00987DA3">
              <w:rPr>
                <w:kern w:val="2"/>
              </w:rPr>
              <w:t>,</w:t>
            </w:r>
            <w:r>
              <w:rPr>
                <w:kern w:val="2"/>
              </w:rPr>
              <w:t>00</w:t>
            </w:r>
          </w:p>
        </w:tc>
      </w:tr>
      <w:tr w:rsidR="00A46262" w:rsidRPr="00987DA3" w14:paraId="332A611E" w14:textId="77777777" w:rsidTr="003116EC">
        <w:trPr>
          <w:tblCellSpacing w:w="15" w:type="dxa"/>
          <w:jc w:val="center"/>
        </w:trPr>
        <w:tc>
          <w:tcPr>
            <w:tcW w:w="0" w:type="auto"/>
            <w:tcBorders>
              <w:top w:val="nil"/>
              <w:left w:val="nil"/>
              <w:bottom w:val="single" w:sz="4" w:space="0" w:color="auto"/>
              <w:right w:val="single" w:sz="4" w:space="0" w:color="auto"/>
            </w:tcBorders>
            <w:tcMar>
              <w:top w:w="15" w:type="dxa"/>
              <w:left w:w="15" w:type="dxa"/>
              <w:bottom w:w="15" w:type="dxa"/>
              <w:right w:w="15" w:type="dxa"/>
            </w:tcMar>
            <w:vAlign w:val="center"/>
            <w:hideMark/>
          </w:tcPr>
          <w:p w14:paraId="585C07AA" w14:textId="77777777" w:rsidR="00A46262" w:rsidRPr="00987DA3" w:rsidRDefault="00A46262" w:rsidP="003116EC">
            <w:pPr>
              <w:widowControl w:val="0"/>
              <w:tabs>
                <w:tab w:val="left" w:pos="284"/>
              </w:tabs>
              <w:autoSpaceDE w:val="0"/>
              <w:autoSpaceDN w:val="0"/>
              <w:ind w:left="245" w:hanging="142"/>
              <w:rPr>
                <w:kern w:val="2"/>
                <w:szCs w:val="24"/>
              </w:rPr>
            </w:pPr>
            <w:r w:rsidRPr="00987DA3">
              <w:rPr>
                <w:kern w:val="2"/>
                <w:szCs w:val="24"/>
              </w:rPr>
              <w:t>Laurence Casagrande Lourenço</w:t>
            </w:r>
          </w:p>
        </w:tc>
        <w:tc>
          <w:tcPr>
            <w:tcW w:w="0" w:type="auto"/>
            <w:tcBorders>
              <w:top w:val="nil"/>
              <w:left w:val="nil"/>
              <w:bottom w:val="single" w:sz="4" w:space="0" w:color="auto"/>
            </w:tcBorders>
            <w:tcMar>
              <w:top w:w="15" w:type="dxa"/>
              <w:left w:w="15" w:type="dxa"/>
              <w:bottom w:w="15" w:type="dxa"/>
              <w:right w:w="15" w:type="dxa"/>
            </w:tcMar>
            <w:vAlign w:val="center"/>
            <w:hideMark/>
          </w:tcPr>
          <w:p w14:paraId="5D9EE0FE"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rPr>
              <w:t>8.</w:t>
            </w:r>
            <w:r>
              <w:rPr>
                <w:kern w:val="2"/>
              </w:rPr>
              <w:t>500.000,00</w:t>
            </w:r>
          </w:p>
        </w:tc>
      </w:tr>
      <w:tr w:rsidR="00A46262" w:rsidRPr="00987DA3" w14:paraId="4652846A" w14:textId="77777777" w:rsidTr="003116EC">
        <w:trPr>
          <w:tblCellSpacing w:w="15" w:type="dxa"/>
          <w:jc w:val="center"/>
        </w:trPr>
        <w:tc>
          <w:tcPr>
            <w:tcW w:w="0" w:type="auto"/>
            <w:tcBorders>
              <w:top w:val="nil"/>
              <w:left w:val="nil"/>
              <w:bottom w:val="single" w:sz="4" w:space="0" w:color="auto"/>
              <w:right w:val="single" w:sz="4" w:space="0" w:color="auto"/>
            </w:tcBorders>
            <w:tcMar>
              <w:top w:w="15" w:type="dxa"/>
              <w:left w:w="15" w:type="dxa"/>
              <w:bottom w:w="15" w:type="dxa"/>
              <w:right w:w="15" w:type="dxa"/>
            </w:tcMar>
            <w:vAlign w:val="center"/>
            <w:hideMark/>
          </w:tcPr>
          <w:p w14:paraId="7BDC8480" w14:textId="77777777" w:rsidR="00A46262" w:rsidRPr="00987DA3" w:rsidRDefault="00A46262" w:rsidP="003116EC">
            <w:pPr>
              <w:widowControl w:val="0"/>
              <w:tabs>
                <w:tab w:val="left" w:pos="284"/>
              </w:tabs>
              <w:autoSpaceDE w:val="0"/>
              <w:autoSpaceDN w:val="0"/>
              <w:ind w:left="245" w:hanging="142"/>
              <w:rPr>
                <w:kern w:val="2"/>
                <w:szCs w:val="24"/>
              </w:rPr>
            </w:pPr>
            <w:r w:rsidRPr="00987DA3">
              <w:rPr>
                <w:kern w:val="2"/>
                <w:szCs w:val="24"/>
              </w:rPr>
              <w:t>Benjamim Venâncio de Melo Júnior</w:t>
            </w:r>
          </w:p>
        </w:tc>
        <w:tc>
          <w:tcPr>
            <w:tcW w:w="0" w:type="auto"/>
            <w:tcBorders>
              <w:top w:val="nil"/>
              <w:left w:val="nil"/>
              <w:bottom w:val="single" w:sz="4" w:space="0" w:color="auto"/>
            </w:tcBorders>
            <w:tcMar>
              <w:top w:w="15" w:type="dxa"/>
              <w:left w:w="15" w:type="dxa"/>
              <w:bottom w:w="15" w:type="dxa"/>
              <w:right w:w="15" w:type="dxa"/>
            </w:tcMar>
            <w:vAlign w:val="center"/>
            <w:hideMark/>
          </w:tcPr>
          <w:p w14:paraId="55D42313"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rPr>
              <w:t>6.8</w:t>
            </w:r>
            <w:r>
              <w:rPr>
                <w:kern w:val="2"/>
              </w:rPr>
              <w:t>00</w:t>
            </w:r>
            <w:r w:rsidRPr="00987DA3">
              <w:rPr>
                <w:kern w:val="2"/>
              </w:rPr>
              <w:t>.</w:t>
            </w:r>
            <w:r>
              <w:rPr>
                <w:kern w:val="2"/>
              </w:rPr>
              <w:t>000,00</w:t>
            </w:r>
          </w:p>
        </w:tc>
      </w:tr>
      <w:tr w:rsidR="00A46262" w:rsidRPr="00987DA3" w14:paraId="3E1F447F" w14:textId="77777777" w:rsidTr="003116EC">
        <w:trPr>
          <w:tblCellSpacing w:w="15" w:type="dxa"/>
          <w:jc w:val="center"/>
        </w:trPr>
        <w:tc>
          <w:tcPr>
            <w:tcW w:w="0" w:type="auto"/>
            <w:tcBorders>
              <w:top w:val="nil"/>
              <w:left w:val="nil"/>
              <w:bottom w:val="single" w:sz="4" w:space="0" w:color="auto"/>
              <w:right w:val="single" w:sz="4" w:space="0" w:color="auto"/>
            </w:tcBorders>
            <w:tcMar>
              <w:top w:w="15" w:type="dxa"/>
              <w:left w:w="15" w:type="dxa"/>
              <w:bottom w:w="15" w:type="dxa"/>
              <w:right w:w="15" w:type="dxa"/>
            </w:tcMar>
            <w:vAlign w:val="center"/>
            <w:hideMark/>
          </w:tcPr>
          <w:p w14:paraId="66AEC1A7" w14:textId="77777777" w:rsidR="00A46262" w:rsidRPr="00987DA3" w:rsidRDefault="00A46262" w:rsidP="003116EC">
            <w:pPr>
              <w:widowControl w:val="0"/>
              <w:tabs>
                <w:tab w:val="left" w:pos="284"/>
              </w:tabs>
              <w:autoSpaceDE w:val="0"/>
              <w:autoSpaceDN w:val="0"/>
              <w:ind w:left="245" w:hanging="142"/>
              <w:rPr>
                <w:kern w:val="2"/>
                <w:szCs w:val="24"/>
              </w:rPr>
            </w:pPr>
            <w:r w:rsidRPr="00987DA3">
              <w:rPr>
                <w:kern w:val="2"/>
                <w:szCs w:val="24"/>
              </w:rPr>
              <w:t>Nilson Rogério Baroni</w:t>
            </w:r>
          </w:p>
        </w:tc>
        <w:tc>
          <w:tcPr>
            <w:tcW w:w="0" w:type="auto"/>
            <w:tcBorders>
              <w:top w:val="nil"/>
              <w:left w:val="nil"/>
              <w:bottom w:val="single" w:sz="4" w:space="0" w:color="auto"/>
            </w:tcBorders>
            <w:tcMar>
              <w:top w:w="15" w:type="dxa"/>
              <w:left w:w="15" w:type="dxa"/>
              <w:bottom w:w="15" w:type="dxa"/>
              <w:right w:w="15" w:type="dxa"/>
            </w:tcMar>
            <w:vAlign w:val="center"/>
            <w:hideMark/>
          </w:tcPr>
          <w:p w14:paraId="59481A21"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rPr>
              <w:t>6.8</w:t>
            </w:r>
            <w:r>
              <w:rPr>
                <w:kern w:val="2"/>
              </w:rPr>
              <w:t>00</w:t>
            </w:r>
            <w:r w:rsidRPr="00987DA3">
              <w:rPr>
                <w:kern w:val="2"/>
              </w:rPr>
              <w:t>.</w:t>
            </w:r>
            <w:r>
              <w:rPr>
                <w:kern w:val="2"/>
              </w:rPr>
              <w:t>000</w:t>
            </w:r>
            <w:r w:rsidRPr="00987DA3">
              <w:rPr>
                <w:kern w:val="2"/>
              </w:rPr>
              <w:t>,</w:t>
            </w:r>
            <w:r>
              <w:rPr>
                <w:kern w:val="2"/>
              </w:rPr>
              <w:t>00</w:t>
            </w:r>
          </w:p>
        </w:tc>
      </w:tr>
      <w:tr w:rsidR="00A46262" w:rsidRPr="00987DA3" w14:paraId="005AF2CB" w14:textId="77777777" w:rsidTr="003116EC">
        <w:trPr>
          <w:tblCellSpacing w:w="15" w:type="dxa"/>
          <w:jc w:val="center"/>
        </w:trPr>
        <w:tc>
          <w:tcPr>
            <w:tcW w:w="0" w:type="auto"/>
            <w:tcBorders>
              <w:top w:val="nil"/>
              <w:left w:val="nil"/>
              <w:bottom w:val="single" w:sz="4" w:space="0" w:color="auto"/>
              <w:right w:val="single" w:sz="4" w:space="0" w:color="auto"/>
            </w:tcBorders>
            <w:tcMar>
              <w:top w:w="15" w:type="dxa"/>
              <w:left w:w="15" w:type="dxa"/>
              <w:bottom w:w="15" w:type="dxa"/>
              <w:right w:w="15" w:type="dxa"/>
            </w:tcMar>
            <w:vAlign w:val="center"/>
            <w:hideMark/>
          </w:tcPr>
          <w:p w14:paraId="5093942D" w14:textId="77777777" w:rsidR="00A46262" w:rsidRPr="00987DA3" w:rsidRDefault="00A46262" w:rsidP="003116EC">
            <w:pPr>
              <w:widowControl w:val="0"/>
              <w:tabs>
                <w:tab w:val="left" w:pos="284"/>
              </w:tabs>
              <w:autoSpaceDE w:val="0"/>
              <w:autoSpaceDN w:val="0"/>
              <w:ind w:left="245" w:hanging="142"/>
              <w:rPr>
                <w:kern w:val="2"/>
                <w:szCs w:val="24"/>
              </w:rPr>
            </w:pPr>
            <w:r w:rsidRPr="00987DA3">
              <w:rPr>
                <w:kern w:val="2"/>
                <w:szCs w:val="24"/>
              </w:rPr>
              <w:t>Carlos Satoru Miyasato</w:t>
            </w:r>
          </w:p>
        </w:tc>
        <w:tc>
          <w:tcPr>
            <w:tcW w:w="0" w:type="auto"/>
            <w:tcBorders>
              <w:top w:val="nil"/>
              <w:left w:val="nil"/>
              <w:bottom w:val="single" w:sz="4" w:space="0" w:color="auto"/>
            </w:tcBorders>
            <w:tcMar>
              <w:top w:w="15" w:type="dxa"/>
              <w:left w:w="15" w:type="dxa"/>
              <w:bottom w:w="15" w:type="dxa"/>
              <w:right w:w="15" w:type="dxa"/>
            </w:tcMar>
            <w:vAlign w:val="center"/>
            <w:hideMark/>
          </w:tcPr>
          <w:p w14:paraId="48A86C99"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rPr>
              <w:t>6.</w:t>
            </w:r>
            <w:r>
              <w:rPr>
                <w:kern w:val="2"/>
              </w:rPr>
              <w:t>000</w:t>
            </w:r>
            <w:r w:rsidRPr="00987DA3">
              <w:rPr>
                <w:kern w:val="2"/>
              </w:rPr>
              <w:t>.</w:t>
            </w:r>
            <w:r>
              <w:rPr>
                <w:kern w:val="2"/>
              </w:rPr>
              <w:t>000</w:t>
            </w:r>
            <w:r w:rsidRPr="00987DA3">
              <w:rPr>
                <w:kern w:val="2"/>
              </w:rPr>
              <w:t>,</w:t>
            </w:r>
            <w:r>
              <w:rPr>
                <w:kern w:val="2"/>
              </w:rPr>
              <w:t>00</w:t>
            </w:r>
          </w:p>
        </w:tc>
      </w:tr>
      <w:tr w:rsidR="00A46262" w:rsidRPr="00987DA3" w14:paraId="78772E14" w14:textId="77777777" w:rsidTr="003116EC">
        <w:trPr>
          <w:tblCellSpacing w:w="15" w:type="dxa"/>
          <w:jc w:val="center"/>
        </w:trPr>
        <w:tc>
          <w:tcPr>
            <w:tcW w:w="0" w:type="auto"/>
            <w:tcBorders>
              <w:top w:val="nil"/>
              <w:left w:val="nil"/>
              <w:bottom w:val="single" w:sz="4" w:space="0" w:color="auto"/>
              <w:right w:val="single" w:sz="4" w:space="0" w:color="auto"/>
            </w:tcBorders>
            <w:tcMar>
              <w:top w:w="15" w:type="dxa"/>
              <w:left w:w="15" w:type="dxa"/>
              <w:bottom w:w="15" w:type="dxa"/>
              <w:right w:w="15" w:type="dxa"/>
            </w:tcMar>
            <w:vAlign w:val="center"/>
            <w:hideMark/>
          </w:tcPr>
          <w:p w14:paraId="3C20F49E" w14:textId="77777777" w:rsidR="00A46262" w:rsidRPr="00987DA3" w:rsidRDefault="00A46262" w:rsidP="003116EC">
            <w:pPr>
              <w:widowControl w:val="0"/>
              <w:tabs>
                <w:tab w:val="left" w:pos="284"/>
              </w:tabs>
              <w:autoSpaceDE w:val="0"/>
              <w:autoSpaceDN w:val="0"/>
              <w:ind w:left="245" w:hanging="142"/>
              <w:rPr>
                <w:kern w:val="2"/>
                <w:szCs w:val="24"/>
              </w:rPr>
            </w:pPr>
            <w:r w:rsidRPr="00987DA3">
              <w:rPr>
                <w:kern w:val="2"/>
                <w:szCs w:val="24"/>
              </w:rPr>
              <w:t>João Carlos de Lima Pereira</w:t>
            </w:r>
          </w:p>
        </w:tc>
        <w:tc>
          <w:tcPr>
            <w:tcW w:w="0" w:type="auto"/>
            <w:tcBorders>
              <w:top w:val="nil"/>
              <w:left w:val="nil"/>
              <w:bottom w:val="single" w:sz="4" w:space="0" w:color="auto"/>
            </w:tcBorders>
            <w:tcMar>
              <w:top w:w="15" w:type="dxa"/>
              <w:left w:w="15" w:type="dxa"/>
              <w:bottom w:w="15" w:type="dxa"/>
              <w:right w:w="15" w:type="dxa"/>
            </w:tcMar>
            <w:vAlign w:val="center"/>
            <w:hideMark/>
          </w:tcPr>
          <w:p w14:paraId="575524F2"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rPr>
              <w:t>6.</w:t>
            </w:r>
            <w:r>
              <w:rPr>
                <w:kern w:val="2"/>
              </w:rPr>
              <w:t>000</w:t>
            </w:r>
            <w:r w:rsidRPr="00987DA3">
              <w:rPr>
                <w:kern w:val="2"/>
              </w:rPr>
              <w:t>.</w:t>
            </w:r>
            <w:r>
              <w:rPr>
                <w:kern w:val="2"/>
              </w:rPr>
              <w:t>000</w:t>
            </w:r>
            <w:r w:rsidRPr="00987DA3">
              <w:rPr>
                <w:kern w:val="2"/>
              </w:rPr>
              <w:t>,</w:t>
            </w:r>
            <w:r>
              <w:rPr>
                <w:kern w:val="2"/>
              </w:rPr>
              <w:t>00</w:t>
            </w:r>
          </w:p>
        </w:tc>
      </w:tr>
      <w:tr w:rsidR="00A46262" w:rsidRPr="00987DA3" w14:paraId="3BDA824E" w14:textId="77777777" w:rsidTr="003116EC">
        <w:trPr>
          <w:tblCellSpacing w:w="15" w:type="dxa"/>
          <w:jc w:val="center"/>
        </w:trPr>
        <w:tc>
          <w:tcPr>
            <w:tcW w:w="0" w:type="auto"/>
            <w:tcBorders>
              <w:top w:val="nil"/>
              <w:left w:val="nil"/>
              <w:bottom w:val="single" w:sz="4" w:space="0" w:color="auto"/>
              <w:right w:val="single" w:sz="4" w:space="0" w:color="auto"/>
            </w:tcBorders>
            <w:tcMar>
              <w:top w:w="15" w:type="dxa"/>
              <w:left w:w="15" w:type="dxa"/>
              <w:bottom w:w="15" w:type="dxa"/>
              <w:right w:w="15" w:type="dxa"/>
            </w:tcMar>
            <w:vAlign w:val="center"/>
            <w:hideMark/>
          </w:tcPr>
          <w:p w14:paraId="0F2FB120" w14:textId="77777777" w:rsidR="00A46262" w:rsidRPr="00987DA3" w:rsidRDefault="00A46262" w:rsidP="003116EC">
            <w:pPr>
              <w:widowControl w:val="0"/>
              <w:tabs>
                <w:tab w:val="left" w:pos="284"/>
              </w:tabs>
              <w:autoSpaceDE w:val="0"/>
              <w:autoSpaceDN w:val="0"/>
              <w:ind w:left="245" w:hanging="142"/>
              <w:rPr>
                <w:kern w:val="2"/>
                <w:szCs w:val="24"/>
              </w:rPr>
            </w:pPr>
            <w:r w:rsidRPr="00987DA3">
              <w:rPr>
                <w:kern w:val="2"/>
                <w:szCs w:val="24"/>
              </w:rPr>
              <w:t>Wild Gonçalves Fischer</w:t>
            </w:r>
          </w:p>
        </w:tc>
        <w:tc>
          <w:tcPr>
            <w:tcW w:w="0" w:type="auto"/>
            <w:tcBorders>
              <w:top w:val="nil"/>
              <w:left w:val="nil"/>
              <w:bottom w:val="single" w:sz="4" w:space="0" w:color="auto"/>
            </w:tcBorders>
            <w:tcMar>
              <w:top w:w="15" w:type="dxa"/>
              <w:left w:w="15" w:type="dxa"/>
              <w:bottom w:w="15" w:type="dxa"/>
              <w:right w:w="15" w:type="dxa"/>
            </w:tcMar>
            <w:vAlign w:val="center"/>
            <w:hideMark/>
          </w:tcPr>
          <w:p w14:paraId="33AAD5D8"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rPr>
              <w:t>3.0</w:t>
            </w:r>
            <w:r>
              <w:rPr>
                <w:kern w:val="2"/>
              </w:rPr>
              <w:t>00</w:t>
            </w:r>
            <w:r w:rsidRPr="00987DA3">
              <w:rPr>
                <w:kern w:val="2"/>
              </w:rPr>
              <w:t>.</w:t>
            </w:r>
            <w:r>
              <w:rPr>
                <w:kern w:val="2"/>
              </w:rPr>
              <w:t>000</w:t>
            </w:r>
            <w:r w:rsidRPr="00987DA3">
              <w:rPr>
                <w:kern w:val="2"/>
              </w:rPr>
              <w:t>,</w:t>
            </w:r>
            <w:r>
              <w:rPr>
                <w:kern w:val="2"/>
              </w:rPr>
              <w:t>00</w:t>
            </w:r>
          </w:p>
        </w:tc>
      </w:tr>
      <w:tr w:rsidR="00A46262" w:rsidRPr="00987DA3" w14:paraId="64D0C3E4" w14:textId="77777777" w:rsidTr="003116EC">
        <w:trPr>
          <w:tblCellSpacing w:w="15" w:type="dxa"/>
          <w:jc w:val="center"/>
        </w:trPr>
        <w:tc>
          <w:tcPr>
            <w:tcW w:w="0" w:type="auto"/>
            <w:tcBorders>
              <w:top w:val="nil"/>
              <w:left w:val="nil"/>
              <w:bottom w:val="single" w:sz="4" w:space="0" w:color="auto"/>
              <w:right w:val="single" w:sz="4" w:space="0" w:color="auto"/>
            </w:tcBorders>
            <w:tcMar>
              <w:top w:w="15" w:type="dxa"/>
              <w:left w:w="15" w:type="dxa"/>
              <w:bottom w:w="15" w:type="dxa"/>
              <w:right w:w="15" w:type="dxa"/>
            </w:tcMar>
            <w:vAlign w:val="center"/>
            <w:hideMark/>
          </w:tcPr>
          <w:p w14:paraId="48C5C513" w14:textId="77777777" w:rsidR="00A46262" w:rsidRPr="00987DA3" w:rsidRDefault="00A46262" w:rsidP="003116EC">
            <w:pPr>
              <w:widowControl w:val="0"/>
              <w:tabs>
                <w:tab w:val="left" w:pos="284"/>
              </w:tabs>
              <w:autoSpaceDE w:val="0"/>
              <w:autoSpaceDN w:val="0"/>
              <w:ind w:left="245" w:hanging="142"/>
              <w:rPr>
                <w:kern w:val="2"/>
                <w:szCs w:val="24"/>
              </w:rPr>
            </w:pPr>
            <w:r w:rsidRPr="00987DA3">
              <w:rPr>
                <w:kern w:val="2"/>
                <w:szCs w:val="24"/>
              </w:rPr>
              <w:t xml:space="preserve">Construtora </w:t>
            </w:r>
            <w:r>
              <w:rPr>
                <w:kern w:val="2"/>
                <w:szCs w:val="24"/>
              </w:rPr>
              <w:t>Coesa</w:t>
            </w:r>
            <w:r w:rsidRPr="00987DA3">
              <w:rPr>
                <w:kern w:val="2"/>
                <w:szCs w:val="24"/>
              </w:rPr>
              <w:t xml:space="preserve"> S.A.</w:t>
            </w:r>
          </w:p>
        </w:tc>
        <w:tc>
          <w:tcPr>
            <w:tcW w:w="0" w:type="auto"/>
            <w:tcBorders>
              <w:top w:val="nil"/>
              <w:left w:val="nil"/>
              <w:bottom w:val="single" w:sz="4" w:space="0" w:color="auto"/>
            </w:tcBorders>
            <w:tcMar>
              <w:top w:w="15" w:type="dxa"/>
              <w:left w:w="15" w:type="dxa"/>
              <w:bottom w:w="15" w:type="dxa"/>
              <w:right w:w="15" w:type="dxa"/>
            </w:tcMar>
            <w:vAlign w:val="center"/>
            <w:hideMark/>
          </w:tcPr>
          <w:p w14:paraId="66264277" w14:textId="77777777" w:rsidR="00A46262" w:rsidRPr="00987DA3" w:rsidRDefault="00A46262" w:rsidP="003116EC">
            <w:pPr>
              <w:widowControl w:val="0"/>
              <w:tabs>
                <w:tab w:val="left" w:pos="284"/>
              </w:tabs>
              <w:autoSpaceDE w:val="0"/>
              <w:autoSpaceDN w:val="0"/>
              <w:ind w:left="215" w:hanging="142"/>
              <w:jc w:val="center"/>
              <w:rPr>
                <w:kern w:val="2"/>
                <w:szCs w:val="24"/>
              </w:rPr>
            </w:pPr>
            <w:r>
              <w:rPr>
                <w:kern w:val="2"/>
              </w:rPr>
              <w:t>67</w:t>
            </w:r>
            <w:r w:rsidRPr="00987DA3">
              <w:rPr>
                <w:kern w:val="2"/>
              </w:rPr>
              <w:t>.</w:t>
            </w:r>
            <w:r>
              <w:rPr>
                <w:kern w:val="2"/>
              </w:rPr>
              <w:t>000</w:t>
            </w:r>
            <w:r w:rsidRPr="00987DA3">
              <w:rPr>
                <w:kern w:val="2"/>
              </w:rPr>
              <w:t>.</w:t>
            </w:r>
            <w:r>
              <w:rPr>
                <w:kern w:val="2"/>
              </w:rPr>
              <w:t>000</w:t>
            </w:r>
            <w:r w:rsidRPr="00987DA3">
              <w:rPr>
                <w:kern w:val="2"/>
              </w:rPr>
              <w:t>,</w:t>
            </w:r>
            <w:r>
              <w:rPr>
                <w:kern w:val="2"/>
              </w:rPr>
              <w:t>00</w:t>
            </w:r>
          </w:p>
        </w:tc>
      </w:tr>
    </w:tbl>
    <w:p w14:paraId="37F7FAEA" w14:textId="77777777" w:rsidR="00A46262" w:rsidRPr="00987DA3" w:rsidRDefault="00A46262" w:rsidP="00A46262">
      <w:pPr>
        <w:widowControl w:val="0"/>
        <w:tabs>
          <w:tab w:val="left" w:pos="284"/>
        </w:tabs>
        <w:autoSpaceDE w:val="0"/>
        <w:autoSpaceDN w:val="0"/>
        <w:ind w:firstLine="1134"/>
        <w:jc w:val="both"/>
        <w:rPr>
          <w:kern w:val="2"/>
          <w:szCs w:val="24"/>
        </w:rPr>
      </w:pPr>
      <w:r w:rsidRPr="00987DA3">
        <w:rPr>
          <w:kern w:val="2"/>
          <w:szCs w:val="24"/>
        </w:rPr>
        <w:t>9.</w:t>
      </w:r>
      <w:r>
        <w:rPr>
          <w:kern w:val="2"/>
          <w:szCs w:val="24"/>
        </w:rPr>
        <w:t>20</w:t>
      </w:r>
      <w:r w:rsidRPr="00987DA3">
        <w:rPr>
          <w:kern w:val="2"/>
          <w:szCs w:val="24"/>
        </w:rPr>
        <w:t>. aplicar individualmente aos responsáveis a seguir indicados a multa prevista no art. 58, inciso II, da Lei 8.443/1992, nos valores especificados, nas mesmas condições do subitem 9.1</w:t>
      </w:r>
      <w:r>
        <w:rPr>
          <w:kern w:val="2"/>
          <w:szCs w:val="24"/>
        </w:rPr>
        <w:t>9</w:t>
      </w:r>
      <w:r w:rsidRPr="00987DA3">
        <w:rPr>
          <w:kern w:val="2"/>
          <w:szCs w:val="24"/>
        </w:rPr>
        <w:t>:</w:t>
      </w:r>
    </w:p>
    <w:tbl>
      <w:tblPr>
        <w:tblW w:w="0" w:type="auto"/>
        <w:jc w:val="center"/>
        <w:tblCellSpacing w:w="15" w:type="dxa"/>
        <w:tblBorders>
          <w:top w:val="single" w:sz="4" w:space="0" w:color="auto"/>
          <w:left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858"/>
        <w:gridCol w:w="2721"/>
      </w:tblGrid>
      <w:tr w:rsidR="00A46262" w:rsidRPr="00987DA3" w14:paraId="02E1C27F" w14:textId="77777777" w:rsidTr="003116EC">
        <w:trPr>
          <w:tblHeader/>
          <w:tblCellSpacing w:w="15" w:type="dxa"/>
          <w:jc w:val="center"/>
        </w:trPr>
        <w:tc>
          <w:tcPr>
            <w:tcW w:w="3813"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3F61AADD" w14:textId="77777777" w:rsidR="00A46262" w:rsidRPr="00987DA3" w:rsidRDefault="00A46262" w:rsidP="003116EC">
            <w:pPr>
              <w:widowControl w:val="0"/>
              <w:tabs>
                <w:tab w:val="left" w:pos="284"/>
              </w:tabs>
              <w:autoSpaceDE w:val="0"/>
              <w:autoSpaceDN w:val="0"/>
              <w:ind w:left="215" w:hanging="142"/>
              <w:jc w:val="center"/>
              <w:rPr>
                <w:b/>
                <w:bCs/>
                <w:kern w:val="2"/>
                <w:szCs w:val="24"/>
              </w:rPr>
            </w:pPr>
            <w:r w:rsidRPr="00987DA3">
              <w:rPr>
                <w:b/>
                <w:bCs/>
                <w:kern w:val="2"/>
                <w:szCs w:val="24"/>
              </w:rPr>
              <w:t>RESPONSÁVEL</w:t>
            </w:r>
          </w:p>
        </w:tc>
        <w:tc>
          <w:tcPr>
            <w:tcW w:w="2676" w:type="dxa"/>
            <w:tcBorders>
              <w:top w:val="nil"/>
              <w:left w:val="nil"/>
              <w:bottom w:val="single" w:sz="4" w:space="0" w:color="auto"/>
            </w:tcBorders>
            <w:tcMar>
              <w:top w:w="15" w:type="dxa"/>
              <w:left w:w="15" w:type="dxa"/>
              <w:bottom w:w="15" w:type="dxa"/>
              <w:right w:w="15" w:type="dxa"/>
            </w:tcMar>
            <w:vAlign w:val="center"/>
            <w:hideMark/>
          </w:tcPr>
          <w:p w14:paraId="20E4C18B" w14:textId="77777777" w:rsidR="00A46262" w:rsidRPr="00987DA3" w:rsidRDefault="00A46262" w:rsidP="003116EC">
            <w:pPr>
              <w:widowControl w:val="0"/>
              <w:tabs>
                <w:tab w:val="left" w:pos="284"/>
              </w:tabs>
              <w:autoSpaceDE w:val="0"/>
              <w:autoSpaceDN w:val="0"/>
              <w:ind w:left="215" w:hanging="142"/>
              <w:jc w:val="center"/>
              <w:rPr>
                <w:b/>
                <w:bCs/>
                <w:kern w:val="2"/>
                <w:szCs w:val="24"/>
              </w:rPr>
            </w:pPr>
            <w:r w:rsidRPr="00987DA3">
              <w:rPr>
                <w:b/>
                <w:bCs/>
                <w:kern w:val="2"/>
                <w:szCs w:val="24"/>
              </w:rPr>
              <w:t>VALOR DA MULTA (R$)</w:t>
            </w:r>
          </w:p>
        </w:tc>
      </w:tr>
      <w:tr w:rsidR="00A46262" w:rsidRPr="00987DA3" w14:paraId="6626835B" w14:textId="77777777" w:rsidTr="003116EC">
        <w:trPr>
          <w:tblCellSpacing w:w="15" w:type="dxa"/>
          <w:jc w:val="center"/>
        </w:trPr>
        <w:tc>
          <w:tcPr>
            <w:tcW w:w="3813"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29EF432D" w14:textId="77777777" w:rsidR="00A46262" w:rsidRPr="00987DA3" w:rsidRDefault="00A46262" w:rsidP="003116EC">
            <w:pPr>
              <w:widowControl w:val="0"/>
              <w:tabs>
                <w:tab w:val="left" w:pos="284"/>
              </w:tabs>
              <w:autoSpaceDE w:val="0"/>
              <w:autoSpaceDN w:val="0"/>
              <w:ind w:left="245" w:hanging="142"/>
              <w:rPr>
                <w:kern w:val="2"/>
                <w:szCs w:val="24"/>
              </w:rPr>
            </w:pPr>
            <w:r w:rsidRPr="00987DA3">
              <w:rPr>
                <w:kern w:val="2"/>
                <w:szCs w:val="24"/>
              </w:rPr>
              <w:t>Pedro da Silva</w:t>
            </w:r>
          </w:p>
        </w:tc>
        <w:tc>
          <w:tcPr>
            <w:tcW w:w="2676" w:type="dxa"/>
            <w:tcBorders>
              <w:top w:val="nil"/>
              <w:left w:val="nil"/>
              <w:bottom w:val="single" w:sz="4" w:space="0" w:color="auto"/>
            </w:tcBorders>
            <w:tcMar>
              <w:top w:w="15" w:type="dxa"/>
              <w:left w:w="15" w:type="dxa"/>
              <w:bottom w:w="15" w:type="dxa"/>
              <w:right w:w="15" w:type="dxa"/>
            </w:tcMar>
            <w:vAlign w:val="center"/>
            <w:hideMark/>
          </w:tcPr>
          <w:p w14:paraId="5AF0E24D"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60.000,00</w:t>
            </w:r>
          </w:p>
        </w:tc>
      </w:tr>
      <w:tr w:rsidR="00A46262" w:rsidRPr="00987DA3" w14:paraId="4DB75FBE" w14:textId="77777777" w:rsidTr="003116EC">
        <w:trPr>
          <w:tblCellSpacing w:w="15" w:type="dxa"/>
          <w:jc w:val="center"/>
        </w:trPr>
        <w:tc>
          <w:tcPr>
            <w:tcW w:w="3813"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6E8A1CA9" w14:textId="77777777" w:rsidR="00A46262" w:rsidRPr="00987DA3" w:rsidRDefault="00A46262" w:rsidP="003116EC">
            <w:pPr>
              <w:widowControl w:val="0"/>
              <w:tabs>
                <w:tab w:val="left" w:pos="284"/>
              </w:tabs>
              <w:autoSpaceDE w:val="0"/>
              <w:autoSpaceDN w:val="0"/>
              <w:ind w:left="245" w:hanging="142"/>
              <w:rPr>
                <w:kern w:val="2"/>
                <w:szCs w:val="24"/>
              </w:rPr>
            </w:pPr>
            <w:r w:rsidRPr="00987DA3">
              <w:rPr>
                <w:kern w:val="2"/>
                <w:szCs w:val="24"/>
              </w:rPr>
              <w:t>Laurence Casagrande Lourenço</w:t>
            </w:r>
          </w:p>
        </w:tc>
        <w:tc>
          <w:tcPr>
            <w:tcW w:w="2676" w:type="dxa"/>
            <w:tcBorders>
              <w:top w:val="nil"/>
              <w:left w:val="nil"/>
              <w:bottom w:val="single" w:sz="4" w:space="0" w:color="auto"/>
            </w:tcBorders>
            <w:tcMar>
              <w:top w:w="15" w:type="dxa"/>
              <w:left w:w="15" w:type="dxa"/>
              <w:bottom w:w="15" w:type="dxa"/>
              <w:right w:w="15" w:type="dxa"/>
            </w:tcMar>
            <w:vAlign w:val="center"/>
            <w:hideMark/>
          </w:tcPr>
          <w:p w14:paraId="437A8118"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30.000,00</w:t>
            </w:r>
          </w:p>
        </w:tc>
      </w:tr>
      <w:tr w:rsidR="00A46262" w:rsidRPr="00987DA3" w14:paraId="202A2D31" w14:textId="77777777" w:rsidTr="003116EC">
        <w:trPr>
          <w:tblCellSpacing w:w="15" w:type="dxa"/>
          <w:jc w:val="center"/>
        </w:trPr>
        <w:tc>
          <w:tcPr>
            <w:tcW w:w="3813"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0EE0D6B1" w14:textId="77777777" w:rsidR="00A46262" w:rsidRPr="00987DA3" w:rsidRDefault="00A46262" w:rsidP="003116EC">
            <w:pPr>
              <w:widowControl w:val="0"/>
              <w:tabs>
                <w:tab w:val="left" w:pos="284"/>
              </w:tabs>
              <w:autoSpaceDE w:val="0"/>
              <w:autoSpaceDN w:val="0"/>
              <w:ind w:left="245" w:hanging="142"/>
              <w:rPr>
                <w:kern w:val="2"/>
                <w:szCs w:val="24"/>
              </w:rPr>
            </w:pPr>
            <w:r w:rsidRPr="00987DA3">
              <w:rPr>
                <w:kern w:val="2"/>
                <w:szCs w:val="24"/>
              </w:rPr>
              <w:t>Benjamim Venâncio de Melo Júnior</w:t>
            </w:r>
          </w:p>
        </w:tc>
        <w:tc>
          <w:tcPr>
            <w:tcW w:w="2676" w:type="dxa"/>
            <w:tcBorders>
              <w:top w:val="nil"/>
              <w:left w:val="nil"/>
              <w:bottom w:val="single" w:sz="4" w:space="0" w:color="auto"/>
            </w:tcBorders>
            <w:tcMar>
              <w:top w:w="15" w:type="dxa"/>
              <w:left w:w="15" w:type="dxa"/>
              <w:bottom w:w="15" w:type="dxa"/>
              <w:right w:w="15" w:type="dxa"/>
            </w:tcMar>
            <w:vAlign w:val="center"/>
            <w:hideMark/>
          </w:tcPr>
          <w:p w14:paraId="6298EF88"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30.000,00</w:t>
            </w:r>
          </w:p>
        </w:tc>
      </w:tr>
      <w:tr w:rsidR="00A46262" w:rsidRPr="00987DA3" w14:paraId="562B1E92" w14:textId="77777777" w:rsidTr="003116EC">
        <w:trPr>
          <w:tblCellSpacing w:w="15" w:type="dxa"/>
          <w:jc w:val="center"/>
        </w:trPr>
        <w:tc>
          <w:tcPr>
            <w:tcW w:w="3813"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0D148327" w14:textId="77777777" w:rsidR="00A46262" w:rsidRPr="00987DA3" w:rsidRDefault="00A46262" w:rsidP="003116EC">
            <w:pPr>
              <w:widowControl w:val="0"/>
              <w:tabs>
                <w:tab w:val="left" w:pos="284"/>
              </w:tabs>
              <w:autoSpaceDE w:val="0"/>
              <w:autoSpaceDN w:val="0"/>
              <w:ind w:left="245" w:hanging="142"/>
              <w:rPr>
                <w:kern w:val="2"/>
                <w:szCs w:val="24"/>
              </w:rPr>
            </w:pPr>
            <w:r w:rsidRPr="00987DA3">
              <w:rPr>
                <w:kern w:val="2"/>
                <w:szCs w:val="24"/>
              </w:rPr>
              <w:t>Sílvia Cristina Aranega Menezes</w:t>
            </w:r>
          </w:p>
        </w:tc>
        <w:tc>
          <w:tcPr>
            <w:tcW w:w="2676" w:type="dxa"/>
            <w:tcBorders>
              <w:top w:val="nil"/>
              <w:left w:val="nil"/>
              <w:bottom w:val="single" w:sz="4" w:space="0" w:color="auto"/>
            </w:tcBorders>
            <w:tcMar>
              <w:top w:w="15" w:type="dxa"/>
              <w:left w:w="15" w:type="dxa"/>
              <w:bottom w:w="15" w:type="dxa"/>
              <w:right w:w="15" w:type="dxa"/>
            </w:tcMar>
            <w:vAlign w:val="center"/>
            <w:hideMark/>
          </w:tcPr>
          <w:p w14:paraId="66F8142E"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30.000,00</w:t>
            </w:r>
          </w:p>
        </w:tc>
      </w:tr>
      <w:tr w:rsidR="00A46262" w:rsidRPr="00987DA3" w14:paraId="26B69C31" w14:textId="77777777" w:rsidTr="003116EC">
        <w:trPr>
          <w:tblCellSpacing w:w="15" w:type="dxa"/>
          <w:jc w:val="center"/>
        </w:trPr>
        <w:tc>
          <w:tcPr>
            <w:tcW w:w="3813"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4F40BC87" w14:textId="77777777" w:rsidR="00A46262" w:rsidRPr="00987DA3" w:rsidRDefault="00A46262" w:rsidP="003116EC">
            <w:pPr>
              <w:widowControl w:val="0"/>
              <w:tabs>
                <w:tab w:val="left" w:pos="284"/>
              </w:tabs>
              <w:autoSpaceDE w:val="0"/>
              <w:autoSpaceDN w:val="0"/>
              <w:ind w:left="245" w:hanging="142"/>
              <w:rPr>
                <w:kern w:val="2"/>
                <w:szCs w:val="24"/>
              </w:rPr>
            </w:pPr>
            <w:r w:rsidRPr="00987DA3">
              <w:rPr>
                <w:kern w:val="2"/>
                <w:szCs w:val="24"/>
              </w:rPr>
              <w:t>João Henrique Poiani</w:t>
            </w:r>
          </w:p>
        </w:tc>
        <w:tc>
          <w:tcPr>
            <w:tcW w:w="2676" w:type="dxa"/>
            <w:tcBorders>
              <w:top w:val="nil"/>
              <w:left w:val="nil"/>
              <w:bottom w:val="single" w:sz="4" w:space="0" w:color="auto"/>
            </w:tcBorders>
            <w:tcMar>
              <w:top w:w="15" w:type="dxa"/>
              <w:left w:w="15" w:type="dxa"/>
              <w:bottom w:w="15" w:type="dxa"/>
              <w:right w:w="15" w:type="dxa"/>
            </w:tcMar>
            <w:vAlign w:val="center"/>
            <w:hideMark/>
          </w:tcPr>
          <w:p w14:paraId="018D59B1"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30.000,00</w:t>
            </w:r>
          </w:p>
        </w:tc>
      </w:tr>
      <w:tr w:rsidR="00A46262" w:rsidRPr="00987DA3" w14:paraId="0963CDE6" w14:textId="77777777" w:rsidTr="003116EC">
        <w:trPr>
          <w:tblCellSpacing w:w="15" w:type="dxa"/>
          <w:jc w:val="center"/>
        </w:trPr>
        <w:tc>
          <w:tcPr>
            <w:tcW w:w="3813"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4692C2D1" w14:textId="77777777" w:rsidR="00A46262" w:rsidRPr="00987DA3" w:rsidRDefault="00A46262" w:rsidP="003116EC">
            <w:pPr>
              <w:widowControl w:val="0"/>
              <w:tabs>
                <w:tab w:val="left" w:pos="284"/>
              </w:tabs>
              <w:autoSpaceDE w:val="0"/>
              <w:autoSpaceDN w:val="0"/>
              <w:ind w:left="245" w:hanging="142"/>
              <w:rPr>
                <w:kern w:val="2"/>
                <w:szCs w:val="24"/>
              </w:rPr>
            </w:pPr>
            <w:r w:rsidRPr="00987DA3">
              <w:rPr>
                <w:kern w:val="2"/>
                <w:szCs w:val="24"/>
              </w:rPr>
              <w:lastRenderedPageBreak/>
              <w:t>Nilson Rogério Baroni</w:t>
            </w:r>
          </w:p>
        </w:tc>
        <w:tc>
          <w:tcPr>
            <w:tcW w:w="2676" w:type="dxa"/>
            <w:tcBorders>
              <w:top w:val="nil"/>
              <w:left w:val="nil"/>
              <w:bottom w:val="single" w:sz="4" w:space="0" w:color="auto"/>
            </w:tcBorders>
            <w:tcMar>
              <w:top w:w="15" w:type="dxa"/>
              <w:left w:w="15" w:type="dxa"/>
              <w:bottom w:w="15" w:type="dxa"/>
              <w:right w:w="15" w:type="dxa"/>
            </w:tcMar>
            <w:vAlign w:val="center"/>
            <w:hideMark/>
          </w:tcPr>
          <w:p w14:paraId="0748A80E"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15.000,00</w:t>
            </w:r>
          </w:p>
        </w:tc>
      </w:tr>
      <w:tr w:rsidR="00A46262" w:rsidRPr="00987DA3" w14:paraId="5059005E" w14:textId="77777777" w:rsidTr="003116EC">
        <w:trPr>
          <w:tblCellSpacing w:w="15" w:type="dxa"/>
          <w:jc w:val="center"/>
        </w:trPr>
        <w:tc>
          <w:tcPr>
            <w:tcW w:w="3813"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54DE957E" w14:textId="77777777" w:rsidR="00A46262" w:rsidRPr="00987DA3" w:rsidRDefault="00A46262" w:rsidP="003116EC">
            <w:pPr>
              <w:widowControl w:val="0"/>
              <w:tabs>
                <w:tab w:val="left" w:pos="284"/>
              </w:tabs>
              <w:autoSpaceDE w:val="0"/>
              <w:autoSpaceDN w:val="0"/>
              <w:ind w:left="245" w:hanging="142"/>
              <w:rPr>
                <w:kern w:val="2"/>
                <w:szCs w:val="24"/>
              </w:rPr>
            </w:pPr>
            <w:r w:rsidRPr="00987DA3">
              <w:rPr>
                <w:kern w:val="2"/>
                <w:szCs w:val="24"/>
              </w:rPr>
              <w:t>Benedito Aparecido Trida</w:t>
            </w:r>
          </w:p>
        </w:tc>
        <w:tc>
          <w:tcPr>
            <w:tcW w:w="2676" w:type="dxa"/>
            <w:tcBorders>
              <w:top w:val="nil"/>
              <w:left w:val="nil"/>
              <w:bottom w:val="single" w:sz="4" w:space="0" w:color="auto"/>
            </w:tcBorders>
            <w:tcMar>
              <w:top w:w="15" w:type="dxa"/>
              <w:left w:w="15" w:type="dxa"/>
              <w:bottom w:w="15" w:type="dxa"/>
              <w:right w:w="15" w:type="dxa"/>
            </w:tcMar>
            <w:vAlign w:val="center"/>
            <w:hideMark/>
          </w:tcPr>
          <w:p w14:paraId="7A19F1AA" w14:textId="77777777" w:rsidR="00A46262" w:rsidRPr="00987DA3" w:rsidRDefault="00A46262" w:rsidP="003116EC">
            <w:pPr>
              <w:widowControl w:val="0"/>
              <w:tabs>
                <w:tab w:val="left" w:pos="284"/>
              </w:tabs>
              <w:autoSpaceDE w:val="0"/>
              <w:autoSpaceDN w:val="0"/>
              <w:ind w:left="215" w:hanging="142"/>
              <w:jc w:val="center"/>
              <w:rPr>
                <w:kern w:val="2"/>
                <w:szCs w:val="24"/>
              </w:rPr>
            </w:pPr>
            <w:r w:rsidRPr="00987DA3">
              <w:rPr>
                <w:kern w:val="2"/>
                <w:szCs w:val="24"/>
              </w:rPr>
              <w:t>90.000,00</w:t>
            </w:r>
          </w:p>
        </w:tc>
      </w:tr>
    </w:tbl>
    <w:p w14:paraId="016FE880" w14:textId="77777777" w:rsidR="00A46262" w:rsidRPr="00987DA3" w:rsidRDefault="00A46262" w:rsidP="00A46262">
      <w:pPr>
        <w:widowControl w:val="0"/>
        <w:tabs>
          <w:tab w:val="left" w:pos="284"/>
        </w:tabs>
        <w:autoSpaceDE w:val="0"/>
        <w:autoSpaceDN w:val="0"/>
        <w:ind w:firstLine="1134"/>
        <w:jc w:val="both"/>
        <w:rPr>
          <w:kern w:val="2"/>
          <w:szCs w:val="24"/>
        </w:rPr>
      </w:pPr>
      <w:r w:rsidRPr="00987DA3">
        <w:rPr>
          <w:kern w:val="2"/>
          <w:szCs w:val="24"/>
        </w:rPr>
        <w:t>9.2</w:t>
      </w:r>
      <w:r>
        <w:rPr>
          <w:kern w:val="2"/>
          <w:szCs w:val="24"/>
        </w:rPr>
        <w:t>1</w:t>
      </w:r>
      <w:r w:rsidRPr="00987DA3">
        <w:rPr>
          <w:kern w:val="2"/>
          <w:szCs w:val="24"/>
        </w:rPr>
        <w:t>. autorizar, desde logo, a cobrança judicial das dívidas, nos termos do art. 28, inciso II, da Lei 8.443/1992, caso não atendidas as notificações;</w:t>
      </w:r>
    </w:p>
    <w:p w14:paraId="3D371B84" w14:textId="77777777" w:rsidR="00A46262" w:rsidRPr="00987DA3" w:rsidRDefault="00A46262" w:rsidP="00A46262">
      <w:pPr>
        <w:widowControl w:val="0"/>
        <w:tabs>
          <w:tab w:val="left" w:pos="284"/>
        </w:tabs>
        <w:autoSpaceDE w:val="0"/>
        <w:autoSpaceDN w:val="0"/>
        <w:ind w:firstLine="1134"/>
        <w:jc w:val="both"/>
        <w:rPr>
          <w:kern w:val="2"/>
          <w:szCs w:val="24"/>
        </w:rPr>
      </w:pPr>
      <w:r w:rsidRPr="00987DA3">
        <w:rPr>
          <w:kern w:val="2"/>
          <w:szCs w:val="24"/>
        </w:rPr>
        <w:t>9.2</w:t>
      </w:r>
      <w:r>
        <w:rPr>
          <w:kern w:val="2"/>
          <w:szCs w:val="24"/>
        </w:rPr>
        <w:t>2</w:t>
      </w:r>
      <w:r w:rsidRPr="00987DA3">
        <w:rPr>
          <w:kern w:val="2"/>
          <w:szCs w:val="24"/>
        </w:rPr>
        <w:t>. recomendar ao Dnit</w:t>
      </w:r>
      <w:r>
        <w:rPr>
          <w:kern w:val="2"/>
          <w:szCs w:val="24"/>
        </w:rPr>
        <w:t xml:space="preserve"> </w:t>
      </w:r>
      <w:r w:rsidRPr="00987DA3">
        <w:rPr>
          <w:kern w:val="2"/>
          <w:szCs w:val="24"/>
        </w:rPr>
        <w:t>e à Advocacia-Geral da União que, na execução das medidas decorrentes deste Acórdão, formulem pedido perante os juízos de falências e recuperações judiciais competentes com vistas a salvaguardar as medidas de constrição patrimonial contra as sociedades empresárias em recuperação judicial;</w:t>
      </w:r>
    </w:p>
    <w:p w14:paraId="06276675" w14:textId="77777777" w:rsidR="00A46262" w:rsidRDefault="00A46262" w:rsidP="00A46262">
      <w:pPr>
        <w:widowControl w:val="0"/>
        <w:tabs>
          <w:tab w:val="left" w:pos="284"/>
        </w:tabs>
        <w:autoSpaceDE w:val="0"/>
        <w:autoSpaceDN w:val="0"/>
        <w:ind w:firstLine="1134"/>
        <w:jc w:val="both"/>
        <w:rPr>
          <w:kern w:val="2"/>
          <w:szCs w:val="24"/>
        </w:rPr>
      </w:pPr>
      <w:r w:rsidRPr="00987DA3">
        <w:rPr>
          <w:kern w:val="2"/>
          <w:szCs w:val="24"/>
        </w:rPr>
        <w:t>9.2</w:t>
      </w:r>
      <w:r>
        <w:rPr>
          <w:kern w:val="2"/>
          <w:szCs w:val="24"/>
        </w:rPr>
        <w:t>3</w:t>
      </w:r>
      <w:r w:rsidRPr="00987DA3">
        <w:rPr>
          <w:kern w:val="2"/>
          <w:szCs w:val="24"/>
        </w:rPr>
        <w:t xml:space="preserve">. encaminhar cópia deste Acórdão à Procuradoria da República no Estado de São Paulo, nos termos do art. 16, § 3º, da Lei 8.443/1992, ao </w:t>
      </w:r>
      <w:r>
        <w:rPr>
          <w:kern w:val="2"/>
          <w:szCs w:val="24"/>
        </w:rPr>
        <w:t>Dnit</w:t>
      </w:r>
      <w:r w:rsidRPr="00987DA3">
        <w:rPr>
          <w:kern w:val="2"/>
          <w:szCs w:val="24"/>
        </w:rPr>
        <w:t xml:space="preserve"> e aos responsáveis.</w:t>
      </w:r>
    </w:p>
    <w:p w14:paraId="30924ABB" w14:textId="77777777" w:rsidR="00A46262" w:rsidRDefault="00A46262" w:rsidP="00A46262">
      <w:pPr>
        <w:jc w:val="both"/>
        <w:rPr>
          <w:color w:val="000000"/>
          <w:kern w:val="2"/>
          <w:szCs w:val="24"/>
        </w:rPr>
      </w:pPr>
    </w:p>
    <w:p w14:paraId="7749B28F" w14:textId="77777777" w:rsidR="00A46262" w:rsidRDefault="00A46262" w:rsidP="00A46262">
      <w:pPr>
        <w:jc w:val="both"/>
        <w:rPr>
          <w:color w:val="000000"/>
          <w:kern w:val="2"/>
          <w:szCs w:val="24"/>
        </w:rPr>
      </w:pPr>
      <w:r>
        <w:rPr>
          <w:color w:val="000000"/>
          <w:kern w:val="2"/>
          <w:szCs w:val="24"/>
        </w:rPr>
        <w:t>10. Ata n° 23/2026 – 1ª Câmara.</w:t>
      </w:r>
    </w:p>
    <w:p w14:paraId="615414DA" w14:textId="77777777" w:rsidR="00A46262" w:rsidRDefault="00A46262" w:rsidP="00A46262">
      <w:pPr>
        <w:jc w:val="both"/>
        <w:rPr>
          <w:color w:val="000000"/>
          <w:kern w:val="2"/>
          <w:szCs w:val="24"/>
        </w:rPr>
      </w:pPr>
      <w:r>
        <w:rPr>
          <w:color w:val="000000"/>
          <w:kern w:val="2"/>
          <w:szCs w:val="24"/>
        </w:rPr>
        <w:t>11. Data da Sessão: 14/7/2026 – Ordinária.</w:t>
      </w:r>
    </w:p>
    <w:p w14:paraId="71B0E79A" w14:textId="77777777" w:rsidR="00A46262" w:rsidRDefault="00A46262" w:rsidP="00A46262">
      <w:pPr>
        <w:jc w:val="both"/>
        <w:rPr>
          <w:color w:val="000000"/>
          <w:kern w:val="2"/>
          <w:szCs w:val="24"/>
        </w:rPr>
      </w:pPr>
      <w:r>
        <w:rPr>
          <w:color w:val="000000"/>
          <w:kern w:val="2"/>
          <w:szCs w:val="24"/>
        </w:rPr>
        <w:t>12. Código eletrônico para localização na página do TCU na Internet: AC-3646-23/26-1.</w:t>
      </w:r>
    </w:p>
    <w:p w14:paraId="2AB1FB2E" w14:textId="77777777" w:rsidR="00A46262" w:rsidRDefault="00A46262" w:rsidP="00A46262">
      <w:pPr>
        <w:jc w:val="both"/>
        <w:rPr>
          <w:color w:val="000000"/>
          <w:kern w:val="2"/>
          <w:szCs w:val="24"/>
        </w:rPr>
      </w:pPr>
    </w:p>
    <w:p w14:paraId="08FDCD7C" w14:textId="77777777" w:rsidR="00A46262" w:rsidRDefault="00A46262" w:rsidP="00A46262">
      <w:pPr>
        <w:jc w:val="both"/>
        <w:rPr>
          <w:kern w:val="2"/>
          <w:szCs w:val="24"/>
        </w:rPr>
      </w:pPr>
      <w:r>
        <w:rPr>
          <w:color w:val="000000"/>
          <w:kern w:val="2"/>
          <w:szCs w:val="24"/>
        </w:rPr>
        <w:t xml:space="preserve">13. Especificação do quórum: </w:t>
      </w:r>
    </w:p>
    <w:p w14:paraId="0BC0C340" w14:textId="77777777" w:rsidR="00A46262" w:rsidRDefault="00A46262" w:rsidP="00A46262">
      <w:pPr>
        <w:jc w:val="both"/>
        <w:rPr>
          <w:kern w:val="2"/>
          <w:szCs w:val="24"/>
        </w:rPr>
      </w:pPr>
      <w:r>
        <w:rPr>
          <w:kern w:val="2"/>
          <w:szCs w:val="24"/>
        </w:rPr>
        <w:t>13.1. Ministros presentes: Odair Cunha (na Presidência), Walton Alencar Rodrigues (Relator) e Bruno Dantas.</w:t>
      </w:r>
    </w:p>
    <w:p w14:paraId="7D0F2060" w14:textId="77777777" w:rsidR="00A46262" w:rsidRDefault="00A46262" w:rsidP="00A46262">
      <w:pPr>
        <w:jc w:val="both"/>
        <w:rPr>
          <w:kern w:val="2"/>
          <w:szCs w:val="24"/>
        </w:rPr>
      </w:pPr>
      <w:r>
        <w:rPr>
          <w:kern w:val="2"/>
          <w:szCs w:val="24"/>
        </w:rPr>
        <w:t>13.2. Ministros-Substitutos presentes: Augusto Sherman Cavalcanti e Weder de Oliveira.</w:t>
      </w:r>
    </w:p>
    <w:p w14:paraId="4859F092" w14:textId="77777777" w:rsidR="00A46262" w:rsidRDefault="00A46262" w:rsidP="00A46262">
      <w:pPr>
        <w:jc w:val="both"/>
        <w:rPr>
          <w:color w:val="000000"/>
          <w:kern w:val="2"/>
          <w:szCs w:val="24"/>
        </w:rPr>
      </w:pPr>
    </w:p>
    <w:p w14:paraId="3D6EE7E2" w14:textId="77777777" w:rsidR="00A46262" w:rsidRDefault="00A46262" w:rsidP="00A46262">
      <w:pPr>
        <w:jc w:val="both"/>
        <w:rPr>
          <w:color w:val="000000"/>
          <w:kern w:val="2"/>
          <w:szCs w:val="24"/>
        </w:rPr>
      </w:pPr>
    </w:p>
    <w:tbl>
      <w:tblPr>
        <w:tblW w:w="10200" w:type="dxa"/>
        <w:jc w:val="center"/>
        <w:tblLayout w:type="fixed"/>
        <w:tblCellMar>
          <w:left w:w="0" w:type="dxa"/>
          <w:right w:w="0" w:type="dxa"/>
        </w:tblCellMar>
        <w:tblLook w:val="04A0" w:firstRow="1" w:lastRow="0" w:firstColumn="1" w:lastColumn="0" w:noHBand="0" w:noVBand="1"/>
      </w:tblPr>
      <w:tblGrid>
        <w:gridCol w:w="5100"/>
        <w:gridCol w:w="5100"/>
      </w:tblGrid>
      <w:tr w:rsidR="00A46262" w14:paraId="277C2F0D" w14:textId="77777777" w:rsidTr="003116EC">
        <w:trPr>
          <w:jc w:val="center"/>
        </w:trPr>
        <w:tc>
          <w:tcPr>
            <w:tcW w:w="5100" w:type="dxa"/>
            <w:tcBorders>
              <w:top w:val="nil"/>
              <w:left w:val="nil"/>
              <w:bottom w:val="nil"/>
              <w:right w:val="nil"/>
            </w:tcBorders>
            <w:tcMar>
              <w:top w:w="0" w:type="dxa"/>
              <w:left w:w="0" w:type="dxa"/>
              <w:bottom w:w="0" w:type="dxa"/>
              <w:right w:w="0" w:type="dxa"/>
            </w:tcMar>
          </w:tcPr>
          <w:p w14:paraId="62C29095" w14:textId="77777777" w:rsidR="00A46262" w:rsidRDefault="00A46262" w:rsidP="003116EC">
            <w:pPr>
              <w:jc w:val="center"/>
              <w:rPr>
                <w:color w:val="000000"/>
                <w:kern w:val="2"/>
                <w:sz w:val="20"/>
              </w:rPr>
            </w:pPr>
            <w:r>
              <w:rPr>
                <w:color w:val="000000"/>
                <w:kern w:val="2"/>
                <w:sz w:val="20"/>
              </w:rPr>
              <w:t>(Assinado Eletronicamente)</w:t>
            </w:r>
          </w:p>
          <w:p w14:paraId="5D3188E8" w14:textId="77777777" w:rsidR="00A46262" w:rsidRDefault="00A46262" w:rsidP="003116EC">
            <w:pPr>
              <w:jc w:val="center"/>
              <w:rPr>
                <w:color w:val="000000"/>
                <w:kern w:val="2"/>
                <w:szCs w:val="24"/>
              </w:rPr>
            </w:pPr>
            <w:r>
              <w:rPr>
                <w:color w:val="000000"/>
                <w:kern w:val="2"/>
                <w:szCs w:val="24"/>
              </w:rPr>
              <w:t>ODAIR CUNHA</w:t>
            </w:r>
          </w:p>
        </w:tc>
        <w:tc>
          <w:tcPr>
            <w:tcW w:w="5100" w:type="dxa"/>
            <w:tcBorders>
              <w:top w:val="nil"/>
              <w:left w:val="nil"/>
              <w:bottom w:val="nil"/>
              <w:right w:val="nil"/>
            </w:tcBorders>
            <w:tcMar>
              <w:top w:w="0" w:type="dxa"/>
              <w:left w:w="0" w:type="dxa"/>
              <w:bottom w:w="0" w:type="dxa"/>
              <w:right w:w="0" w:type="dxa"/>
            </w:tcMar>
          </w:tcPr>
          <w:p w14:paraId="505E11E2" w14:textId="77777777" w:rsidR="00A46262" w:rsidRDefault="00A46262" w:rsidP="003116EC">
            <w:pPr>
              <w:jc w:val="center"/>
              <w:rPr>
                <w:color w:val="000000"/>
                <w:kern w:val="2"/>
                <w:sz w:val="20"/>
              </w:rPr>
            </w:pPr>
            <w:r>
              <w:rPr>
                <w:color w:val="000000"/>
                <w:kern w:val="2"/>
                <w:sz w:val="20"/>
              </w:rPr>
              <w:t>(Assinado Eletronicamente)</w:t>
            </w:r>
          </w:p>
          <w:p w14:paraId="43E0F0A1" w14:textId="77777777" w:rsidR="00A46262" w:rsidRDefault="00A46262" w:rsidP="003116EC">
            <w:pPr>
              <w:jc w:val="center"/>
              <w:rPr>
                <w:color w:val="000000"/>
                <w:kern w:val="2"/>
                <w:szCs w:val="24"/>
              </w:rPr>
            </w:pPr>
            <w:r>
              <w:rPr>
                <w:color w:val="000000"/>
                <w:kern w:val="2"/>
                <w:szCs w:val="24"/>
              </w:rPr>
              <w:t>WALTON ALENCAR RODRIGUES</w:t>
            </w:r>
          </w:p>
        </w:tc>
      </w:tr>
      <w:tr w:rsidR="00A46262" w14:paraId="3FAF6C04" w14:textId="77777777" w:rsidTr="003116EC">
        <w:trPr>
          <w:jc w:val="center"/>
        </w:trPr>
        <w:tc>
          <w:tcPr>
            <w:tcW w:w="5100" w:type="dxa"/>
            <w:tcBorders>
              <w:top w:val="nil"/>
              <w:left w:val="nil"/>
              <w:bottom w:val="nil"/>
              <w:right w:val="nil"/>
            </w:tcBorders>
            <w:tcMar>
              <w:top w:w="0" w:type="dxa"/>
              <w:left w:w="0" w:type="dxa"/>
              <w:bottom w:w="0" w:type="dxa"/>
              <w:right w:w="0" w:type="dxa"/>
            </w:tcMar>
          </w:tcPr>
          <w:p w14:paraId="6225C20A" w14:textId="77777777" w:rsidR="00A46262" w:rsidRDefault="00A46262" w:rsidP="003116EC">
            <w:pPr>
              <w:jc w:val="center"/>
              <w:rPr>
                <w:color w:val="000000"/>
                <w:kern w:val="2"/>
                <w:szCs w:val="24"/>
              </w:rPr>
            </w:pPr>
            <w:r>
              <w:rPr>
                <w:color w:val="000000"/>
                <w:kern w:val="2"/>
                <w:szCs w:val="24"/>
              </w:rPr>
              <w:t>na Presidência</w:t>
            </w:r>
          </w:p>
        </w:tc>
        <w:tc>
          <w:tcPr>
            <w:tcW w:w="5100" w:type="dxa"/>
            <w:tcBorders>
              <w:top w:val="nil"/>
              <w:left w:val="nil"/>
              <w:bottom w:val="nil"/>
              <w:right w:val="nil"/>
            </w:tcBorders>
            <w:tcMar>
              <w:top w:w="0" w:type="dxa"/>
              <w:left w:w="0" w:type="dxa"/>
              <w:bottom w:w="0" w:type="dxa"/>
              <w:right w:w="0" w:type="dxa"/>
            </w:tcMar>
          </w:tcPr>
          <w:p w14:paraId="5D91DBF0" w14:textId="77777777" w:rsidR="00A46262" w:rsidRDefault="00A46262" w:rsidP="003116EC">
            <w:pPr>
              <w:jc w:val="center"/>
              <w:rPr>
                <w:color w:val="000000"/>
                <w:kern w:val="2"/>
                <w:szCs w:val="24"/>
              </w:rPr>
            </w:pPr>
            <w:r>
              <w:rPr>
                <w:color w:val="000000"/>
                <w:kern w:val="2"/>
                <w:szCs w:val="24"/>
              </w:rPr>
              <w:t>Relator</w:t>
            </w:r>
          </w:p>
        </w:tc>
      </w:tr>
    </w:tbl>
    <w:p w14:paraId="47CFA986" w14:textId="77777777" w:rsidR="00A46262" w:rsidRDefault="00A46262" w:rsidP="00A46262">
      <w:pPr>
        <w:jc w:val="center"/>
        <w:rPr>
          <w:color w:val="000000"/>
          <w:kern w:val="2"/>
          <w:szCs w:val="24"/>
        </w:rPr>
      </w:pPr>
    </w:p>
    <w:p w14:paraId="04A74BE1" w14:textId="77777777" w:rsidR="00A46262" w:rsidRDefault="00A46262" w:rsidP="00A46262">
      <w:pPr>
        <w:jc w:val="center"/>
        <w:rPr>
          <w:color w:val="000000"/>
          <w:kern w:val="2"/>
          <w:szCs w:val="24"/>
        </w:rPr>
      </w:pPr>
    </w:p>
    <w:p w14:paraId="2116B42F" w14:textId="77777777" w:rsidR="00A46262" w:rsidRDefault="00A46262" w:rsidP="00A46262">
      <w:pPr>
        <w:jc w:val="center"/>
        <w:rPr>
          <w:color w:val="000000"/>
          <w:kern w:val="2"/>
          <w:szCs w:val="24"/>
        </w:rPr>
      </w:pPr>
      <w:r>
        <w:rPr>
          <w:color w:val="000000"/>
          <w:kern w:val="2"/>
          <w:szCs w:val="24"/>
        </w:rPr>
        <w:t>Fui presente:</w:t>
      </w:r>
    </w:p>
    <w:p w14:paraId="7F0B2073" w14:textId="77777777" w:rsidR="00A46262" w:rsidRDefault="00A46262" w:rsidP="00A46262">
      <w:pPr>
        <w:jc w:val="center"/>
        <w:rPr>
          <w:color w:val="000000"/>
          <w:kern w:val="2"/>
          <w:szCs w:val="24"/>
        </w:rPr>
      </w:pPr>
    </w:p>
    <w:p w14:paraId="68E8D083" w14:textId="77777777" w:rsidR="00A46262" w:rsidRDefault="00A46262" w:rsidP="00A46262">
      <w:pPr>
        <w:jc w:val="center"/>
        <w:rPr>
          <w:color w:val="000000"/>
          <w:kern w:val="2"/>
          <w:szCs w:val="24"/>
        </w:rPr>
      </w:pPr>
    </w:p>
    <w:p w14:paraId="469431CB" w14:textId="77777777" w:rsidR="00A46262" w:rsidRDefault="00A46262" w:rsidP="00A46262">
      <w:pPr>
        <w:jc w:val="center"/>
        <w:rPr>
          <w:color w:val="000000"/>
          <w:kern w:val="2"/>
          <w:sz w:val="20"/>
        </w:rPr>
      </w:pPr>
      <w:r>
        <w:rPr>
          <w:color w:val="000000"/>
          <w:kern w:val="2"/>
          <w:sz w:val="20"/>
        </w:rPr>
        <w:t>(Assinado Eletronicamente)</w:t>
      </w:r>
    </w:p>
    <w:p w14:paraId="3E470A6B" w14:textId="77777777" w:rsidR="00A46262" w:rsidRDefault="00A46262" w:rsidP="00A46262">
      <w:pPr>
        <w:jc w:val="center"/>
        <w:rPr>
          <w:color w:val="000000"/>
          <w:kern w:val="2"/>
          <w:szCs w:val="24"/>
        </w:rPr>
      </w:pPr>
      <w:r>
        <w:rPr>
          <w:color w:val="000000"/>
          <w:kern w:val="2"/>
          <w:szCs w:val="24"/>
        </w:rPr>
        <w:t>PAULO SOARES BUGARIN</w:t>
      </w:r>
    </w:p>
    <w:p w14:paraId="46678443" w14:textId="77777777" w:rsidR="00A46262" w:rsidRDefault="00A46262" w:rsidP="00A46262">
      <w:pPr>
        <w:jc w:val="center"/>
        <w:rPr>
          <w:color w:val="000000"/>
          <w:kern w:val="2"/>
          <w:szCs w:val="24"/>
        </w:rPr>
      </w:pPr>
      <w:r>
        <w:rPr>
          <w:color w:val="000000"/>
          <w:kern w:val="2"/>
          <w:szCs w:val="24"/>
        </w:rPr>
        <w:t>Subprocurador-Geral</w:t>
      </w:r>
    </w:p>
    <w:p w14:paraId="0C49CC92" w14:textId="77777777" w:rsidR="00A46262" w:rsidRDefault="00A46262"/>
    <w:sectPr w:rsidR="00A4626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Univer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262"/>
    <w:rsid w:val="003245A7"/>
    <w:rsid w:val="00581FBC"/>
    <w:rsid w:val="00A4626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EC2CB"/>
  <w15:chartTrackingRefBased/>
  <w15:docId w15:val="{74E2FB4F-1781-41A1-BCED-BB4B0B095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262"/>
    <w:pPr>
      <w:spacing w:after="0" w:line="240" w:lineRule="auto"/>
    </w:pPr>
    <w:rPr>
      <w:rFonts w:ascii="Times New Roman" w:eastAsia="Times New Roman" w:hAnsi="Times New Roman" w:cs="Times New Roman"/>
      <w:kern w:val="0"/>
      <w:szCs w:val="22"/>
      <w14:ligatures w14:val="none"/>
    </w:rPr>
  </w:style>
  <w:style w:type="paragraph" w:styleId="Ttulo1">
    <w:name w:val="heading 1"/>
    <w:basedOn w:val="Normal"/>
    <w:next w:val="Normal"/>
    <w:link w:val="Ttulo1Char"/>
    <w:uiPriority w:val="9"/>
    <w:qFormat/>
    <w:rsid w:val="00A4626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har"/>
    <w:uiPriority w:val="9"/>
    <w:semiHidden/>
    <w:unhideWhenUsed/>
    <w:qFormat/>
    <w:rsid w:val="00A4626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har"/>
    <w:uiPriority w:val="9"/>
    <w:semiHidden/>
    <w:unhideWhenUsed/>
    <w:qFormat/>
    <w:rsid w:val="00A4626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Ttulo4">
    <w:name w:val="heading 4"/>
    <w:basedOn w:val="Normal"/>
    <w:next w:val="Normal"/>
    <w:link w:val="Ttulo4Char"/>
    <w:uiPriority w:val="9"/>
    <w:semiHidden/>
    <w:unhideWhenUsed/>
    <w:qFormat/>
    <w:rsid w:val="00A46262"/>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Ttulo5">
    <w:name w:val="heading 5"/>
    <w:basedOn w:val="Normal"/>
    <w:next w:val="Normal"/>
    <w:link w:val="Ttulo5Char"/>
    <w:uiPriority w:val="9"/>
    <w:semiHidden/>
    <w:unhideWhenUsed/>
    <w:qFormat/>
    <w:rsid w:val="00A46262"/>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Ttulo6">
    <w:name w:val="heading 6"/>
    <w:basedOn w:val="Normal"/>
    <w:next w:val="Normal"/>
    <w:link w:val="Ttulo6Char"/>
    <w:uiPriority w:val="9"/>
    <w:semiHidden/>
    <w:unhideWhenUsed/>
    <w:qFormat/>
    <w:rsid w:val="00A46262"/>
    <w:pPr>
      <w:keepNext/>
      <w:keepLines/>
      <w:spacing w:before="4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Ttulo7">
    <w:name w:val="heading 7"/>
    <w:basedOn w:val="Normal"/>
    <w:next w:val="Normal"/>
    <w:link w:val="Ttulo7Char"/>
    <w:uiPriority w:val="9"/>
    <w:semiHidden/>
    <w:unhideWhenUsed/>
    <w:qFormat/>
    <w:rsid w:val="00A46262"/>
    <w:pPr>
      <w:keepNext/>
      <w:keepLines/>
      <w:spacing w:before="4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Ttulo8">
    <w:name w:val="heading 8"/>
    <w:basedOn w:val="Normal"/>
    <w:next w:val="Normal"/>
    <w:link w:val="Ttulo8Char"/>
    <w:uiPriority w:val="9"/>
    <w:semiHidden/>
    <w:unhideWhenUsed/>
    <w:qFormat/>
    <w:rsid w:val="00A46262"/>
    <w:pPr>
      <w:keepNext/>
      <w:keepLines/>
      <w:spacing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Ttulo9">
    <w:name w:val="heading 9"/>
    <w:basedOn w:val="Normal"/>
    <w:next w:val="Normal"/>
    <w:link w:val="Ttulo9Char"/>
    <w:uiPriority w:val="9"/>
    <w:semiHidden/>
    <w:unhideWhenUsed/>
    <w:qFormat/>
    <w:rsid w:val="00A46262"/>
    <w:pPr>
      <w:keepNext/>
      <w:keepLines/>
      <w:spacing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4626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4626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4626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4626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4626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4626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4626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4626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46262"/>
    <w:rPr>
      <w:rFonts w:eastAsiaTheme="majorEastAsia" w:cstheme="majorBidi"/>
      <w:color w:val="272727" w:themeColor="text1" w:themeTint="D8"/>
    </w:rPr>
  </w:style>
  <w:style w:type="paragraph" w:styleId="Ttulo">
    <w:name w:val="Title"/>
    <w:basedOn w:val="Normal"/>
    <w:next w:val="Normal"/>
    <w:link w:val="TtuloChar"/>
    <w:uiPriority w:val="10"/>
    <w:qFormat/>
    <w:rsid w:val="00A4626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har">
    <w:name w:val="Título Char"/>
    <w:basedOn w:val="Fontepargpadro"/>
    <w:link w:val="Ttulo"/>
    <w:uiPriority w:val="10"/>
    <w:rsid w:val="00A462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4626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tuloChar">
    <w:name w:val="Subtítulo Char"/>
    <w:basedOn w:val="Fontepargpadro"/>
    <w:link w:val="Subttulo"/>
    <w:uiPriority w:val="11"/>
    <w:rsid w:val="00A4626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46262"/>
    <w:pPr>
      <w:spacing w:before="160" w:after="160" w:line="278" w:lineRule="auto"/>
      <w:jc w:val="center"/>
    </w:pPr>
    <w:rPr>
      <w:rFonts w:asciiTheme="minorHAnsi" w:eastAsiaTheme="minorHAnsi" w:hAnsiTheme="minorHAnsi" w:cstheme="minorBidi"/>
      <w:i/>
      <w:iCs/>
      <w:color w:val="404040" w:themeColor="text1" w:themeTint="BF"/>
      <w:kern w:val="2"/>
      <w:szCs w:val="24"/>
      <w14:ligatures w14:val="standardContextual"/>
    </w:rPr>
  </w:style>
  <w:style w:type="character" w:customStyle="1" w:styleId="CitaoChar">
    <w:name w:val="Citação Char"/>
    <w:basedOn w:val="Fontepargpadro"/>
    <w:link w:val="Citao"/>
    <w:uiPriority w:val="29"/>
    <w:rsid w:val="00A46262"/>
    <w:rPr>
      <w:i/>
      <w:iCs/>
      <w:color w:val="404040" w:themeColor="text1" w:themeTint="BF"/>
    </w:rPr>
  </w:style>
  <w:style w:type="paragraph" w:styleId="PargrafodaLista">
    <w:name w:val="List Paragraph"/>
    <w:basedOn w:val="Normal"/>
    <w:uiPriority w:val="34"/>
    <w:qFormat/>
    <w:rsid w:val="00A46262"/>
    <w:pPr>
      <w:spacing w:after="160" w:line="278" w:lineRule="auto"/>
      <w:ind w:left="720"/>
      <w:contextualSpacing/>
    </w:pPr>
    <w:rPr>
      <w:rFonts w:asciiTheme="minorHAnsi" w:eastAsiaTheme="minorHAnsi" w:hAnsiTheme="minorHAnsi" w:cstheme="minorBidi"/>
      <w:kern w:val="2"/>
      <w:szCs w:val="24"/>
      <w14:ligatures w14:val="standardContextual"/>
    </w:rPr>
  </w:style>
  <w:style w:type="character" w:styleId="nfaseIntensa">
    <w:name w:val="Intense Emphasis"/>
    <w:basedOn w:val="Fontepargpadro"/>
    <w:uiPriority w:val="21"/>
    <w:qFormat/>
    <w:rsid w:val="00A46262"/>
    <w:rPr>
      <w:i/>
      <w:iCs/>
      <w:color w:val="0F4761" w:themeColor="accent1" w:themeShade="BF"/>
    </w:rPr>
  </w:style>
  <w:style w:type="paragraph" w:styleId="CitaoIntensa">
    <w:name w:val="Intense Quote"/>
    <w:basedOn w:val="Normal"/>
    <w:next w:val="Normal"/>
    <w:link w:val="CitaoIntensaChar"/>
    <w:uiPriority w:val="30"/>
    <w:qFormat/>
    <w:rsid w:val="00A4626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Cs w:val="24"/>
      <w14:ligatures w14:val="standardContextual"/>
    </w:rPr>
  </w:style>
  <w:style w:type="character" w:customStyle="1" w:styleId="CitaoIntensaChar">
    <w:name w:val="Citação Intensa Char"/>
    <w:basedOn w:val="Fontepargpadro"/>
    <w:link w:val="CitaoIntensa"/>
    <w:uiPriority w:val="30"/>
    <w:rsid w:val="00A46262"/>
    <w:rPr>
      <w:i/>
      <w:iCs/>
      <w:color w:val="0F4761" w:themeColor="accent1" w:themeShade="BF"/>
    </w:rPr>
  </w:style>
  <w:style w:type="character" w:styleId="RefernciaIntensa">
    <w:name w:val="Intense Reference"/>
    <w:basedOn w:val="Fontepargpadro"/>
    <w:uiPriority w:val="32"/>
    <w:qFormat/>
    <w:rsid w:val="00A46262"/>
    <w:rPr>
      <w:b/>
      <w:bCs/>
      <w:smallCaps/>
      <w:color w:val="0F4761" w:themeColor="accent1" w:themeShade="BF"/>
      <w:spacing w:val="5"/>
    </w:rPr>
  </w:style>
  <w:style w:type="paragraph" w:customStyle="1" w:styleId="TCU-Epgrafe">
    <w:name w:val="TCU - Epígrafe"/>
    <w:basedOn w:val="Normal"/>
    <w:rsid w:val="00A46262"/>
    <w:pPr>
      <w:ind w:left="2835"/>
      <w:jc w:val="both"/>
    </w:pPr>
    <w:rPr>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29</Pages>
  <Words>14087</Words>
  <Characters>76076</Characters>
  <Application>Microsoft Office Word</Application>
  <DocSecurity>0</DocSecurity>
  <Lines>633</Lines>
  <Paragraphs>179</Paragraphs>
  <ScaleCrop>false</ScaleCrop>
  <Company/>
  <LinksUpToDate>false</LinksUpToDate>
  <CharactersWithSpaces>89984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Barreto</dc:creator>
  <cp:keywords/>
  <dc:description/>
  <cp:lastModifiedBy>Jose Barreto</cp:lastModifiedBy>
  <cp:revision>2</cp:revision>
  <dcterms:created xsi:type="dcterms:W3CDTF">2026-09-10T21:12:00Z</dcterms:created>
  <dcterms:modified xsi:type="dcterms:W3CDTF">2026-09-10T21:14:00Z</dcterms:modified>
</cp:coreProperties>
</file>