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57A"/>
          <w:sz w:val="40"/>
        </w:rPr>
        <w:t>ROTEIRO COMPLETO DE ENTREVISTA</w:t>
      </w:r>
    </w:p>
    <w:p>
      <w:pPr>
        <w:jc w:val="center"/>
      </w:pPr>
      <w:r>
        <w:rPr>
          <w:b/>
          <w:color w:val="2E74B5"/>
          <w:sz w:val="28"/>
        </w:rPr>
        <w:t>Mestrado Profissional em Controle da Administração Pública</w:t>
      </w:r>
    </w:p>
    <w:p>
      <w:pPr>
        <w:jc w:val="center"/>
      </w:pPr>
      <w:r>
        <w:rPr>
          <w:color w:val="555555"/>
          <w:sz w:val="24"/>
        </w:rPr>
        <w:t>ISC/TCU — Processo Seletivo 2026</w:t>
      </w:r>
    </w:p>
    <w:p>
      <w:pPr>
        <w:jc w:val="center"/>
      </w:pPr>
      <w:r>
        <w:rPr>
          <w:b/>
          <w:sz w:val="26"/>
        </w:rPr>
        <w:t>Candidato: José de Castro Barreto Junior</w:t>
      </w:r>
    </w:p>
    <w:p/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SEÇÃO 0 — PROTOCOLO: ANTES DE COMEÇAR</w:t>
      </w:r>
    </w:p>
    <w:p>
      <w:pPr>
        <w:spacing w:before="240" w:after="80"/>
        <w:jc w:val="left"/>
      </w:pPr>
      <w:r>
        <w:rPr>
          <w:b/>
          <w:color w:val="2E74B5"/>
          <w:sz w:val="26"/>
        </w:rPr>
        <w:t>Pronome de Tratamento</w:t>
      </w:r>
    </w:p>
    <w:p>
      <w:pPr>
        <w:spacing w:after="80" w:line="320" w:lineRule="exact"/>
      </w:pPr>
      <w:r>
        <w:rPr>
          <w:b w:val="0"/>
          <w:i w:val="0"/>
          <w:sz w:val="22"/>
        </w:rPr>
        <w:t>O uso correto dos pronomes de tratamento é fundamental para causar boa impressão. Utilize as formas abaixo para cada membro da banca: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Ministros do TCU: </w:t>
      </w:r>
      <w:r>
        <w:rPr>
          <w:sz w:val="22"/>
        </w:rPr>
        <w:t>"Vossa Excelência" (V. Exa.) — em discurso direto: "Excelência"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Auditores Federais de Controle Externo (AFCE): </w:t>
      </w:r>
      <w:r>
        <w:rPr>
          <w:sz w:val="22"/>
        </w:rPr>
        <w:t>"Senhor" / "Senhora" — ex: "Senhor Auditor", "Senhora Auditora"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Professores / Doutores: </w:t>
      </w:r>
      <w:r>
        <w:rPr>
          <w:sz w:val="22"/>
        </w:rPr>
        <w:t>"Professor" / "Professora" — ou "Doutor" / "Doutora"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Forma segura universal: </w:t>
      </w:r>
      <w:r>
        <w:rPr>
          <w:sz w:val="22"/>
        </w:rPr>
        <w:t>"O senhor" / "A senhora" — funciona para qualquer membro sem risco de erro</w:t>
      </w:r>
    </w:p>
    <w:p/>
    <w:p>
      <w:pPr>
        <w:spacing w:after="80" w:line="320" w:lineRule="exact"/>
      </w:pPr>
      <w:r>
        <w:rPr>
          <w:b w:val="0"/>
          <w:i/>
          <w:sz w:val="22"/>
        </w:rPr>
        <w:t>⚠ NUNCA use: "você", "tu", "o/a doutor(a)" para Ministros (título errado), ou "Vossa Senhoria" (reservado a autoridades militares/policiais).</w:t>
      </w:r>
    </w:p>
    <w:p>
      <w:pPr>
        <w:spacing w:before="240" w:after="80"/>
        <w:jc w:val="left"/>
      </w:pPr>
      <w:r>
        <w:rPr>
          <w:b/>
          <w:color w:val="2E74B5"/>
          <w:sz w:val="26"/>
        </w:rPr>
        <w:t>Postura e Chegada</w:t>
      </w:r>
    </w:p>
    <w:p>
      <w:pPr>
        <w:pStyle w:val="ListBullet"/>
      </w:pPr>
      <w:r>
        <w:rPr>
          <w:sz w:val="22"/>
        </w:rPr>
        <w:t>Chegue 15–20 minutos antes. Traje formal (terno ou equivalente).</w:t>
      </w:r>
    </w:p>
    <w:p>
      <w:pPr>
        <w:pStyle w:val="ListBullet"/>
      </w:pPr>
      <w:r>
        <w:rPr>
          <w:sz w:val="22"/>
        </w:rPr>
        <w:t>Ao entrar: aguarde ser convidado a sentar. Diga: "Bom dia / Boa tarde, senhores. É uma honra estar diante desta banca."</w:t>
      </w:r>
    </w:p>
    <w:p>
      <w:pPr>
        <w:pStyle w:val="ListBullet"/>
      </w:pPr>
      <w:r>
        <w:rPr>
          <w:sz w:val="22"/>
        </w:rPr>
        <w:t>Mantenha contato visual com quem faz a pergunta; ao responder, distribua o olhar pelos demais membros.</w:t>
      </w:r>
    </w:p>
    <w:p>
      <w:pPr>
        <w:pStyle w:val="ListBullet"/>
      </w:pPr>
      <w:r>
        <w:rPr>
          <w:sz w:val="22"/>
        </w:rPr>
        <w:t>Fale com ritmo moderado. Pausa breve antes de responder demonstra maturidade.</w:t>
      </w:r>
    </w:p>
    <w:p>
      <w:pPr>
        <w:pStyle w:val="ListBullet"/>
      </w:pPr>
      <w:r>
        <w:rPr>
          <w:sz w:val="22"/>
        </w:rPr>
        <w:t>Não interrompa. Se não entender a pergunta, peça gentilmente: "O senhor poderia reformular a questão?"</w:t>
      </w:r>
    </w:p>
    <w:p>
      <w:pPr>
        <w:spacing w:before="240" w:after="80"/>
        <w:jc w:val="left"/>
      </w:pPr>
      <w:r>
        <w:rPr>
          <w:b/>
          <w:color w:val="2E74B5"/>
          <w:sz w:val="26"/>
        </w:rPr>
        <w:t>Abertura (antes da 1ª pergunta)</w:t>
      </w:r>
    </w:p>
    <w:p>
      <w:pPr>
        <w:spacing w:after="80" w:line="320" w:lineRule="exact"/>
        <w:ind w:left="576"/>
      </w:pPr>
      <w:r>
        <w:rPr>
          <w:b w:val="0"/>
          <w:i/>
          <w:sz w:val="22"/>
        </w:rPr>
        <w:t>Bom dia / Boa tarde, Excelências, senhores professores e auditores. É uma honra e um privilégio poder apresentar minha proposta de pesquisa a esta banca de tão elevado gabarito. Estou à disposição para as perguntas.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1 — APRESENTAÇÃO PROFISSIONAL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Experiência profissional e acadêmica (50 pontos)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Avaliar relevância da experiência para o mestrado e capacidade de síntese.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"Fale um pouco sobre você — sua trajetória profissional."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Sou engenheiro formado pelo Instituto Militar de Engenharia em 2001. Antes de ingressar na carreira federal, servi ao Exército Brasileiro por sete anos, o que me deu uma base sólida de disciplina, gestão de projetos e liderança em ambientes de alta complexidade.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Em 2009, ingressei na Controladoria-Geral da União como Auditor Federal de Finanças e Controle, onde atuo há mais de 15 anos. Ao longo dessa trajetória, ocupei posições de crescente responsabilidade: fui Diretor de Auditoria de Obras, Secretário-Executivo Substituto, e exerci funções equivalentes ao terceiro escalão ministerial.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No campo acadêmico e da docência, tenho me dedicado à área de controle de obras públicas: publiquei trabalhos sobre aplicação do SINAPI e SICRO em auditorias, ministrei capacitações sobre o tema, e participei de grupos técnicos que contribuíram para a padronização de metodologias de fiscalização.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Minha motivação para o mestrado é transformar essa experiência acumulada em conhecimento científico que possa ser replicado institucionalmente — e contribuir para que o controle público brasileiro se torne mais preditivo e menos reativo diante das falhas em grandes contratações.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Tempo ideal: 2 a 2,5 minutos. Não ultrapasse 3 minutos.</w:t>
      </w:r>
    </w:p>
    <w:p>
      <w:pPr>
        <w:pStyle w:val="ListBullet"/>
        <w:ind w:left="576"/>
      </w:pPr>
      <w:r>
        <w:rPr>
          <w:color w:val="663300"/>
          <w:sz w:val="20"/>
        </w:rPr>
        <w:t>Não liste cargos mecanicamente — conecte cada passo à evolução de competência.</w:t>
      </w:r>
    </w:p>
    <w:p>
      <w:pPr>
        <w:pStyle w:val="ListBullet"/>
        <w:ind w:left="576"/>
      </w:pPr>
      <w:r>
        <w:rPr>
          <w:color w:val="663300"/>
          <w:sz w:val="20"/>
        </w:rPr>
        <w:t>Termine sempre apontando para o futuro (motivação para o mestrado).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2 — APRESENTAÇÃO DO PRÉ-PROJETO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Domínio do tema (30 pts) + Viabilidade da proposta (20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se o candidato domina o próprio projeto e sabe explicá-lo com clareza.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"Apresente seu projeto de pesquisa."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Meu projeto propõe o desenvolvimento de um Framework de Auditoria Preventiva baseado em Inteligência Artificial para detectar assimetria de informação em anteprojetos de grandes obras públicas — com foco específico nas contratações integradas.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 problema central é que o modelo de contratação integrada, previsto na Lei 13.303/2016 e na Lei 14.133/2021, transfere ao contratado a responsabilidade pelo projeto executivo. Isso cria uma janela estrutural de assimetria de informação: o fornecedor conhece os custos reais e os riscos técnicos; o Estado não. O resultado são sobrepreços, aditivos não previstos e obras que se tornam elefantes brancos.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proposta aplica técnicas de Processamento de Linguagem Natural para analisar automaticamente os documentos de contratação — anteprojetos, memoriais descritivos, planilhas orçamentárias — cruzando-os com as tabelas SINAPI e SICRO. O sistema identifica padrões linguísticos e orçamentários que, historicamente, precedem irregularidades.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metodologia é o Design Science Research, que privilegia a produção de artefatos testáveis e com utilidade prática comprovada. O produto final será um artefato validado — um modelo de auditoria — aplicável a auditorias reais do TCU, CGU e demais órgãos de controle.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urgência deste tema foi reafirmada pelo Acórdão TCU nº 686/2026-Plenário, da relatoria do Ministro Bruno Dantas, que identificou sobrepreço de R$ 506,5 milhões na Ferrovia de Integração Oeste-Leste. Esse caso exemplifica exatamente a falha que meu framework busca detectar de forma preventiva.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Tempo ideal: 3 minutos. Estruture em: Problema → Solução → Método → Produto → Urgência.</w:t>
      </w:r>
    </w:p>
    <w:p>
      <w:pPr>
        <w:pStyle w:val="ListBullet"/>
        <w:ind w:left="576"/>
      </w:pPr>
      <w:r>
        <w:rPr>
          <w:color w:val="663300"/>
          <w:sz w:val="20"/>
        </w:rPr>
        <w:t>Sempre mencione o Acórdão 686/2026 — demonstra atualidade e relevância.</w:t>
      </w:r>
    </w:p>
    <w:p>
      <w:pPr>
        <w:pStyle w:val="ListBullet"/>
        <w:ind w:left="576"/>
      </w:pPr>
      <w:r>
        <w:rPr>
          <w:color w:val="663300"/>
          <w:sz w:val="20"/>
        </w:rPr>
        <w:t>Não use jargão excessivo. A banca quer entender, não ser impressionada por siglas.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3 — APLICAÇÃO PRÁTICA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Viabilidade da proposta (20 pts) + Domínio do tema (30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Avaliar se o projeto tem utilidade real ou é apenas teórico.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"Qual a aplicação prática do seu projeto? Como ele seria utilizado no dia a dia do controle público?"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 framework foi concebido para uso operacional direto — não como produto acadêmico que fica na prateleira.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Na prática, quando um órgão público lança uma licitação de grande obra em contratação integrada, o auditor alimenta o sistema com os documentos de contratação: o anteprojeto, o memorial descritivo e a planilha estimativa. O framework realiza três análises simultâneas: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Primeira: análise linguística do anteprojeto em busca de indefinições intencionais — termos vagos que abrem espaço para futuros aditivos. Segunda: análise orçamentária cruzando os quantitativos com SINAPI e SICRO para identificar desvios que podem indicar superfaturamento potencial. Terceira: identificação de padrões históricos — comparando o documento com uma base de contratos auditados anteriormente e que resultaram em irregularidades.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 resultado é um relatório de risco automatizado, que o auditor usa como ponto de partida para aprofundar a análise humana — não para substituí-la.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Um exemplo concreto: se o sistema fosse aplicado ao contrato da FIOL II antes da assinatura, os padrões de superfaturamento que geraram os R$ 506,5 milhões do Acórdão 686/2026 provavelmente teriam sido sinalizados como risco elevado, permitindo intervenção preventiva.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Portanto, a aplicação prática é direta: transformar auditoria reativa em auditoria preventiva, reduzindo o dano ao erário antes que ele ocorra.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Use o exemplo da FIOL II para concretizar — torna a resposta memorável.</w:t>
      </w:r>
    </w:p>
    <w:p>
      <w:pPr>
        <w:pStyle w:val="ListBullet"/>
        <w:ind w:left="576"/>
      </w:pPr>
      <w:r>
        <w:rPr>
          <w:color w:val="663300"/>
          <w:sz w:val="20"/>
        </w:rPr>
        <w:t>Enfatize que a IA auxilia o auditor, não o substitui — isso agrada bancas conservadoras.</w:t>
      </w:r>
    </w:p>
    <w:p>
      <w:pPr>
        <w:pStyle w:val="ListBullet"/>
        <w:ind w:left="576"/>
      </w:pPr>
      <w:r>
        <w:rPr>
          <w:color w:val="663300"/>
          <w:sz w:val="20"/>
        </w:rPr>
        <w:t>Se perguntarem sobre custos de implantação: mencione que as ferramentas de PLN são em grande parte open source (Python/spaCy/BERT), reduzindo custos.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4 — FUNDAMENTOS TEÓRICOS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Domínio do tema (30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profundidade do conhecimento acadêmico e coerência entre teoria e objeto.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"Qual a base teórica do seu projeto? Por que a teoria da assimetria de informação?"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Teoria da Assimetria de Informação tem raízes sólidas na Economia Institucional e foi premiada com o Nobel de Economia em 2001, concedido a George Akerlof, Michael Spence e Joseph Stiglitz.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Akerlof (1970) demonstrou no artigo "The Market for Lemons" que, quando uma parte tem mais informação que a outra, o mercado produz resultados ineficientes — e em casos extremos, colapsa. Arrow (1963) aplicou essa lógica ao setor público, identificando que relações entre Estado e fornecedores são particularmente vulneráveis à seleção adversa e ao risco moral. Williamson (1985) complementou com a Teoria dos Custos de Transação, mostrando como a especificidade dos ativos em contratos de infraestrutura amplifica esses problemas.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No contexto das contratações integradas, a assimetria é estrutural e intencional: a lei permite que o fornecedor elabore o projeto executivo — que é justamente o documento que define os custos reais. Isso inverte a posição informacional: quem deveria ser fiscalizado detém a informação que o fiscal precisaria para fiscalizar.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Meu framework usa IA para tentar equalizar essa assimetria — identificando automaticamente nos documentos os indícios de que o fornecedor está ocultando informação ou criando ambiguidades que serão exploradas em futuros aditivos.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coerência entre a teoria e a proposta de solução é, portanto, direta: a teoria explica por que o problema existe; o artefato propõe como detectá-lo antecipadamente.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Cite os autores com segurança: Akerlof (1970), Arrow (1963), Williamson (1985).</w:t>
      </w:r>
    </w:p>
    <w:p>
      <w:pPr>
        <w:pStyle w:val="ListBullet"/>
        <w:ind w:left="576"/>
      </w:pPr>
      <w:r>
        <w:rPr>
          <w:color w:val="663300"/>
          <w:sz w:val="20"/>
        </w:rPr>
        <w:t>Não é necessário entrar em equações — a banca quer compreensão conceitual.</w:t>
      </w:r>
    </w:p>
    <w:p>
      <w:pPr>
        <w:pStyle w:val="ListBullet"/>
        <w:ind w:left="576"/>
      </w:pPr>
      <w:r>
        <w:rPr>
          <w:color w:val="663300"/>
          <w:sz w:val="20"/>
        </w:rPr>
        <w:t>Se perguntarem sobre outras teorias: pode mencionar Principal-Agent Theory (Jensen &amp; Meckling, 1976).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5 — METODOLOGIA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Domínio do tema (30 pts) + Viabilidade da proposta (20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maturidade metodológica e coerência entre método e objetivo.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"Por que você escolheu o Design Science Research como metodologia?"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 Design Science Research — DSR — é a metodologia mais adequada quando o objetivo da pesquisa é produzir um artefato com utilidade prática comprovada, não apenas descrever ou explicar um fenômeno.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Hevner et al. (2004), no artigo seminal publicado no MIS Quarterly, estabeleceram os sete princípios do DSR para sistemas de informação. O que diferencia o DSR de uma pesquisa aplicada comum é o ciclo rigoroso de design, avaliação e refinamento — o artefato é testado iterativamente até demonstrar que resolve o problema para o qual foi criado.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No meu projeto, o problema é detectar assimetria de informação em anteprojetos. O artefato é o framework de auditoria. A validação ocorre em dois estágios: primeiro em casos históricos — contratos já auditados, onde já sabemos o resultado — para calibrar o modelo; depois em casos reais, em ambiente controlado, para verificar a aderência operacional.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alternativa seria uma pesquisa puramente descritiva ou experimental, mas elas não produziriam um produto utilizável ao final. Para o mestrado profissional, que tem compromisso com a transformação da prática institucional, o DSR é a escolha natural e mais coerente com o edital do ISC/TCU.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Além disso, o DSR tem precedentes consolidados em pesquisas de auditoria e controle: autores como Venable et al. (2016) e Gregor &amp; Hevner (2013) validaram sua aplicação em contextos muito próximos ao meu objeto de pesquisa.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Demonstre que conhece Hevner et al. (2004) — é a referência central do DSR.</w:t>
      </w:r>
    </w:p>
    <w:p>
      <w:pPr>
        <w:pStyle w:val="ListBullet"/>
        <w:ind w:left="576"/>
      </w:pPr>
      <w:r>
        <w:rPr>
          <w:color w:val="663300"/>
          <w:sz w:val="20"/>
        </w:rPr>
        <w:t>Enfatize o compromisso do mestrado PROFISSIONAL com produtos aplicáveis — isso conecta sua escolha ao perfil do programa.</w:t>
      </w:r>
    </w:p>
    <w:p>
      <w:pPr>
        <w:pStyle w:val="ListBullet"/>
        <w:ind w:left="576"/>
      </w:pPr>
      <w:r>
        <w:rPr>
          <w:color w:val="663300"/>
          <w:sz w:val="20"/>
        </w:rPr>
        <w:t>Evite entrar em detalhes excessivos sobre os ciclos do DSR a menos que perguntado.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6 — CONTRATAÇÃO INTEGRADA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Domínio do tema (30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domínio do direito das contratações públicas e dos riscos específicos do objeto.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"Por que seu projeto foca em contratação integrada especificamente? Quais os riscos particulares desse modelo?"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contratação integrada é o regime mais complexo e de maior risco dentro das modalidades de contratação pública brasileira, justamente porque concentra a assimetria de informação em seu ponto mais crítico: o projeto.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No regime tradicional — regido pela Lei 8.666/1993 e mantido como opção pela Lei 14.133/2021 — o Estado elabora o projeto básico com alto grau de detalhamento antes de licitar. O fornecedor concorre com base em quantitativos precisos. O controle é mais simples porque a informação está disponível.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Na contratação integrada, prevista originalmente no Regime Diferenciado de Contratações — RDC — e incorporada à Lei 13.303/2016 e 14.133/2021, o Estado fornece apenas um anteprojeto. O fornecedor elabora o projeto básico e o executivo, e depois constrói. Isso significa que o licitante vencedor definirá os próprios quantitativos e especificações técnicas — criando um incentivo estrutural para subdimensionar custos na proposta e recuperá-los em aditivos posteriores.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Os riscos específicos são: sobrepreço embutido no anteprojeto vago; aditivos de escopo e prazo sistematicamente subestimados na fase de licitação; e a dificuldade do órgão contratante de contestar o projeto executivo que não elaborou.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 Acórdão 686/2026 e o Acórdão 2.429/2024, ambos do TCU, documentam casos concretos em que esses riscos se materializaram em bilhões de reais de prejuízo ao erário. Eles são a evidência empírica que sustenta a relevância do meu objeto de pesquisa.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Domine a diferença entre contratação integrada e semi-integrada — podem perguntar.</w:t>
      </w:r>
    </w:p>
    <w:p>
      <w:pPr>
        <w:pStyle w:val="ListBullet"/>
        <w:ind w:left="576"/>
      </w:pPr>
      <w:r>
        <w:rPr>
          <w:color w:val="663300"/>
          <w:sz w:val="20"/>
        </w:rPr>
        <w:t>Mencione a Lei 14.133/2021 (Nova Lei de Licitações) — demonstra atualização legislativa.</w:t>
      </w:r>
    </w:p>
    <w:p>
      <w:pPr>
        <w:pStyle w:val="ListBullet"/>
        <w:ind w:left="576"/>
      </w:pPr>
      <w:r>
        <w:rPr>
          <w:color w:val="663300"/>
          <w:sz w:val="20"/>
        </w:rPr>
        <w:t>Os dois acórdãos são seus âncoras de credibilidade — use-os sempre que relevante.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7 — INTELIGÊNCIA ARTIFICIAL E PLN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Domínio do tema (30 pts) + Viabilidade da proposta (20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se o candidato domina tecnicamente a proposta ou apenas usa IA como palavra da moda.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"Como exatamente a Inteligência Artificial seria aplicada? Quais técnicas e por quê?"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proposta utiliza técnicas de Processamento de Linguagem Natural — PLN — aplicadas a documentos textuais de contratação. Não é IA genérica: são técnicas específicas, escolhidas pela natureza do problema.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Para análise dos anteprojetos, utilizarei modelos de reconhecimento de entidades nomeadas e análise de sentimento negativo — identificando termos que denotam indefinição, como "a critério do contratado", "conforme necessidade", "a ser definido no projeto executivo" — expressões que historicamente antecedem conflitos de escopo.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Para análise orçamentária, utilizarei algoritmos de comparação semântica e extração de quantitativos, cruzando os dados extraídos dos documentos com as tabelas SINAPI — Sistema Nacional de Pesquisa de Custos e Índices da Construção Civil — e SICRO — Sistema de Custos Referenciais de Obras. Desvios estatisticamente significativos em relação às referências oficiais são sinalizados como risco.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Para a classificação de risco, utilizarei modelos de aprendizado supervisionado treinados em um corpus de contratos auditados pelo TCU e CGU, onde o resultado — irregular ou regular — é conhecido. O modelo aprende os padrões que precederam irregularidades e os aplica a novos documentos.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As ferramentas são majoritariamente open source: Python com bibliotecas spaCy e Hugging Face Transformers para PLN; scikit-learn para aprendizado de máquina; e modelos de linguagem pré-treinados em português, como o BERTimbau, ajustados para o domínio jurídico-técnico.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vantagem desse conjunto é que reduz o custo de implantação e facilita a adoção por órgãos públicos com restrições orçamentárias.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Se a banca não for técnica em IA: enfatize o resultado (detecção de risco), não o processo.</w:t>
      </w:r>
    </w:p>
    <w:p>
      <w:pPr>
        <w:pStyle w:val="ListBullet"/>
        <w:ind w:left="576"/>
      </w:pPr>
      <w:r>
        <w:rPr>
          <w:color w:val="663300"/>
          <w:sz w:val="20"/>
        </w:rPr>
        <w:t>Se houver especialista técnico na banca: esteja pronto para falar de overfitting, viés de dados de treinamento, e métricas de avaliação (precisão, recall, F1).</w:t>
      </w:r>
    </w:p>
    <w:p>
      <w:pPr>
        <w:pStyle w:val="ListBullet"/>
        <w:ind w:left="576"/>
      </w:pPr>
      <w:r>
        <w:rPr>
          <w:color w:val="663300"/>
          <w:sz w:val="20"/>
        </w:rPr>
        <w:t>Mencione BERTimbau — modelo BERT em português — demonstra que você pesquisou soluções específicas para o contexto nacional.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8 — DISPONIBILIDADE E COMPROMETIMENTO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Experiência profissional e acadêmica (50 pts) — subfator comprometimento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se o candidato tem condições reais de concluir o curso.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"Você tem disponibilidade para o mestrado? Há impedimento do seu órgão?"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Sim, tenho plena disponibilidade e o apoio formal do meu órgão.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Quanto à disponibilidade de tempo: ao longo dos meus 15 anos na CGU, conciliei funções de alta demanda com estudo, docência e produção técnica. Ministrei capacitações e publiquei trabalhos em paralelo às minhas responsabilidades de gestão. Tenho disciplina e método para gerir múltiplas demandas — e a experiência comprova isso.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Quanto ao apoio institucional: a CGU tem interesse direto nos temas de controle de obras e adoção de tecnologia na auditoria pública. O meu projeto está alinhado com prioridades estratégicas do órgão. Já conversei com minha chefia imediata e há receptividade à minha participação no programa.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Devo mencionar também que o próprio mestrado profissional do ISC/TCU foi desenhado para servidores em atividade — o formato das aulas e a natureza aplicada das pesquisas reconhecem essa realidade. Isso me dá confiança de que o programa e minha situação são compatíveis.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Estou ciente de que o mestrado exige comprometimento sério. Tenho maturidade profissional e motivação genuína para concluí-lo com qualidade.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Não mencione dificuldades de agenda sem apresentar imediatamente a solução.</w:t>
      </w:r>
    </w:p>
    <w:p>
      <w:pPr>
        <w:pStyle w:val="ListBullet"/>
        <w:ind w:left="576"/>
      </w:pPr>
      <w:r>
        <w:rPr>
          <w:color w:val="663300"/>
          <w:sz w:val="20"/>
        </w:rPr>
        <w:t>Se perguntarem sobre afastamento formal (licença para capacitação): informe que está avaliando as opções administrativas disponíveis conforme a Lei 8.112/1990.</w:t>
      </w:r>
    </w:p>
    <w:p>
      <w:pPr>
        <w:pStyle w:val="ListBullet"/>
        <w:ind w:left="576"/>
      </w:pPr>
      <w:r>
        <w:rPr>
          <w:color w:val="663300"/>
          <w:sz w:val="20"/>
        </w:rPr>
        <w:t>Seja genuíno — a banca percebe respostas ensaiadas demais. Use suas próprias palavras.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PERGUNTA 9 — CONTRIBUIÇÃO AO CAMPO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Critério avaliado: </w:t>
      </w:r>
      <w:r>
        <w:rPr>
          <w:sz w:val="22"/>
        </w:rPr>
        <w:t>Domínio do tema (30 pts) + Viabilidade da proposta (20 pts)</w:t>
      </w:r>
    </w:p>
    <w:p>
      <w:pPr>
        <w:spacing w:after="60"/>
        <w:ind w:left="288"/>
      </w:pPr>
      <w:r>
        <w:rPr>
          <w:b/>
          <w:color w:val="2E74B5"/>
          <w:sz w:val="22"/>
        </w:rPr>
        <w:t xml:space="preserve">▶ Objetivo da banca: </w:t>
      </w:r>
      <w:r>
        <w:rPr>
          <w:sz w:val="22"/>
        </w:rPr>
        <w:t>Verificar se o projeto tem originalidade e potencial de impacto.</w:t>
      </w:r>
    </w:p>
    <w:p>
      <w:pPr>
        <w:spacing w:before="120" w:after="120"/>
      </w:pPr>
      <w:r>
        <w:rPr>
          <w:b/>
          <w:i/>
          <w:color w:val="4A4A4A"/>
          <w:sz w:val="24"/>
        </w:rPr>
        <w:t>❓ "Qual a contribuição original do seu projeto para o campo do controle público?"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Resposta Ideal: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O projeto tem três contribuições originais que o diferenciam do que já existe na literatura.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primeira é a integração inédita entre teoria econômica da assimetria de informação e técnicas de Processamento de Linguagem Natural aplicadas especificamente ao domínio das contratações integradas no direito brasileiro. Não há, até onde minha revisão de literatura identificou, framework similar desenvolvido para o contexto institucional e normativo do Brasil.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segunda é a produção de um artefato validado — não apenas um modelo teórico. O framework será testado em casos reais, com métricas de desempenho mensuráveis. Isso significa que ao final do mestrado existirá um produto que pode ser adotado imediatamente por órgãos de controle.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A terceira é a democratização do conhecimento especializado em auditoria de obras. Hoje, identificar assimetria de informação em anteprojetos exige um auditor experiente com domínio técnico de engenharia e jurídico-contratual — um perfil escasso. O framework permite que auditores com menos experiência específica realizem uma triagem de risco de qualidade, ampliando a capacidade de controle sem necessidade proporcional de ampliação do quadro.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Em termos de impacto potencial: se o framework reduzir em apenas 10% o sobrepreço em obras que passam por contratação integrada, o retorno para o erário seria de bilhões de reais anuais — dado o volume de contratos nessa modalidade no Brasil.</w:t>
      </w:r>
    </w:p>
    <w:p>
      <w:pPr>
        <w:spacing w:after="80" w:line="320" w:lineRule="exact"/>
        <w:ind w:left="576"/>
      </w:pPr>
      <w:r>
        <w:rPr>
          <w:b w:val="0"/>
          <w:i w:val="0"/>
          <w:sz w:val="22"/>
        </w:rPr>
        <w:t>É uma contribuição que conecta ciência e prática, teoria e utilidade — que é exatamente o propósito de um mestrado profissional.</w:t>
      </w:r>
    </w:p>
    <w:p>
      <w:pPr>
        <w:spacing w:before="240" w:after="80"/>
        <w:jc w:val="left"/>
      </w:pPr>
      <w:r>
        <w:rPr>
          <w:b/>
          <w:color w:val="1F457A"/>
          <w:sz w:val="24"/>
        </w:rPr>
        <w:t>Pontos de Atenção:</w:t>
      </w:r>
    </w:p>
    <w:p>
      <w:pPr>
        <w:pStyle w:val="ListBullet"/>
        <w:ind w:left="576"/>
      </w:pPr>
      <w:r>
        <w:rPr>
          <w:color w:val="663300"/>
          <w:sz w:val="20"/>
        </w:rPr>
        <w:t>Esta resposta é sua grande síntese. Entregue-a com convicção.</w:t>
      </w:r>
    </w:p>
    <w:p>
      <w:pPr>
        <w:pStyle w:val="ListBullet"/>
        <w:ind w:left="576"/>
      </w:pPr>
      <w:r>
        <w:rPr>
          <w:color w:val="663300"/>
          <w:sz w:val="20"/>
        </w:rPr>
        <w:t>A frase sobre democratização do conhecimento especializado costuma causar impacto positivo em bancas.</w:t>
      </w:r>
    </w:p>
    <w:p>
      <w:pPr>
        <w:pStyle w:val="ListBullet"/>
        <w:ind w:left="576"/>
      </w:pPr>
      <w:r>
        <w:rPr>
          <w:color w:val="663300"/>
          <w:sz w:val="20"/>
        </w:rPr>
        <w:t>Se perguntarem sobre lacunas ou limitações: admita honestamente — dependência de corpus de treinamento, necessidade de atualização contínua das tabelas SINAPI/SICRO.</w:t>
      </w:r>
    </w:p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TABELA ESTRATÉGICA — RESUMO</w:t>
      </w:r>
    </w:p>
    <w:p>
      <w:pPr>
        <w:spacing w:after="80" w:line="320" w:lineRule="exact"/>
      </w:pPr>
      <w:r>
        <w:rPr>
          <w:b w:val="0"/>
          <w:i w:val="0"/>
          <w:sz w:val="22"/>
        </w:rPr>
        <w:t>Use esta tabela para revisão rápida na véspera da entrevista: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457A" w:color="auto" w:val="clear"/>
          </w:tcPr>
          <w:p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2196"/>
            <w:shd w:fill="1F457A" w:color="auto" w:val="clear"/>
          </w:tcPr>
          <w:p>
            <w:r>
              <w:rPr>
                <w:b/>
                <w:color w:val="FFFFFF"/>
                <w:sz w:val="20"/>
              </w:rPr>
              <w:t>Critério (peso)</w:t>
            </w:r>
          </w:p>
        </w:tc>
        <w:tc>
          <w:tcPr>
            <w:tcW w:type="dxa" w:w="2196"/>
            <w:shd w:fill="1F457A" w:color="auto" w:val="clear"/>
          </w:tcPr>
          <w:p>
            <w:r>
              <w:rPr>
                <w:b/>
                <w:color w:val="FFFFFF"/>
                <w:sz w:val="20"/>
              </w:rPr>
              <w:t>Palavras-chave obrigatórias</w:t>
            </w:r>
          </w:p>
        </w:tc>
        <w:tc>
          <w:tcPr>
            <w:tcW w:type="dxa" w:w="2196"/>
            <w:shd w:fill="1F457A" w:color="auto" w:val="clear"/>
          </w:tcPr>
          <w:p>
            <w:r>
              <w:rPr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1. Trajetória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Experiência (50%)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IME, Exército, CGU, gestão, docência, SINAPI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2–2,5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2. Pré-projeto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Domínio (30%) + Viab. (20%)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Assimetria, PLN, SINAPI, SICRO, DSR, Acórdão 686/2026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3. Aplicação prática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Viabilidade (20%)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Relatório de risco, FIOL II, preventivo vs. reativo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4. Base teórica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Domínio (30%)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Akerlof, Arrow, Williamson, seleção adversa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1,5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5. Metodologia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Domínio (30%) + Viab. (20%)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DSR, Hevner, artefato, validação, mestrado profissional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6. Contratação integrada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Domínio (30%)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Lei 13.303, Lei 14.133, anteprojeto, aditivos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7. IA/PLN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Domínio (30%) + Viab. (20%)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PLN, NER, BERT, BERTimbau, SINAPI cruzamento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8. Disponibilidade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Experiência (50%)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Apoio CGU, disciplina, conciliação, maturidade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9. Contribuição original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Domínio (30%) + Viab. (20%)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Inédito, artefato validado, democratização, impacto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min</w:t>
            </w:r>
          </w:p>
        </w:tc>
      </w:tr>
    </w:tbl>
    <w:p/>
    <w:p>
      <w:pPr>
        <w:spacing w:before="40" w:after="40"/>
      </w:pPr>
      <w:r>
        <w:rPr>
          <w:color w:val="BDBDBD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  <w:jc w:val="left"/>
      </w:pPr>
      <w:r>
        <w:rPr>
          <w:b/>
          <w:color w:val="1F457A"/>
          <w:sz w:val="32"/>
        </w:rPr>
        <w:t>ENCERRAMENTO DA ENTREVISTA</w:t>
      </w:r>
    </w:p>
    <w:p>
      <w:pPr>
        <w:spacing w:before="240" w:after="80"/>
        <w:jc w:val="left"/>
      </w:pPr>
      <w:r>
        <w:rPr>
          <w:b/>
          <w:color w:val="2E74B5"/>
          <w:sz w:val="26"/>
        </w:rPr>
        <w:t>Frase de Encerramento:</w:t>
      </w:r>
    </w:p>
    <w:p>
      <w:pPr>
        <w:spacing w:after="80" w:line="320" w:lineRule="exact"/>
        <w:ind w:left="576"/>
      </w:pPr>
      <w:r>
        <w:rPr>
          <w:b w:val="0"/>
          <w:i/>
          <w:sz w:val="22"/>
        </w:rPr>
        <w:t>Senhores, quero agradecer imensamente a oportunidade e a atenção dispensada. Esta entrevista reforçou minha convicção de que o ISC/TCU é o ambiente ideal para transformar minha experiência acumulada em conhecimento científico de utilidade pública. Fico à disposição para qualquer esclarecimento adicional. Muito obrigado.</w:t>
      </w:r>
    </w:p>
    <w:p>
      <w:pPr>
        <w:spacing w:before="240" w:after="80"/>
        <w:jc w:val="left"/>
      </w:pPr>
      <w:r>
        <w:rPr>
          <w:b/>
          <w:color w:val="2E74B5"/>
          <w:sz w:val="26"/>
        </w:rPr>
        <w:t>Lembrete Final:</w:t>
      </w:r>
    </w:p>
    <w:p>
      <w:pPr>
        <w:pStyle w:val="ListBullet"/>
      </w:pPr>
      <w:r>
        <w:rPr>
          <w:sz w:val="22"/>
        </w:rPr>
        <w:t>Ao sair: cumprimente individualmente se houver oportunidade. "Muito obrigado, senhor / senhora."</w:t>
      </w:r>
    </w:p>
    <w:p>
      <w:pPr>
        <w:pStyle w:val="ListBullet"/>
      </w:pPr>
      <w:r>
        <w:rPr>
          <w:sz w:val="22"/>
        </w:rPr>
        <w:t>Não demonstre ansiedade após a saída — corredores e áreas comuns ainda são visíveis.</w:t>
      </w:r>
    </w:p>
    <w:p>
      <w:pPr>
        <w:pStyle w:val="ListBullet"/>
      </w:pPr>
      <w:r>
        <w:rPr>
          <w:sz w:val="22"/>
        </w:rPr>
        <w:t>Você foi aprovado nas 3 fases anteriores por mérito. A entrevista é sua oportunidade de confirmar o que o papel já mostrou.</w:t>
      </w:r>
    </w:p>
    <w:p/>
    <w:p>
      <w:pPr>
        <w:jc w:val="center"/>
      </w:pPr>
      <w:r>
        <w:rPr>
          <w:b/>
          <w:i/>
          <w:color w:val="1F457A"/>
          <w:sz w:val="24"/>
        </w:rPr>
        <w:t>Boa sorte, José. O preparo é a melhor forma de controlar o que pode ser controlado.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