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Concepção Integrada da Pesquisa e do PTT</w:t>
      </w:r>
    </w:p>
    <w:p>
      <w:pPr>
        <w:pBdr>
          <w:bottom w:val="single" w:color="1F3864" w:sz="12" w:space="6"/>
        </w:pBdr>
        <w:spacing w:after="160"/>
        <w:jc w:val="center"/>
      </w:pPr>
      <w:r>
        <w:rPr>
          <w:i/>
          <w:iCs/>
          <w:color w:val="555555"/>
          <w:sz w:val="20"/>
          <w:szCs w:val="20"/>
        </w:rPr>
        <w:t xml:space="preserve">Mestrado Profissional em Controle da Administração Pública — ISC/TCU · Metodologia Científica</w:t>
      </w:r>
    </w:p>
    <w:p>
      <w:pPr>
        <w:spacing w:after="60"/>
        <w:jc w:val="both"/>
      </w:pPr>
      <w:r>
        <w:rPr>
          <w:b/>
          <w:bCs/>
          <w:color w:val="2E5496"/>
          <w:sz w:val="22"/>
          <w:szCs w:val="22"/>
        </w:rPr>
        <w:t xml:space="preserve">Discente: </w:t>
      </w:r>
      <w:r>
        <w:rPr>
          <w:sz w:val="22"/>
          <w:szCs w:val="22"/>
        </w:rPr>
        <w:t xml:space="preserve">José de Castro Barreto Junior — Controladoria-Geral da União (CGU)</w:t>
      </w:r>
    </w:p>
    <w:p>
      <w:pPr>
        <w:spacing w:after="60"/>
        <w:jc w:val="both"/>
      </w:pPr>
      <w:r>
        <w:rPr>
          <w:b/>
          <w:bCs/>
          <w:color w:val="2E5496"/>
          <w:sz w:val="22"/>
          <w:szCs w:val="22"/>
        </w:rPr>
        <w:t xml:space="preserve">Linha de Atuação: </w:t>
      </w:r>
      <w:r>
        <w:rPr>
          <w:sz w:val="22"/>
          <w:szCs w:val="22"/>
        </w:rPr>
        <w:t xml:space="preserve">Linha 2 — Tecnologias para Inovação do Controle e da Gestão Pública</w:t>
      </w:r>
    </w:p>
    <w:p>
      <w:pPr>
        <w:spacing w:after="60"/>
        <w:jc w:val="both"/>
      </w:pPr>
      <w:r>
        <w:rPr>
          <w:b/>
          <w:bCs/>
          <w:color w:val="2E5496"/>
          <w:sz w:val="22"/>
          <w:szCs w:val="22"/>
        </w:rPr>
        <w:t xml:space="preserve">Projeto de referência: </w:t>
      </w:r>
      <w:r>
        <w:rPr>
          <w:sz w:val="22"/>
          <w:szCs w:val="22"/>
        </w:rPr>
        <w:t xml:space="preserve">Framework de Auditoria Preventiva Baseado em IA para Detecção de Assimetria de Informação em Anteprojetos de Grandes Obras Públicas (Processo Seletivo 1/2026)</w:t>
      </w:r>
    </w:p>
    <w:p>
      <w:pPr>
        <w:pStyle w:val="Heading1"/>
        <w:pBdr>
          <w:bottom w:val="single" w:color="2E5496" w:sz="10" w:space="4"/>
        </w:pBdr>
        <w:spacing w:after="140" w:before="280"/>
      </w:pPr>
      <w:r>
        <w:rPr>
          <w:b/>
          <w:bCs/>
          <w:color w:val="1F3864"/>
          <w:sz w:val="28"/>
          <w:szCs w:val="28"/>
        </w:rPr>
        <w:t xml:space="preserve">Parte I — Proposta de Pesquisa</w:t>
      </w:r>
    </w:p>
    <w:p>
      <w:pPr>
        <w:pStyle w:val="Heading2"/>
        <w:spacing w:after="90" w:before="220"/>
      </w:pPr>
      <w:r>
        <w:rPr>
          <w:b/>
          <w:bCs/>
          <w:color w:val="2E5496"/>
          <w:sz w:val="24"/>
          <w:szCs w:val="24"/>
        </w:rPr>
        <w:t xml:space="preserve">1. Qual o tema (assunto) mais abrangente da pesquisa?</w:t>
      </w:r>
    </w:p>
    <w:p>
      <w:pPr>
        <w:spacing w:after="120" w:line="276"/>
        <w:jc w:val="both"/>
      </w:pPr>
      <w:r>
        <w:rPr>
          <w:sz w:val="22"/>
          <w:szCs w:val="22"/>
        </w:rPr>
        <w:t xml:space="preserve">O uso de tecnologias de Inteligência Artificial (IA) e Processamento de Linguagem Natural (PLN) no controle preventivo de obras públicas, mais especificamente a aplicação dessas tecnologias para detectar e mitigar assimetrias de informação em documentos técnicos da fase pré-licitatória de grandes obras contratadas pelo regime de contratação integrada. O tema situa-se na interseção entre controle governamental, economia da informação aplicada aos contratos administrativos e inovação tecnológica aplicada à auditoria.</w:t>
      </w:r>
    </w:p>
    <w:p>
      <w:pPr>
        <w:pStyle w:val="Heading2"/>
        <w:spacing w:after="90" w:before="220"/>
      </w:pPr>
      <w:r>
        <w:rPr>
          <w:b/>
          <w:bCs/>
          <w:color w:val="2E5496"/>
          <w:sz w:val="24"/>
          <w:szCs w:val="24"/>
        </w:rPr>
        <w:t xml:space="preserve">2. Problema a partir do qual será realizada a investigação científica</w:t>
      </w:r>
    </w:p>
    <w:p>
      <w:pPr>
        <w:spacing w:after="120" w:line="276"/>
        <w:jc w:val="both"/>
      </w:pPr>
      <w:r>
        <w:rPr>
          <w:sz w:val="22"/>
          <w:szCs w:val="22"/>
        </w:rPr>
        <w:t xml:space="preserve">No regime de contratação integrada (Leis nº 13.303/2016 e 14.133/2021), o poder público define o objeto por meio de anteprojeto de engenharia, transferindo ao vencedor do certame a elaboração dos projetos básico e executivo. Essa estrutura cria uma assimetria de informação estrutural: o contratado, detentor de conhecimento técnico especializado, pode explorar lacunas do anteprojeto (ausência de sondagens, falhas de dimensionamento de insumos, especificações inadequadas, inconformidade com tabelas referenciais) para viabilizar pleitos oportunistas de reequilíbrio econômico-financeiro.</w:t>
      </w:r>
    </w:p>
    <w:p>
      <w:pPr>
        <w:spacing w:after="120" w:line="276"/>
        <w:jc w:val="both"/>
      </w:pPr>
      <w:r>
        <w:rPr>
          <w:sz w:val="22"/>
          <w:szCs w:val="22"/>
        </w:rPr>
        <w:t xml:space="preserve">O problema é que o controle predominante é reativo, amostral e dependente da expertise individual do auditor, sendo frequentemente acionado quando a correção já é inviável — como demonstrou o Acórdão nº 686/2026-Plenário (TCU), no qual a irregularidade foi reconhecida, mas o certame já adjudicado não pôde ser suspenso (periculum in mora reverso). Falta aos órgãos de controle um instrumento sistemático, objetivo e replicável capaz de identificar essas assimetrias antes da licitação, quando a correção ainda produz efeito sem gerar dano superior à irregularidade.</w:t>
      </w:r>
    </w:p>
    <w:p>
      <w:pPr>
        <w:pStyle w:val="Heading2"/>
        <w:spacing w:after="90" w:before="220"/>
      </w:pPr>
      <w:r>
        <w:rPr>
          <w:b/>
          <w:bCs/>
          <w:color w:val="2E5496"/>
          <w:sz w:val="24"/>
          <w:szCs w:val="24"/>
        </w:rPr>
        <w:t xml:space="preserve">3. Quais os possíveis beneficiários da sua pesquisa?</w:t>
      </w:r>
    </w:p>
    <w:p>
      <w:pPr>
        <w:pStyle w:val="ListParagraph"/>
        <w:numPr>
          <w:ilvl w:val="0"/>
          <w:numId w:val="2"/>
        </w:numPr>
        <w:spacing w:after="70" w:line="270"/>
        <w:jc w:val="both"/>
      </w:pPr>
      <w:r>
        <w:rPr>
          <w:b/>
          <w:bCs/>
          <w:sz w:val="22"/>
          <w:szCs w:val="22"/>
        </w:rPr>
        <w:t xml:space="preserve">Órgãos de controle interno e externo</w:t>
      </w:r>
      <w:r>
        <w:rPr>
          <w:sz w:val="22"/>
          <w:szCs w:val="22"/>
        </w:rPr>
        <w:t xml:space="preserve"> — auditores da CGU e do TCU (usuários finais diretos do artefato);</w:t>
      </w:r>
    </w:p>
    <w:p>
      <w:pPr>
        <w:pStyle w:val="ListParagraph"/>
        <w:numPr>
          <w:ilvl w:val="0"/>
          <w:numId w:val="2"/>
        </w:numPr>
        <w:spacing w:after="70" w:line="270"/>
        <w:jc w:val="both"/>
      </w:pPr>
      <w:r>
        <w:rPr>
          <w:b/>
          <w:bCs/>
          <w:sz w:val="22"/>
          <w:szCs w:val="22"/>
        </w:rPr>
        <w:t xml:space="preserve">Órgãos e entidades contratantes</w:t>
      </w:r>
      <w:r>
        <w:rPr>
          <w:sz w:val="22"/>
          <w:szCs w:val="22"/>
        </w:rPr>
        <w:t xml:space="preserve"> (gestores executores de grandes obras), que podem corrigir anteprojetos antes do certame e reduzir aditivos;</w:t>
      </w:r>
    </w:p>
    <w:p>
      <w:pPr>
        <w:pStyle w:val="ListParagraph"/>
        <w:numPr>
          <w:ilvl w:val="0"/>
          <w:numId w:val="2"/>
        </w:numPr>
        <w:spacing w:after="70" w:line="270"/>
        <w:jc w:val="both"/>
      </w:pPr>
      <w:r>
        <w:rPr>
          <w:b/>
          <w:bCs/>
          <w:sz w:val="22"/>
          <w:szCs w:val="22"/>
        </w:rPr>
        <w:t xml:space="preserve">Equipes de TI dos órgãos de controle</w:t>
      </w:r>
      <w:r>
        <w:rPr>
          <w:sz w:val="22"/>
          <w:szCs w:val="22"/>
        </w:rPr>
        <w:t xml:space="preserve">, como parceiras de implementação/replicação da arquitetura;</w:t>
      </w:r>
    </w:p>
    <w:p>
      <w:pPr>
        <w:pStyle w:val="ListParagraph"/>
        <w:numPr>
          <w:ilvl w:val="0"/>
          <w:numId w:val="2"/>
        </w:numPr>
        <w:spacing w:after="70" w:line="270"/>
        <w:jc w:val="both"/>
      </w:pPr>
      <w:r>
        <w:rPr>
          <w:b/>
          <w:bCs/>
          <w:sz w:val="22"/>
          <w:szCs w:val="22"/>
        </w:rPr>
        <w:t xml:space="preserve">Gestores de programas de integridade</w:t>
      </w:r>
      <w:r>
        <w:rPr>
          <w:sz w:val="22"/>
          <w:szCs w:val="22"/>
        </w:rPr>
        <w:t xml:space="preserve"> (Decreto nº 12.304/2024), como usuários do painel de alertas e da matriz de riscos;</w:t>
      </w:r>
    </w:p>
    <w:p>
      <w:pPr>
        <w:pStyle w:val="ListParagraph"/>
        <w:numPr>
          <w:ilvl w:val="0"/>
          <w:numId w:val="2"/>
        </w:numPr>
        <w:spacing w:after="70" w:line="270"/>
        <w:jc w:val="both"/>
      </w:pPr>
      <w:r>
        <w:rPr>
          <w:b/>
          <w:bCs/>
          <w:sz w:val="22"/>
          <w:szCs w:val="22"/>
        </w:rPr>
        <w:t xml:space="preserve">O erário e o cidadão</w:t>
      </w:r>
      <w:r>
        <w:rPr>
          <w:sz w:val="22"/>
          <w:szCs w:val="22"/>
        </w:rPr>
        <w:t xml:space="preserve"> — destinatário final das políticas de infraestrutura —, pela maior economicidade e prevenção de desequilíbrios;</w:t>
      </w:r>
    </w:p>
    <w:p>
      <w:pPr>
        <w:pStyle w:val="ListParagraph"/>
        <w:numPr>
          <w:ilvl w:val="0"/>
          <w:numId w:val="2"/>
        </w:numPr>
        <w:spacing w:after="70" w:line="270"/>
        <w:jc w:val="both"/>
      </w:pPr>
      <w:r>
        <w:rPr>
          <w:b/>
          <w:bCs/>
          <w:sz w:val="22"/>
          <w:szCs w:val="22"/>
        </w:rPr>
        <w:t xml:space="preserve">Comunidade acadêmica e demais Tribunais de Contas</w:t>
      </w:r>
      <w:r>
        <w:rPr>
          <w:sz w:val="22"/>
          <w:szCs w:val="22"/>
        </w:rPr>
        <w:t xml:space="preserve">, pela replicabilidade do protocolo metodológico e do catálogo de indutores de assimetria.</w:t>
      </w:r>
    </w:p>
    <w:p>
      <w:pPr>
        <w:pStyle w:val="Heading2"/>
        <w:spacing w:after="90" w:before="220"/>
      </w:pPr>
      <w:r>
        <w:rPr>
          <w:b/>
          <w:bCs/>
          <w:color w:val="2E5496"/>
          <w:sz w:val="24"/>
          <w:szCs w:val="24"/>
        </w:rPr>
        <w:t xml:space="preserve">4. Qual seria a proposta de título para a pesquisa?</w:t>
      </w:r>
    </w:p>
    <w:p>
      <w:pPr>
        <w:spacing w:after="120" w:line="276"/>
        <w:jc w:val="both"/>
      </w:pPr>
      <w:r>
        <w:rPr>
          <w:b/>
          <w:bCs/>
          <w:sz w:val="22"/>
          <w:szCs w:val="22"/>
        </w:rPr>
        <w:t xml:space="preserve">Framework de Auditoria Preventiva Baseado em Inteligência Artificial para Detecção de Assimetria de Informação em Anteprojetos de Grandes Obras Públicas: Especificação e Validação no Contexto das Contratações Integradas.</w:t>
      </w:r>
    </w:p>
    <w:p>
      <w:pPr>
        <w:spacing w:after="120" w:line="276"/>
        <w:jc w:val="both"/>
      </w:pPr>
      <w:r>
        <w:rPr>
          <w:i/>
          <w:iCs/>
          <w:sz w:val="22"/>
          <w:szCs w:val="22"/>
        </w:rPr>
        <w:t xml:space="preserve">Título alternativo/sintético: </w:t>
      </w:r>
      <w:r>
        <w:rPr>
          <w:i/>
          <w:iCs/>
          <w:sz w:val="22"/>
          <w:szCs w:val="22"/>
        </w:rPr>
        <w:t xml:space="preserve">“Auditoria preventiva assistida por IA: detecção de assimetria de informação em anteprojetos de contratação integrada”.</w:t>
      </w:r>
    </w:p>
    <w:p>
      <w:pPr>
        <w:pStyle w:val="Heading1"/>
        <w:pBdr>
          <w:bottom w:val="single" w:color="2E5496" w:sz="10" w:space="4"/>
        </w:pBdr>
        <w:spacing w:after="140" w:before="280"/>
      </w:pPr>
      <w:r>
        <w:rPr>
          <w:b/>
          <w:bCs/>
          <w:color w:val="1F3864"/>
          <w:sz w:val="28"/>
          <w:szCs w:val="28"/>
        </w:rPr>
        <w:t xml:space="preserve">Parte II — Especificação da Pesquisa</w:t>
      </w:r>
    </w:p>
    <w:p>
      <w:pPr>
        <w:pStyle w:val="Heading2"/>
        <w:spacing w:after="90" w:before="220"/>
      </w:pPr>
      <w:r>
        <w:rPr>
          <w:b/>
          <w:bCs/>
          <w:color w:val="2E5496"/>
          <w:sz w:val="24"/>
          <w:szCs w:val="24"/>
        </w:rPr>
        <w:t xml:space="preserve">5. Qual seria a pergunta a ser respondida pela sua pesquisa?</w:t>
      </w:r>
    </w:p>
    <w:p>
      <w:pPr>
        <w:spacing w:after="120" w:line="276"/>
        <w:jc w:val="both"/>
      </w:pPr>
      <w:r>
        <w:rPr>
          <w:sz w:val="22"/>
          <w:szCs w:val="22"/>
        </w:rPr>
        <w:t xml:space="preserve">Como um framework baseado em Inteligência Artificial pode identificar e mitigar sistematicamente as assimetrias de informação em anteprojetos de grandes obras públicas, contribuindo para a prevenção de desequilíbrios contratuais (pleitos de reequilíbrio econômico-financeiro) nas contratações integradas?</w:t>
      </w:r>
    </w:p>
    <w:p>
      <w:pPr>
        <w:pStyle w:val="Heading2"/>
        <w:spacing w:after="90" w:before="220"/>
      </w:pPr>
      <w:r>
        <w:rPr>
          <w:b/>
          <w:bCs/>
          <w:color w:val="2E5496"/>
          <w:sz w:val="24"/>
          <w:szCs w:val="24"/>
        </w:rPr>
        <w:t xml:space="preserve">6. Pretende testar hipóteses na sua pesquisa? Qual(is) seria(m)?</w:t>
      </w:r>
    </w:p>
    <w:p>
      <w:pPr>
        <w:spacing w:after="120" w:line="276"/>
        <w:jc w:val="both"/>
      </w:pPr>
      <w:r>
        <w:rPr>
          <w:sz w:val="22"/>
          <w:szCs w:val="22"/>
        </w:rPr>
        <w:t xml:space="preserve">A pesquisa é de natureza aplicada e abordagem qualitativa, estruturada segundo o Design Science Research; nesse paradigma, o foco é a construção e avaliação de um artefato, e não o teste estatístico-confirmatório de hipóteses. Ainda assim, a investigação é orientada por proposições (ou hipóteses de trabalho) que podem ser avaliadas na fase de validação:</w:t>
      </w:r>
    </w:p>
    <w:p>
      <w:pPr>
        <w:pStyle w:val="ListParagraph"/>
        <w:numPr>
          <w:ilvl w:val="0"/>
          <w:numId w:val="2"/>
        </w:numPr>
        <w:spacing w:after="70" w:line="270"/>
        <w:jc w:val="both"/>
      </w:pPr>
      <w:r>
        <w:rPr>
          <w:b/>
          <w:bCs/>
          <w:sz w:val="22"/>
          <w:szCs w:val="22"/>
        </w:rPr>
        <w:t xml:space="preserve">H1 — </w:t>
      </w:r>
      <w:r>
        <w:rPr>
          <w:sz w:val="22"/>
          <w:szCs w:val="22"/>
        </w:rPr>
        <w:t xml:space="preserve">Os indutores de assimetria de informação recorrentes nos anteprojetos de contratação integrada podem ser codificados em um número finito de categorias objetivas e verificáveis (lacunas em projetos/sondagens; falhas de dimensionamento de insumos; inadequação de especificações técnicas/metodologias construtivas; inconformidade com SINAPI/SICRO).</w:t>
      </w:r>
    </w:p>
    <w:p>
      <w:pPr>
        <w:pStyle w:val="ListParagraph"/>
        <w:numPr>
          <w:ilvl w:val="0"/>
          <w:numId w:val="2"/>
        </w:numPr>
        <w:spacing w:after="70" w:line="270"/>
        <w:jc w:val="both"/>
      </w:pPr>
      <w:r>
        <w:rPr>
          <w:b/>
          <w:bCs/>
          <w:sz w:val="22"/>
          <w:szCs w:val="22"/>
        </w:rPr>
        <w:t xml:space="preserve">H2 — </w:t>
      </w:r>
      <w:r>
        <w:rPr>
          <w:sz w:val="22"/>
          <w:szCs w:val="22"/>
        </w:rPr>
        <w:t xml:space="preserve">Esses indutores, uma vez operacionalizados como regras algorítmicas apoiadas em PLN e cruzamento referencial, permitem sinalizar antecipadamente (na fase pré-licitatória) riscos que, retrospectivamente, correspondem a achados reais de auditoria.</w:t>
      </w:r>
    </w:p>
    <w:p>
      <w:pPr>
        <w:pStyle w:val="ListParagraph"/>
        <w:numPr>
          <w:ilvl w:val="0"/>
          <w:numId w:val="2"/>
        </w:numPr>
        <w:spacing w:after="70" w:line="270"/>
        <w:jc w:val="both"/>
      </w:pPr>
      <w:r>
        <w:rPr>
          <w:b/>
          <w:bCs/>
          <w:sz w:val="22"/>
          <w:szCs w:val="22"/>
        </w:rPr>
        <w:t xml:space="preserve">H3 — </w:t>
      </w:r>
      <w:r>
        <w:rPr>
          <w:sz w:val="22"/>
          <w:szCs w:val="22"/>
        </w:rPr>
        <w:t xml:space="preserve">A aplicação do framework a editais reais reproduz (triangula), de forma preventiva, achados que no mundo real só foram reconhecidos em fase reativa — demonstrando o ganho de tempestividade.</w:t>
      </w:r>
    </w:p>
    <w:p>
      <w:pPr>
        <w:pStyle w:val="Heading2"/>
        <w:spacing w:after="90" w:before="220"/>
      </w:pPr>
      <w:r>
        <w:rPr>
          <w:b/>
          <w:bCs/>
          <w:color w:val="2E5496"/>
          <w:sz w:val="24"/>
          <w:szCs w:val="24"/>
        </w:rPr>
        <w:t xml:space="preserve">7. Qual o propósito/objetivo principal da sua pesquisa?</w:t>
      </w:r>
    </w:p>
    <w:p>
      <w:pPr>
        <w:spacing w:after="120" w:line="276"/>
        <w:jc w:val="both"/>
      </w:pPr>
      <w:r>
        <w:rPr>
          <w:sz w:val="22"/>
          <w:szCs w:val="22"/>
        </w:rPr>
        <w:t xml:space="preserve">Projetar e especificar um framework de auditoria preventiva baseado em Inteligência Artificial para análise de conformidade técnica e econômica de anteprojetos de engenharia de obras de grande vulto, gerando especificação técnica e protótipo demonstrativo diretamente aplicáveis pelos órgãos de controle interno e externo da Administração Pública brasileira.</w:t>
      </w:r>
    </w:p>
    <w:p>
      <w:pPr>
        <w:pStyle w:val="Heading2"/>
        <w:spacing w:after="90" w:before="220"/>
      </w:pPr>
      <w:r>
        <w:rPr>
          <w:b/>
          <w:bCs/>
          <w:color w:val="2E5496"/>
          <w:sz w:val="24"/>
          <w:szCs w:val="24"/>
        </w:rPr>
        <w:t xml:space="preserve">8. Que objetivos específicos você pretende alcançar com a pesquisa?</w:t>
      </w:r>
    </w:p>
    <w:p>
      <w:pPr>
        <w:pStyle w:val="ListParagraph"/>
        <w:numPr>
          <w:ilvl w:val="0"/>
          <w:numId w:val="2"/>
        </w:numPr>
        <w:spacing w:after="70" w:line="270"/>
        <w:jc w:val="both"/>
      </w:pPr>
      <w:r>
        <w:rPr>
          <w:b/>
          <w:bCs/>
          <w:sz w:val="22"/>
          <w:szCs w:val="22"/>
        </w:rPr>
        <w:t xml:space="preserve">a) Mapear e sistematizar os indutores de assimetria de informação</w:t>
      </w:r>
      <w:r>
        <w:rPr>
          <w:sz w:val="22"/>
          <w:szCs w:val="22"/>
        </w:rPr>
        <w:t xml:space="preserve"> em anteprojetos, a partir da jurisprudência do TCU e dos relatórios de auditoria da CGU, com codificação temática em quatro categorias: (i) lacunas em projetos (geotecnia, sondagem); (ii) falhas de dimensionamento de insumos; (iii) inadequação de especificações técnicas e metodologias construtivas; (iv) inconformidade com as tabelas referenciais SINAPI/SICRO.</w:t>
      </w:r>
    </w:p>
    <w:p>
      <w:pPr>
        <w:pStyle w:val="ListParagraph"/>
        <w:numPr>
          <w:ilvl w:val="0"/>
          <w:numId w:val="2"/>
        </w:numPr>
        <w:spacing w:after="70" w:line="270"/>
        <w:jc w:val="both"/>
      </w:pPr>
      <w:r>
        <w:rPr>
          <w:b/>
          <w:bCs/>
          <w:sz w:val="22"/>
          <w:szCs w:val="22"/>
        </w:rPr>
        <w:t xml:space="preserve">b) Operacionalizar os parâmetros técnicos de verificação por tipologia construtiva</w:t>
      </w:r>
      <w:r>
        <w:rPr>
          <w:sz w:val="22"/>
          <w:szCs w:val="22"/>
        </w:rPr>
        <w:t xml:space="preserve"> — critérios de conformidade por categoria de serviço, requisitos mínimos de caracterização de fontes de materiais (jazidas, areais, pedreiras) e limiares de alerta para desvios frente às tabelas referenciais de preços.</w:t>
      </w:r>
    </w:p>
    <w:p>
      <w:pPr>
        <w:pStyle w:val="ListParagraph"/>
        <w:numPr>
          <w:ilvl w:val="0"/>
          <w:numId w:val="2"/>
        </w:numPr>
        <w:spacing w:after="70" w:line="270"/>
        <w:jc w:val="both"/>
      </w:pPr>
      <w:r>
        <w:rPr>
          <w:b/>
          <w:bCs/>
          <w:sz w:val="22"/>
          <w:szCs w:val="22"/>
        </w:rPr>
        <w:t xml:space="preserve">c) Projetar a arquitetura lógica do framework em três camadas funcionais</w:t>
      </w:r>
      <w:r>
        <w:rPr>
          <w:sz w:val="22"/>
          <w:szCs w:val="22"/>
        </w:rPr>
        <w:t xml:space="preserve">: (i) ingestão e normalização documental; (ii) motor de conformidade baseado em PLN com cruzamento SINAPI/SICRO; (iii) painel de alertas e relatório de riscos (demonstrativo).</w:t>
      </w:r>
    </w:p>
    <w:p>
      <w:pPr>
        <w:pStyle w:val="ListParagraph"/>
        <w:numPr>
          <w:ilvl w:val="0"/>
          <w:numId w:val="2"/>
        </w:numPr>
        <w:spacing w:after="70" w:line="270"/>
        <w:jc w:val="both"/>
      </w:pPr>
      <w:r>
        <w:rPr>
          <w:b/>
          <w:bCs/>
          <w:sz w:val="22"/>
          <w:szCs w:val="22"/>
        </w:rPr>
        <w:t xml:space="preserve">d) Validar o framework especificado</w:t>
      </w:r>
      <w:r>
        <w:rPr>
          <w:sz w:val="22"/>
          <w:szCs w:val="22"/>
        </w:rPr>
        <w:t xml:space="preserve"> mediante estudo de casos aplicado a três editais reais de obras de grande vulto (edificação, rodovia, ferrovia), com triangulação retrospectiva dos achados de auditoria e entrevistas semiestruturadas com especialistas.</w:t>
      </w:r>
    </w:p>
    <w:p>
      <w:pPr>
        <w:pStyle w:val="Heading1"/>
        <w:pBdr>
          <w:bottom w:val="single" w:color="2E5496" w:sz="10" w:space="4"/>
        </w:pBdr>
        <w:spacing w:after="140" w:before="280"/>
      </w:pPr>
      <w:r>
        <w:rPr>
          <w:b/>
          <w:bCs/>
          <w:color w:val="1F3864"/>
          <w:sz w:val="28"/>
          <w:szCs w:val="28"/>
        </w:rPr>
        <w:t xml:space="preserve">Parte III — Revisão de Literatura</w:t>
      </w:r>
    </w:p>
    <w:p>
      <w:pPr>
        <w:pStyle w:val="Heading2"/>
        <w:spacing w:after="90" w:before="220"/>
      </w:pPr>
      <w:r>
        <w:rPr>
          <w:b/>
          <w:bCs/>
          <w:color w:val="2E5496"/>
          <w:sz w:val="24"/>
          <w:szCs w:val="24"/>
        </w:rPr>
        <w:t xml:space="preserve">9. Que estudos anteriores poderiam estar relacionados ao seu tema/problema? (ao menos 2 fontes)</w:t>
      </w:r>
    </w:p>
    <w:p>
      <w:pPr>
        <w:pStyle w:val="ListParagraph"/>
        <w:numPr>
          <w:ilvl w:val="0"/>
          <w:numId w:val="2"/>
        </w:numPr>
        <w:spacing w:after="70" w:line="270"/>
        <w:jc w:val="both"/>
      </w:pPr>
      <w:r>
        <w:rPr>
          <w:b/>
          <w:bCs/>
          <w:sz w:val="22"/>
          <w:szCs w:val="22"/>
        </w:rPr>
        <w:t xml:space="preserve">AKERLOF, George A. (1970) — “The market for ‘lemons’…” </w:t>
      </w:r>
      <w:r>
        <w:rPr>
          <w:sz w:val="22"/>
          <w:szCs w:val="22"/>
        </w:rPr>
        <w:t xml:space="preserve">(The Quarterly Journal of Economics, v. 84, n. 3). Fundamento seminal da economia da informação: mercados com assimetria tendem à seleção adversa — fenômeno que o TCU nominou, no Voto do Acórdão 686/2026, como “assimetria de informações entre os licitantes”.</w:t>
      </w:r>
    </w:p>
    <w:p>
      <w:pPr>
        <w:pStyle w:val="ListParagraph"/>
        <w:numPr>
          <w:ilvl w:val="0"/>
          <w:numId w:val="2"/>
        </w:numPr>
        <w:spacing w:after="70" w:line="270"/>
        <w:jc w:val="both"/>
      </w:pPr>
      <w:r>
        <w:rPr>
          <w:b/>
          <w:bCs/>
          <w:sz w:val="22"/>
          <w:szCs w:val="22"/>
        </w:rPr>
        <w:t xml:space="preserve">HEVNER, Alan R. et al. (2004) — “Design science in information systems research” </w:t>
      </w:r>
      <w:r>
        <w:rPr>
          <w:sz w:val="22"/>
          <w:szCs w:val="22"/>
        </w:rPr>
        <w:t xml:space="preserve">(MIS Quarterly, v. 28, n. 1). Arcabouço metodológico (Design Science Research) que orienta a produção de conhecimento pela criação e avaliação de artefatos — base metodológica do framework e adequado ao mestrado profissional.</w:t>
      </w:r>
    </w:p>
    <w:p>
      <w:pPr>
        <w:pStyle w:val="ListParagraph"/>
        <w:numPr>
          <w:ilvl w:val="0"/>
          <w:numId w:val="2"/>
        </w:numPr>
        <w:spacing w:after="70" w:line="270"/>
        <w:jc w:val="both"/>
      </w:pPr>
      <w:r>
        <w:rPr>
          <w:b/>
          <w:bCs/>
          <w:sz w:val="22"/>
          <w:szCs w:val="22"/>
        </w:rPr>
        <w:t xml:space="preserve">WIRTZ, Bernd W. et al. (2019) — “Artificial intelligence in the public sector…” </w:t>
      </w:r>
      <w:r>
        <w:rPr>
          <w:sz w:val="22"/>
          <w:szCs w:val="22"/>
        </w:rPr>
        <w:t xml:space="preserve">(International Journal of Public Administration, v. 42, n. 7). Documenta a aplicação de IA/PLN em funções de fiscalização governamental.</w:t>
      </w:r>
    </w:p>
    <w:p>
      <w:pPr>
        <w:spacing w:after="120" w:line="276"/>
        <w:jc w:val="both"/>
      </w:pPr>
      <w:r>
        <w:rPr>
          <w:i/>
          <w:iCs/>
          <w:sz w:val="22"/>
          <w:szCs w:val="22"/>
        </w:rPr>
        <w:t xml:space="preserve">Referências complementares já levantadas: </w:t>
      </w:r>
      <w:r>
        <w:rPr>
          <w:i/>
          <w:iCs/>
          <w:sz w:val="20"/>
          <w:szCs w:val="20"/>
        </w:rPr>
        <w:t xml:space="preserve">Arrow (1963, risco moral); Stiglitz (2002, intervenção corretiva); Williamson (1985, custos de transação/contratos incompletos); Grimsey &amp; Lewis (2004, PPPs); Devlin et al. (2019, BERT/PLN); jurisprudência do TCU (Acórdãos 686/2026 e 2.429/2024); marcos normativos (Leis 13.303/2016 e 14.133/2021, Decreto 12.304/2024, Manual de Auditoria de Obras Públicas do TCU) e a Recommendation of the Council on AI da OCDE (2019).</w:t>
      </w:r>
    </w:p>
    <w:p>
      <w:pPr>
        <w:pStyle w:val="Heading2"/>
        <w:spacing w:after="90" w:before="220"/>
      </w:pPr>
      <w:r>
        <w:rPr>
          <w:b/>
          <w:bCs/>
          <w:color w:val="2E5496"/>
          <w:sz w:val="24"/>
          <w:szCs w:val="24"/>
        </w:rPr>
        <w:t xml:space="preserve">10. Conceitos, abordagens, autores ou referenciais úteis — e por quê</w:t>
      </w:r>
    </w:p>
    <w:p>
      <w:pPr>
        <w:spacing w:after="120" w:line="276"/>
        <w:jc w:val="both"/>
      </w:pPr>
      <w:r>
        <w:rPr>
          <w:sz w:val="22"/>
          <w:szCs w:val="22"/>
        </w:rPr>
        <w:t xml:space="preserve">A revisão organiza-se em quatro eixos:</w:t>
      </w:r>
    </w:p>
    <w:p>
      <w:pPr>
        <w:pStyle w:val="ListParagraph"/>
        <w:numPr>
          <w:ilvl w:val="0"/>
          <w:numId w:val="2"/>
        </w:numPr>
        <w:spacing w:after="70" w:line="270"/>
        <w:jc w:val="both"/>
      </w:pPr>
      <w:r>
        <w:rPr>
          <w:b/>
          <w:bCs/>
          <w:sz w:val="22"/>
          <w:szCs w:val="22"/>
        </w:rPr>
        <w:t xml:space="preserve">Economia da informação e dos contratos</w:t>
      </w:r>
      <w:r>
        <w:rPr>
          <w:sz w:val="22"/>
          <w:szCs w:val="22"/>
        </w:rPr>
        <w:t xml:space="preserve"> — Akerlof (seleção adversa), Arrow (risco moral), Stiglitz (intervenção corretiva) e Williamson (custos de transação/contratos incompletos), com Grimsey &amp; Lewis para infraestrutura. Por quê: explicam por que o anteprojeto deficiente gera comportamento oportunista e desequilíbrio — o que a jurisprudência descreve em linguagem econômica.</w:t>
      </w:r>
    </w:p>
    <w:p>
      <w:pPr>
        <w:pStyle w:val="ListParagraph"/>
        <w:numPr>
          <w:ilvl w:val="0"/>
          <w:numId w:val="2"/>
        </w:numPr>
        <w:spacing w:after="70" w:line="270"/>
        <w:jc w:val="both"/>
      </w:pPr>
      <w:r>
        <w:rPr>
          <w:b/>
          <w:bCs/>
          <w:sz w:val="22"/>
          <w:szCs w:val="22"/>
        </w:rPr>
        <w:t xml:space="preserve">Controle governamental, accountability e auditoria preventiva</w:t>
      </w:r>
      <w:r>
        <w:rPr>
          <w:sz w:val="22"/>
          <w:szCs w:val="22"/>
        </w:rPr>
        <w:t xml:space="preserve"> — relação principal-agente no setor público; distinção controle reativo × preventivo; momento pré-licitatório. Por quê: fundamenta que a correção eficaz ocorre antes da adjudicação (evitando o periculum in mora reverso do Acórdão 686/2026).</w:t>
      </w:r>
    </w:p>
    <w:p>
      <w:pPr>
        <w:pStyle w:val="ListParagraph"/>
        <w:numPr>
          <w:ilvl w:val="0"/>
          <w:numId w:val="2"/>
        </w:numPr>
        <w:spacing w:after="70" w:line="270"/>
        <w:jc w:val="both"/>
      </w:pPr>
      <w:r>
        <w:rPr>
          <w:b/>
          <w:bCs/>
          <w:sz w:val="22"/>
          <w:szCs w:val="22"/>
        </w:rPr>
        <w:t xml:space="preserve">Contratação integrada e grandes obras públicas</w:t>
      </w:r>
      <w:r>
        <w:rPr>
          <w:sz w:val="22"/>
          <w:szCs w:val="22"/>
        </w:rPr>
        <w:t xml:space="preserve"> — Leis 13.303/2016 e 14.133/2021; anteprojeto, precisão orçamentária, matriz de riscos e reequilíbrio; integridade (Decreto 12.304/2024). Por quê: delimita o objeto normativo e onde a assimetria se materializa.</w:t>
      </w:r>
    </w:p>
    <w:p>
      <w:pPr>
        <w:pStyle w:val="ListParagraph"/>
        <w:numPr>
          <w:ilvl w:val="0"/>
          <w:numId w:val="2"/>
        </w:numPr>
        <w:spacing w:after="70" w:line="270"/>
        <w:jc w:val="both"/>
      </w:pPr>
      <w:r>
        <w:rPr>
          <w:b/>
          <w:bCs/>
          <w:sz w:val="22"/>
          <w:szCs w:val="22"/>
        </w:rPr>
        <w:t xml:space="preserve">IA, PLN e Design Science Research aplicados ao controle</w:t>
      </w:r>
      <w:r>
        <w:rPr>
          <w:sz w:val="22"/>
          <w:szCs w:val="22"/>
        </w:rPr>
        <w:t xml:space="preserve"> — Wirtz et al. (IA no setor público), Devlin et al. (BERT/PLN) e Hevner et al. (DSR). Por quê: justificam a aplicabilidade da IA, a tecnologia de análise documental e o método de construção/validação do artefato.</w:t>
      </w:r>
    </w:p>
    <w:p>
      <w:pPr>
        <w:pStyle w:val="Heading1"/>
        <w:pBdr>
          <w:bottom w:val="single" w:color="2E5496" w:sz="10" w:space="4"/>
        </w:pBdr>
        <w:spacing w:after="140" w:before="280"/>
      </w:pPr>
      <w:r>
        <w:rPr>
          <w:b/>
          <w:bCs/>
          <w:color w:val="1F3864"/>
          <w:sz w:val="28"/>
          <w:szCs w:val="28"/>
        </w:rPr>
        <w:t xml:space="preserve">Parte IV — Evidências e Informações Necessárias</w:t>
      </w:r>
    </w:p>
    <w:p>
      <w:pPr>
        <w:pStyle w:val="Heading2"/>
        <w:spacing w:after="90" w:before="220"/>
      </w:pPr>
      <w:r>
        <w:rPr>
          <w:b/>
          <w:bCs/>
          <w:color w:val="2E5496"/>
          <w:sz w:val="24"/>
          <w:szCs w:val="24"/>
        </w:rPr>
        <w:t xml:space="preserve">11. Que dados/informações seriam necessários para sua pesquisa?</w:t>
      </w:r>
    </w:p>
    <w:p>
      <w:pPr>
        <w:pStyle w:val="ListParagraph"/>
        <w:numPr>
          <w:ilvl w:val="0"/>
          <w:numId w:val="2"/>
        </w:numPr>
        <w:spacing w:after="70" w:line="270"/>
        <w:jc w:val="both"/>
      </w:pPr>
      <w:r>
        <w:rPr>
          <w:sz w:val="22"/>
          <w:szCs w:val="22"/>
        </w:rPr>
        <w:t xml:space="preserve">Jurisprudência do TCU sobre contratação integrada e obras de grande vulto (2017–2026);</w:t>
      </w:r>
    </w:p>
    <w:p>
      <w:pPr>
        <w:pStyle w:val="ListParagraph"/>
        <w:numPr>
          <w:ilvl w:val="0"/>
          <w:numId w:val="2"/>
        </w:numPr>
        <w:spacing w:after="70" w:line="270"/>
        <w:jc w:val="both"/>
      </w:pPr>
      <w:r>
        <w:rPr>
          <w:sz w:val="22"/>
          <w:szCs w:val="22"/>
        </w:rPr>
        <w:t xml:space="preserve">Relatórios de auditoria da CGU sobre grandes obras (achados, apontamentos técnicos);</w:t>
      </w:r>
    </w:p>
    <w:p>
      <w:pPr>
        <w:pStyle w:val="ListParagraph"/>
        <w:numPr>
          <w:ilvl w:val="0"/>
          <w:numId w:val="2"/>
        </w:numPr>
        <w:spacing w:after="70" w:line="270"/>
        <w:jc w:val="both"/>
      </w:pPr>
      <w:r>
        <w:rPr>
          <w:sz w:val="22"/>
          <w:szCs w:val="22"/>
        </w:rPr>
        <w:t xml:space="preserve">Editais e documentos técnicos reais de três contratações integradas (anteprojetos, memoriais descritivos, planilhas orçamentárias, matrizes de riscos, especificações técnicas);</w:t>
      </w:r>
    </w:p>
    <w:p>
      <w:pPr>
        <w:pStyle w:val="ListParagraph"/>
        <w:numPr>
          <w:ilvl w:val="0"/>
          <w:numId w:val="2"/>
        </w:numPr>
        <w:spacing w:after="70" w:line="270"/>
        <w:jc w:val="both"/>
      </w:pPr>
      <w:r>
        <w:rPr>
          <w:sz w:val="22"/>
          <w:szCs w:val="22"/>
        </w:rPr>
        <w:t xml:space="preserve">Tabelas referenciais de preços e produtividade — SINAPI (Caixa) e SICRO (DNIT);</w:t>
      </w:r>
    </w:p>
    <w:p>
      <w:pPr>
        <w:pStyle w:val="ListParagraph"/>
        <w:numPr>
          <w:ilvl w:val="0"/>
          <w:numId w:val="2"/>
        </w:numPr>
        <w:spacing w:after="70" w:line="270"/>
        <w:jc w:val="both"/>
      </w:pPr>
      <w:r>
        <w:rPr>
          <w:sz w:val="22"/>
          <w:szCs w:val="22"/>
        </w:rPr>
        <w:t xml:space="preserve">Normativos (Leis 13.303/2016 e 14.133/2021, Decreto 12.304/2024, Manual de Auditoria de Obras Públicas do TCU);</w:t>
      </w:r>
    </w:p>
    <w:p>
      <w:pPr>
        <w:pStyle w:val="ListParagraph"/>
        <w:numPr>
          <w:ilvl w:val="0"/>
          <w:numId w:val="2"/>
        </w:numPr>
        <w:spacing w:after="70" w:line="270"/>
        <w:jc w:val="both"/>
      </w:pPr>
      <w:r>
        <w:rPr>
          <w:sz w:val="22"/>
          <w:szCs w:val="22"/>
        </w:rPr>
        <w:t xml:space="preserve">Conhecimento especializado, via entrevistas semiestruturadas com auditores, engenheiros e gestores de integridade;</w:t>
      </w:r>
    </w:p>
    <w:p>
      <w:pPr>
        <w:pStyle w:val="ListParagraph"/>
        <w:numPr>
          <w:ilvl w:val="0"/>
          <w:numId w:val="2"/>
        </w:numPr>
        <w:spacing w:after="70" w:line="270"/>
        <w:jc w:val="both"/>
      </w:pPr>
      <w:r>
        <w:rPr>
          <w:sz w:val="22"/>
          <w:szCs w:val="22"/>
        </w:rPr>
        <w:t xml:space="preserve">Literatura científica (Scopus, Web of Science, Google Scholar via Portal de Periódicos CAPES).</w:t>
      </w:r>
    </w:p>
    <w:p>
      <w:pPr>
        <w:pStyle w:val="Heading2"/>
        <w:spacing w:after="90" w:before="220"/>
      </w:pPr>
      <w:r>
        <w:rPr>
          <w:b/>
          <w:bCs/>
          <w:color w:val="2E5496"/>
          <w:sz w:val="24"/>
          <w:szCs w:val="24"/>
        </w:rPr>
        <w:t xml:space="preserve">12. Características dos dados que pretende trabalhar</w:t>
      </w:r>
    </w:p>
    <w:p>
      <w:pPr>
        <w:spacing w:after="120" w:line="276"/>
        <w:jc w:val="both"/>
      </w:pPr>
      <w:r>
        <w:rPr>
          <w:sz w:val="22"/>
          <w:szCs w:val="22"/>
        </w:rPr>
        <w:t xml:space="preserve">Predominantemente dados textuais não estruturados e semiestruturados (anteprojetos, memoriais, votos e relatórios em PDF/texto), tratados por PLN; dados estruturados e tabulares (planilhas orçamentárias, tabelas SINAPI/SICRO — valores, códigos de serviço, quantitativos); dados contábeis/financeiros (orçamentos, valores contratados, aditivos); transcrições de áudio das entrevistas (convertidas em texto para análise de conteúdo); e, de forma acessória, documentos técnicos de engenharia (sondagens, caracterização de jazidas). Em síntese: dados textuais + planilhas/dados financeiros + transcrições.</w:t>
      </w:r>
    </w:p>
    <w:p>
      <w:pPr>
        <w:pStyle w:val="Heading2"/>
        <w:spacing w:after="90" w:before="220"/>
      </w:pPr>
      <w:r>
        <w:rPr>
          <w:b/>
          <w:bCs/>
          <w:color w:val="2E5496"/>
          <w:sz w:val="24"/>
          <w:szCs w:val="24"/>
        </w:rPr>
        <w:t xml:space="preserve">13. Onde obter as informações? Haveria dificuldades previsíveis?</w:t>
      </w:r>
    </w:p>
    <w:p>
      <w:pPr>
        <w:pStyle w:val="ListParagraph"/>
        <w:numPr>
          <w:ilvl w:val="0"/>
          <w:numId w:val="2"/>
        </w:numPr>
        <w:spacing w:after="70" w:line="270"/>
        <w:jc w:val="both"/>
      </w:pPr>
      <w:r>
        <w:rPr>
          <w:b/>
          <w:bCs/>
          <w:sz w:val="22"/>
          <w:szCs w:val="22"/>
        </w:rPr>
        <w:t xml:space="preserve">Fontes públicas e abertas: </w:t>
      </w:r>
      <w:r>
        <w:rPr>
          <w:sz w:val="22"/>
          <w:szCs w:val="22"/>
        </w:rPr>
        <w:t xml:space="preserve">jurisprudência em pesquisa.apps.tcu.gov.br; tabelas SINAPI (Caixa) e SICRO (DNIT); legislação; literatura via Portal CAPES. Baixa dificuldade de acesso.</w:t>
      </w:r>
    </w:p>
    <w:p>
      <w:pPr>
        <w:pStyle w:val="ListParagraph"/>
        <w:numPr>
          <w:ilvl w:val="0"/>
          <w:numId w:val="2"/>
        </w:numPr>
        <w:spacing w:after="70" w:line="270"/>
        <w:jc w:val="both"/>
      </w:pPr>
      <w:r>
        <w:rPr>
          <w:b/>
          <w:bCs/>
          <w:sz w:val="22"/>
          <w:szCs w:val="22"/>
        </w:rPr>
        <w:t xml:space="preserve">Fontes internas/institucionais: </w:t>
      </w:r>
      <w:r>
        <w:rPr>
          <w:sz w:val="22"/>
          <w:szCs w:val="22"/>
        </w:rPr>
        <w:t xml:space="preserve">relatórios de auditoria da CGU (Sistema e-Aud), acessíveis ao pesquisador como servidor; editais e documentos técnicos dos órgãos contratantes.</w:t>
      </w:r>
    </w:p>
    <w:p>
      <w:pPr>
        <w:pStyle w:val="ListParagraph"/>
        <w:numPr>
          <w:ilvl w:val="0"/>
          <w:numId w:val="2"/>
        </w:numPr>
        <w:spacing w:after="70" w:line="270"/>
        <w:jc w:val="both"/>
      </w:pPr>
      <w:r>
        <w:rPr>
          <w:b/>
          <w:bCs/>
          <w:sz w:val="22"/>
          <w:szCs w:val="22"/>
        </w:rPr>
        <w:t xml:space="preserve">Entrevistas: </w:t>
      </w:r>
      <w:r>
        <w:rPr>
          <w:sz w:val="22"/>
          <w:szCs w:val="22"/>
        </w:rPr>
        <w:t xml:space="preserve">dependem de disponibilidade de agenda dos especialistas e de anuência.</w:t>
      </w:r>
    </w:p>
    <w:p>
      <w:pPr>
        <w:spacing w:after="120" w:line="276"/>
        <w:jc w:val="both"/>
      </w:pPr>
      <w:r>
        <w:rPr>
          <w:b/>
          <w:bCs/>
          <w:sz w:val="22"/>
          <w:szCs w:val="22"/>
        </w:rPr>
        <w:t xml:space="preserve">Obstáculos previsíveis: </w:t>
      </w:r>
      <w:r>
        <w:rPr>
          <w:sz w:val="22"/>
          <w:szCs w:val="22"/>
        </w:rPr>
        <w:t xml:space="preserve">(i) heterogeneidade e qualidade dos documentos (PDFs digitalizados exigindo OCR, formatos não padronizados); (ii) disponibilidade dos editais completos com anexos técnicos; (iii) tempo/agenda para entrevistas e transcrição; (iv) eventual autorização/anonimização de documentos ainda não públicos; (v) curadoria das tabelas referenciais (versões por data-base). Todos mitigáveis com seleção de casos já encerrados/públicos e pré-processamento documental.</w:t>
      </w:r>
    </w:p>
    <w:p>
      <w:pPr>
        <w:pStyle w:val="Heading2"/>
        <w:spacing w:after="90" w:before="220"/>
      </w:pPr>
      <w:r>
        <w:rPr>
          <w:b/>
          <w:bCs/>
          <w:color w:val="2E5496"/>
          <w:sz w:val="24"/>
          <w:szCs w:val="24"/>
        </w:rPr>
        <w:t xml:space="preserve">14. Os dados possuem sigilo ou são dados pessoais sensíveis?</w:t>
      </w:r>
    </w:p>
    <w:p>
      <w:pPr>
        <w:spacing w:after="120" w:line="276"/>
        <w:jc w:val="both"/>
      </w:pPr>
      <w:r>
        <w:rPr>
          <w:sz w:val="22"/>
          <w:szCs w:val="22"/>
        </w:rPr>
        <w:t xml:space="preserve">A maior parte é pública (jurisprudência, legislação, tabelas referenciais, editais homologados). Podem existir restrições pontuais: (i) relatórios de auditoria em elaboração ou com restrição de acesso até a deliberação/publicação; (ii) dados pessoais de agentes (LGPD) presentes em documentos e, sobretudo, nas entrevistas. Não se trata, em regra, de “dados pessoais sensíveis” na acepção do art. 5º, II, da LGPD. Cautelas: uso preferencial de casos já encerrados e públicos, anonimização/pseudonimização, termo de consentimento livre e esclarecido para entrevistas, e observância das normas internas de sigilo da CGU/TCU. O artefato opera sobre documentos técnicos, não sobre dados pessoais sensíveis.</w:t>
      </w:r>
    </w:p>
    <w:p>
      <w:pPr>
        <w:pStyle w:val="Heading2"/>
        <w:spacing w:after="90" w:before="220"/>
      </w:pPr>
      <w:r>
        <w:rPr>
          <w:b/>
          <w:bCs/>
          <w:color w:val="2E5496"/>
          <w:sz w:val="24"/>
          <w:szCs w:val="24"/>
        </w:rPr>
        <w:t xml:space="preserve">15. Como pretende coletar os dados de interesse?</w:t>
      </w:r>
    </w:p>
    <w:p>
      <w:pPr>
        <w:pStyle w:val="ListParagraph"/>
        <w:numPr>
          <w:ilvl w:val="0"/>
          <w:numId w:val="2"/>
        </w:numPr>
        <w:spacing w:after="70" w:line="270"/>
        <w:jc w:val="both"/>
      </w:pPr>
      <w:r>
        <w:rPr>
          <w:sz w:val="22"/>
          <w:szCs w:val="22"/>
        </w:rPr>
        <w:t xml:space="preserve">Pesquisa e download em bases públicas (jurisprudência do TCU; Caixa/SINAPI; DNIT/SICRO; Portal CAPES; portais de licitação);</w:t>
      </w:r>
    </w:p>
    <w:p>
      <w:pPr>
        <w:pStyle w:val="ListParagraph"/>
        <w:numPr>
          <w:ilvl w:val="0"/>
          <w:numId w:val="2"/>
        </w:numPr>
        <w:spacing w:after="70" w:line="270"/>
        <w:jc w:val="both"/>
      </w:pPr>
      <w:r>
        <w:rPr>
          <w:sz w:val="22"/>
          <w:szCs w:val="22"/>
        </w:rPr>
        <w:t xml:space="preserve">Acesso a bases institucionais (Sistema e-Aud da CGU) na condição de servidor;</w:t>
      </w:r>
    </w:p>
    <w:p>
      <w:pPr>
        <w:pStyle w:val="ListParagraph"/>
        <w:numPr>
          <w:ilvl w:val="0"/>
          <w:numId w:val="2"/>
        </w:numPr>
        <w:spacing w:after="70" w:line="270"/>
        <w:jc w:val="both"/>
      </w:pPr>
      <w:r>
        <w:rPr>
          <w:sz w:val="22"/>
          <w:szCs w:val="22"/>
        </w:rPr>
        <w:t xml:space="preserve">Revisão sistemática jurisprudencial e bibliográfica (Scopus, Web of Science, Google Scholar);</w:t>
      </w:r>
    </w:p>
    <w:p>
      <w:pPr>
        <w:pStyle w:val="ListParagraph"/>
        <w:numPr>
          <w:ilvl w:val="0"/>
          <w:numId w:val="2"/>
        </w:numPr>
        <w:spacing w:after="70" w:line="270"/>
        <w:jc w:val="both"/>
      </w:pPr>
      <w:r>
        <w:rPr>
          <w:sz w:val="22"/>
          <w:szCs w:val="22"/>
        </w:rPr>
        <w:t xml:space="preserve">Solicitação de informação, se necessário, inclusive por meio da LAI;</w:t>
      </w:r>
    </w:p>
    <w:p>
      <w:pPr>
        <w:pStyle w:val="ListParagraph"/>
        <w:numPr>
          <w:ilvl w:val="0"/>
          <w:numId w:val="2"/>
        </w:numPr>
        <w:spacing w:after="70" w:line="270"/>
        <w:jc w:val="both"/>
      </w:pPr>
      <w:r>
        <w:rPr>
          <w:sz w:val="22"/>
          <w:szCs w:val="22"/>
        </w:rPr>
        <w:t xml:space="preserve">Entrevistas semiestruturadas com especialistas (roteiro próprio), com gravação, transcrição e análise de conteúdo;</w:t>
      </w:r>
    </w:p>
    <w:p>
      <w:pPr>
        <w:pStyle w:val="ListParagraph"/>
        <w:numPr>
          <w:ilvl w:val="0"/>
          <w:numId w:val="2"/>
        </w:numPr>
        <w:spacing w:after="70" w:line="270"/>
        <w:jc w:val="both"/>
      </w:pPr>
      <w:r>
        <w:rPr>
          <w:sz w:val="22"/>
          <w:szCs w:val="22"/>
        </w:rPr>
        <w:t xml:space="preserve">Coleta documental direta dos editais e anexos técnicos dos três casos selecionados.</w:t>
      </w:r>
    </w:p>
    <w:p>
      <w:pPr>
        <w:pStyle w:val="Heading1"/>
        <w:pBdr>
          <w:bottom w:val="single" w:color="2E5496" w:sz="10" w:space="4"/>
        </w:pBdr>
        <w:spacing w:after="140" w:before="280"/>
      </w:pPr>
      <w:r>
        <w:rPr>
          <w:b/>
          <w:bCs/>
          <w:color w:val="1F3864"/>
          <w:sz w:val="28"/>
          <w:szCs w:val="28"/>
        </w:rPr>
        <w:t xml:space="preserve">Parte V — Integração Dissertação–PTT</w:t>
      </w:r>
    </w:p>
    <w:p>
      <w:pPr>
        <w:pStyle w:val="Heading2"/>
        <w:spacing w:after="90" w:before="220"/>
      </w:pPr>
      <w:r>
        <w:rPr>
          <w:b/>
          <w:bCs/>
          <w:color w:val="2E5496"/>
          <w:sz w:val="24"/>
          <w:szCs w:val="24"/>
        </w:rPr>
        <w:t xml:space="preserve">16. Qual ou quais PTT(s) poderiam ser derivados da sua pesquisa?</w:t>
      </w:r>
    </w:p>
    <w:p>
      <w:pPr>
        <w:spacing w:after="120" w:line="276"/>
        <w:jc w:val="both"/>
      </w:pPr>
      <w:r>
        <w:rPr>
          <w:b/>
          <w:bCs/>
          <w:sz w:val="22"/>
          <w:szCs w:val="22"/>
        </w:rPr>
        <w:t xml:space="preserve">Modalidade principal:</w:t>
      </w:r>
    </w:p>
    <w:p>
      <w:pPr>
        <w:pStyle w:val="ListParagraph"/>
        <w:numPr>
          <w:ilvl w:val="0"/>
          <w:numId w:val="2"/>
        </w:numPr>
        <w:spacing w:after="70" w:line="270"/>
        <w:jc w:val="both"/>
      </w:pPr>
      <w:r>
        <w:rPr>
          <w:b/>
          <w:bCs/>
          <w:sz w:val="22"/>
          <w:szCs w:val="22"/>
        </w:rPr>
        <w:t xml:space="preserve">[X] PROCESSO/TECNOLOGIA OU PRODUTO</w:t>
      </w:r>
      <w:r>
        <w:rPr>
          <w:sz w:val="22"/>
          <w:szCs w:val="22"/>
        </w:rPr>
        <w:t xml:space="preserve"> — o framework de auditoria preventiva: especificação técnica completa + protótipo demonstrativo (arquitetura lógica, regras de negócio algorítmicas, fluxos de verificação por PLN, parâmetros de cruzamento SINAPI/SICRO e painel de alertas em Power BI). Enquadra-se no item 1.9 “a” do edital.</w:t>
      </w:r>
    </w:p>
    <w:p>
      <w:pPr>
        <w:spacing w:after="120" w:line="276"/>
        <w:jc w:val="both"/>
      </w:pPr>
      <w:r>
        <w:rPr>
          <w:b/>
          <w:bCs/>
          <w:sz w:val="22"/>
          <w:szCs w:val="22"/>
        </w:rPr>
        <w:t xml:space="preserve">Modalidades secundárias/derivadas:</w:t>
      </w:r>
    </w:p>
    <w:p>
      <w:pPr>
        <w:pStyle w:val="ListParagraph"/>
        <w:numPr>
          <w:ilvl w:val="0"/>
          <w:numId w:val="2"/>
        </w:numPr>
        <w:spacing w:after="70" w:line="270"/>
        <w:jc w:val="both"/>
      </w:pPr>
      <w:r>
        <w:rPr>
          <w:b/>
          <w:bCs/>
          <w:sz w:val="22"/>
          <w:szCs w:val="22"/>
        </w:rPr>
        <w:t xml:space="preserve">[X] BASE DE DADOS TÉCNICO/CIENTÍFICA</w:t>
      </w:r>
      <w:r>
        <w:rPr>
          <w:sz w:val="22"/>
          <w:szCs w:val="22"/>
        </w:rPr>
        <w:t xml:space="preserve"> — catálogo sistemático e codificado dos indutores de assimetria de informação em anteprojetos (contribuição original replicável).</w:t>
      </w:r>
    </w:p>
    <w:p>
      <w:pPr>
        <w:pStyle w:val="ListParagraph"/>
        <w:numPr>
          <w:ilvl w:val="0"/>
          <w:numId w:val="2"/>
        </w:numPr>
        <w:spacing w:after="70" w:line="270"/>
        <w:jc w:val="both"/>
      </w:pPr>
      <w:r>
        <w:rPr>
          <w:b/>
          <w:bCs/>
          <w:sz w:val="22"/>
          <w:szCs w:val="22"/>
        </w:rPr>
        <w:t xml:space="preserve">[X] RELATÓRIO TÉCNICO CONCLUSIVO</w:t>
      </w:r>
      <w:r>
        <w:rPr>
          <w:sz w:val="22"/>
          <w:szCs w:val="22"/>
        </w:rPr>
        <w:t xml:space="preserve"> — protocolo metodológico de auditoria pré-licitatória baseada em IA, com potencial de incorporação ao Manual de Auditoria de Obras Públicas da CGU e do TCU.</w:t>
      </w:r>
    </w:p>
    <w:p>
      <w:pPr>
        <w:pStyle w:val="ListParagraph"/>
        <w:numPr>
          <w:ilvl w:val="0"/>
          <w:numId w:val="2"/>
        </w:numPr>
        <w:spacing w:after="70" w:line="270"/>
        <w:jc w:val="both"/>
      </w:pPr>
      <w:r>
        <w:rPr>
          <w:b/>
          <w:bCs/>
          <w:sz w:val="22"/>
          <w:szCs w:val="22"/>
        </w:rPr>
        <w:t xml:space="preserve">[ ] MATERIAL DIDÁTICO</w:t>
      </w:r>
      <w:r>
        <w:rPr>
          <w:sz w:val="22"/>
          <w:szCs w:val="22"/>
        </w:rPr>
        <w:t xml:space="preserve"> (derivação possível) — material de capacitação de auditores no uso do protocolo/ferramenta.</w:t>
      </w:r>
    </w:p>
    <w:p>
      <w:pPr>
        <w:pStyle w:val="ListParagraph"/>
        <w:numPr>
          <w:ilvl w:val="0"/>
          <w:numId w:val="2"/>
        </w:numPr>
        <w:spacing w:after="70" w:line="270"/>
        <w:jc w:val="both"/>
      </w:pPr>
      <w:r>
        <w:rPr>
          <w:b/>
          <w:bCs/>
          <w:sz w:val="22"/>
          <w:szCs w:val="22"/>
        </w:rPr>
        <w:t xml:space="preserve">[ ] NORMA OU MARCO REGULATÓRIO</w:t>
      </w:r>
      <w:r>
        <w:rPr>
          <w:sz w:val="22"/>
          <w:szCs w:val="22"/>
        </w:rPr>
        <w:t xml:space="preserve"> (derivação possível, a longo prazo) — subsídios para orientação técnica/normativo interno sobre requisitos mínimos de anteprojetos em contratação integrada.</w:t>
      </w:r>
    </w:p>
    <w:p>
      <w:pPr>
        <w:pStyle w:val="Heading2"/>
        <w:spacing w:after="90" w:before="220"/>
      </w:pPr>
      <w:r>
        <w:rPr>
          <w:b/>
          <w:bCs/>
          <w:color w:val="2E5496"/>
          <w:sz w:val="24"/>
          <w:szCs w:val="24"/>
        </w:rPr>
        <w:t xml:space="preserve">17. Aderência do PTT ao problema e ao campo profissional de uso</w:t>
      </w:r>
    </w:p>
    <w:p>
      <w:pPr>
        <w:spacing w:after="120" w:line="276"/>
        <w:jc w:val="both"/>
      </w:pPr>
      <w:r>
        <w:rPr>
          <w:sz w:val="22"/>
          <w:szCs w:val="22"/>
        </w:rPr>
        <w:t xml:space="preserve">O PTT responde diretamente ao problema: converte critérios qualitativos de engenharia (viabilidade volumétrica de jazidas/areais, produtividade de insumos, conformidade de especificações e de preços referenciais) em parâmetros algorítmicos verificáveis, operacionalizando exatamente os elementos cuja ausência o Acórdão nº 686/2026-Plenário identificou como geradora de assimetria entre licitantes. O campo profissional de uso é o controle governamental (controle interno — CGU — e externo — TCU e demais Tribunais de Contas), atuando na fase pré-licitatória, único momento em que a correção é viável sem configurar o periculum in mora reverso. O artefato rompe com o paradigma de auditoria reativa, amostral e dependente da expertise individual, aderente à Linha 2 do Programa e à prioridade institucional de inovação (PET-TCU 2023–2028).</w:t>
      </w:r>
    </w:p>
    <w:p>
      <w:pPr>
        <w:pStyle w:val="Heading2"/>
        <w:spacing w:after="90" w:before="220"/>
      </w:pPr>
      <w:r>
        <w:rPr>
          <w:b/>
          <w:bCs/>
          <w:color w:val="2E5496"/>
          <w:sz w:val="24"/>
          <w:szCs w:val="24"/>
        </w:rPr>
        <w:t xml:space="preserve">18. Destinatários ou usuários potenciais do PTT</w:t>
      </w:r>
    </w:p>
    <w:p>
      <w:pPr>
        <w:pStyle w:val="ListParagraph"/>
        <w:numPr>
          <w:ilvl w:val="0"/>
          <w:numId w:val="2"/>
        </w:numPr>
        <w:spacing w:after="70" w:line="270"/>
        <w:jc w:val="both"/>
      </w:pPr>
      <w:r>
        <w:rPr>
          <w:sz w:val="22"/>
          <w:szCs w:val="22"/>
        </w:rPr>
        <w:t xml:space="preserve">Auditores e analistas da CGU e do TCU (usuários diretos do painel de alertas e do protocolo);</w:t>
      </w:r>
    </w:p>
    <w:p>
      <w:pPr>
        <w:pStyle w:val="ListParagraph"/>
        <w:numPr>
          <w:ilvl w:val="0"/>
          <w:numId w:val="2"/>
        </w:numPr>
        <w:spacing w:after="70" w:line="270"/>
        <w:jc w:val="both"/>
      </w:pPr>
      <w:r>
        <w:rPr>
          <w:sz w:val="22"/>
          <w:szCs w:val="22"/>
        </w:rPr>
        <w:t xml:space="preserve">Demais Tribunais de Contas (estaduais e municipais) e órgãos de controle interno das três esferas, pela replicabilidade sem custo de licenciamento;</w:t>
      </w:r>
    </w:p>
    <w:p>
      <w:pPr>
        <w:pStyle w:val="ListParagraph"/>
        <w:numPr>
          <w:ilvl w:val="0"/>
          <w:numId w:val="2"/>
        </w:numPr>
        <w:spacing w:after="70" w:line="270"/>
        <w:jc w:val="both"/>
      </w:pPr>
      <w:r>
        <w:rPr>
          <w:sz w:val="22"/>
          <w:szCs w:val="22"/>
        </w:rPr>
        <w:t xml:space="preserve">Equipes de TI dos órgãos de controle (implementação/replicação da arquitetura);</w:t>
      </w:r>
    </w:p>
    <w:p>
      <w:pPr>
        <w:pStyle w:val="ListParagraph"/>
        <w:numPr>
          <w:ilvl w:val="0"/>
          <w:numId w:val="2"/>
        </w:numPr>
        <w:spacing w:after="70" w:line="270"/>
        <w:jc w:val="both"/>
      </w:pPr>
      <w:r>
        <w:rPr>
          <w:sz w:val="22"/>
          <w:szCs w:val="22"/>
        </w:rPr>
        <w:t xml:space="preserve">Gestores de programas de integridade (Decreto 12.304/2024) e áreas de engenharia e licitação dos órgãos contratantes, como usuários indiretos para correção prévia de anteprojetos.</w:t>
      </w:r>
    </w:p>
    <w:p>
      <w:pPr>
        <w:pStyle w:val="Heading2"/>
        <w:spacing w:after="90" w:before="220"/>
      </w:pPr>
      <w:r>
        <w:rPr>
          <w:b/>
          <w:bCs/>
          <w:color w:val="2E5496"/>
          <w:sz w:val="24"/>
          <w:szCs w:val="24"/>
        </w:rPr>
        <w:t xml:space="preserve">19. Complexidade preliminar do produto e sua compatibilidade</w:t>
      </w:r>
    </w:p>
    <w:p>
      <w:pPr>
        <w:spacing w:after="120" w:line="276"/>
        <w:jc w:val="both"/>
      </w:pPr>
      <w:r>
        <w:rPr>
          <w:b/>
          <w:bCs/>
          <w:sz w:val="22"/>
          <w:szCs w:val="22"/>
        </w:rPr>
        <w:t xml:space="preserve">Complexidade: alta, porém compatível e viável. </w:t>
      </w:r>
      <w:r>
        <w:rPr>
          <w:sz w:val="22"/>
          <w:szCs w:val="22"/>
        </w:rPr>
        <w:t xml:space="preserve">Alta porque exige integração multidisciplinar (engenharia civil, direito administrativo, economia dos contratos e ciência da computação) e a articulação de múltiplos atores (CGU/TCU como usuários; especialistas em engenharia; equipes de TI; órgãos normativos Caixa/SINAPI e DNIT/SICRO como fontes referenciais). Compatível porque: (i) o produto é entregue como especificação técnica + protótipo demonstrativo (não um sistema em produção), dosando o escopo ao tempo de um mestrado; (ii) apoia-se em tecnologias open source e bases de dados públicas e gratuitas, sem investimento em licenças; (iii) o painel é projetado para Power BI, já licenciado na CGU; e (iv) a arquitetura é documentada para replicação por equipes de TI de qualquer órgão, independentemente de porte ou esfera federativa. A validação por três casos reais + entrevistas calibra a complexidade ao que é exequível e útil aos destinatários.</w:t>
      </w:r>
    </w:p>
    <w:p>
      <w:pPr>
        <w:pStyle w:val="Heading2"/>
        <w:spacing w:after="90" w:before="220"/>
      </w:pPr>
      <w:r>
        <w:rPr>
          <w:b/>
          <w:bCs/>
          <w:color w:val="2E5496"/>
          <w:sz w:val="24"/>
          <w:szCs w:val="24"/>
        </w:rPr>
        <w:t xml:space="preserve">20. Impactos esperados e horizonte provável</w:t>
      </w:r>
    </w:p>
    <w:p>
      <w:pPr>
        <w:spacing w:after="120" w:line="276"/>
        <w:jc w:val="both"/>
      </w:pPr>
      <w:r>
        <w:rPr>
          <w:b/>
          <w:bCs/>
          <w:sz w:val="22"/>
          <w:szCs w:val="22"/>
        </w:rPr>
        <w:t xml:space="preserve">Impactos esperados:</w:t>
      </w:r>
    </w:p>
    <w:p>
      <w:pPr>
        <w:pStyle w:val="ListParagraph"/>
        <w:numPr>
          <w:ilvl w:val="0"/>
          <w:numId w:val="2"/>
        </w:numPr>
        <w:spacing w:after="70" w:line="270"/>
        <w:jc w:val="both"/>
      </w:pPr>
      <w:r>
        <w:rPr>
          <w:b/>
          <w:bCs/>
          <w:sz w:val="22"/>
          <w:szCs w:val="22"/>
        </w:rPr>
        <w:t xml:space="preserve">Institucional</w:t>
      </w:r>
      <w:r>
        <w:rPr>
          <w:sz w:val="22"/>
          <w:szCs w:val="22"/>
        </w:rPr>
        <w:t xml:space="preserve"> — instrumento concreto de auditoria preventiva pré-licitatória, no momento em que a correção é viável (evitando o periculum in mora reverso);</w:t>
      </w:r>
    </w:p>
    <w:p>
      <w:pPr>
        <w:pStyle w:val="ListParagraph"/>
        <w:numPr>
          <w:ilvl w:val="0"/>
          <w:numId w:val="2"/>
        </w:numPr>
        <w:spacing w:after="70" w:line="270"/>
        <w:jc w:val="both"/>
      </w:pPr>
      <w:r>
        <w:rPr>
          <w:b/>
          <w:bCs/>
          <w:sz w:val="22"/>
          <w:szCs w:val="22"/>
        </w:rPr>
        <w:t xml:space="preserve">Operacional</w:t>
      </w:r>
      <w:r>
        <w:rPr>
          <w:sz w:val="22"/>
          <w:szCs w:val="22"/>
        </w:rPr>
        <w:t xml:space="preserve"> — padronização e objetivação dos critérios de verificação, reduzindo a dependência da expertise individual e ampliando a capacidade analítica das equipes;</w:t>
      </w:r>
    </w:p>
    <w:p>
      <w:pPr>
        <w:pStyle w:val="ListParagraph"/>
        <w:numPr>
          <w:ilvl w:val="0"/>
          <w:numId w:val="2"/>
        </w:numPr>
        <w:spacing w:after="70" w:line="270"/>
        <w:jc w:val="both"/>
      </w:pPr>
      <w:r>
        <w:rPr>
          <w:b/>
          <w:bCs/>
          <w:sz w:val="22"/>
          <w:szCs w:val="22"/>
        </w:rPr>
        <w:t xml:space="preserve">Fiscal/econômico</w:t>
      </w:r>
      <w:r>
        <w:rPr>
          <w:sz w:val="22"/>
          <w:szCs w:val="22"/>
        </w:rPr>
        <w:t xml:space="preserve"> — identificação precoce de assimetrias antes da adjudicação, permitindo corrigir anteprojetos ou adotar cautelas contratuais que previnam pleitos de reequilíbrio, com impacto direto na economicidade;</w:t>
      </w:r>
    </w:p>
    <w:p>
      <w:pPr>
        <w:pStyle w:val="ListParagraph"/>
        <w:numPr>
          <w:ilvl w:val="0"/>
          <w:numId w:val="2"/>
        </w:numPr>
        <w:spacing w:after="70" w:line="270"/>
        <w:jc w:val="both"/>
      </w:pPr>
      <w:r>
        <w:rPr>
          <w:b/>
          <w:bCs/>
          <w:sz w:val="22"/>
          <w:szCs w:val="22"/>
        </w:rPr>
        <w:t xml:space="preserve">Científico e de difusão</w:t>
      </w:r>
      <w:r>
        <w:rPr>
          <w:sz w:val="22"/>
          <w:szCs w:val="22"/>
        </w:rPr>
        <w:t xml:space="preserve"> — catálogo codificado de indutores e protocolo metodológico replicáveis, além de artigo (Qualis ≥ A4) e dissertação.</w:t>
      </w:r>
    </w:p>
    <w:p>
      <w:pPr>
        <w:spacing w:after="120" w:line="276"/>
        <w:jc w:val="both"/>
      </w:pPr>
      <w:r>
        <w:rPr>
          <w:b/>
          <w:bCs/>
          <w:sz w:val="22"/>
          <w:szCs w:val="22"/>
        </w:rPr>
        <w:t xml:space="preserve">Horizonte provável:</w:t>
      </w:r>
    </w:p>
    <w:p>
      <w:pPr>
        <w:pStyle w:val="ListParagraph"/>
        <w:numPr>
          <w:ilvl w:val="0"/>
          <w:numId w:val="2"/>
        </w:numPr>
        <w:spacing w:after="70" w:line="270"/>
        <w:jc w:val="both"/>
      </w:pPr>
      <w:r>
        <w:rPr>
          <w:b/>
          <w:bCs/>
          <w:sz w:val="22"/>
          <w:szCs w:val="22"/>
        </w:rPr>
        <w:t xml:space="preserve">Curto prazo (ao término do mestrado, ~24 meses)</w:t>
      </w:r>
      <w:r>
        <w:rPr>
          <w:sz w:val="22"/>
          <w:szCs w:val="22"/>
        </w:rPr>
        <w:t xml:space="preserve"> — entrega da especificação, do protótipo demonstrativo validado nos três casos e do protocolo/catálogo; primeiros pilotos internos de uso.</w:t>
      </w:r>
    </w:p>
    <w:p>
      <w:pPr>
        <w:pStyle w:val="ListParagraph"/>
        <w:numPr>
          <w:ilvl w:val="0"/>
          <w:numId w:val="2"/>
        </w:numPr>
        <w:spacing w:after="70" w:line="270"/>
        <w:jc w:val="both"/>
      </w:pPr>
      <w:r>
        <w:rPr>
          <w:b/>
          <w:bCs/>
          <w:sz w:val="22"/>
          <w:szCs w:val="22"/>
        </w:rPr>
        <w:t xml:space="preserve">Médio prazo (1–2 anos após)</w:t>
      </w:r>
      <w:r>
        <w:rPr>
          <w:sz w:val="22"/>
          <w:szCs w:val="22"/>
        </w:rPr>
        <w:t xml:space="preserve"> — incorporação do protocolo às rotinas de auditoria e eventual integração ao Manual de Auditoria de Obras Públicas; replicação por outros órgãos.</w:t>
      </w:r>
    </w:p>
    <w:p>
      <w:pPr>
        <w:pStyle w:val="ListParagraph"/>
        <w:numPr>
          <w:ilvl w:val="0"/>
          <w:numId w:val="2"/>
        </w:numPr>
        <w:spacing w:after="70" w:line="270"/>
        <w:jc w:val="both"/>
      </w:pPr>
      <w:r>
        <w:rPr>
          <w:b/>
          <w:bCs/>
          <w:sz w:val="22"/>
          <w:szCs w:val="22"/>
        </w:rPr>
        <w:t xml:space="preserve">Longo prazo (3+ anos)</w:t>
      </w:r>
      <w:r>
        <w:rPr>
          <w:sz w:val="22"/>
          <w:szCs w:val="22"/>
        </w:rPr>
        <w:t xml:space="preserve"> — efeito sistêmico na redução de aditivos de reequilíbrio e na melhoria da qualidade dos anteprojetos de contratação integrada.</w:t>
      </w:r>
    </w:p>
    <w:p>
      <w:pPr>
        <w:pBdr>
          <w:top w:val="single" w:color="CCCCCC" w:sz="6" w:space="6"/>
        </w:pBdr>
        <w:spacing w:before="300"/>
      </w:pPr>
      <w:r>
        <w:rPr>
          <w:i/>
          <w:iCs/>
          <w:color w:val="777777"/>
          <w:sz w:val="18"/>
          <w:szCs w:val="18"/>
        </w:rPr>
        <w:t xml:space="preserve">Documento de trabalho elaborado para preenchimento do formulário “Concepção Integrada da Pesquisa e do PTT” (Metodologia Científica), em aderência ao Projeto de Pesquisa do Processo Seletivo 1/2026.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Concepção Integrada da Pesquisa e do PTT</dc:title>
  <dc:creator>Mestrado ISC/TCU</dc:creator>
  <cp:lastModifiedBy>Un-named</cp:lastModifiedBy>
  <cp:revision>1</cp:revision>
  <dcterms:created xsi:type="dcterms:W3CDTF">2026-10-03T18:25:26.682Z</dcterms:created>
  <dcterms:modified xsi:type="dcterms:W3CDTF">2026-10-03T18:25:26.692Z</dcterms:modified>
</cp:coreProperties>
</file>

<file path=docProps/custom.xml><?xml version="1.0" encoding="utf-8"?>
<Properties xmlns="http://schemas.openxmlformats.org/officeDocument/2006/custom-properties" xmlns:vt="http://schemas.openxmlformats.org/officeDocument/2006/docPropsVTypes"/>
</file>