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6A588" w14:textId="77777777" w:rsidR="008B54FD" w:rsidRPr="00B257E2" w:rsidRDefault="008B54FD">
      <w:pPr>
        <w:rPr>
          <w:sz w:val="22"/>
          <w:szCs w:val="22"/>
        </w:rPr>
      </w:pPr>
    </w:p>
    <w:p w14:paraId="04292030" w14:textId="77777777" w:rsidR="008B54FD" w:rsidRPr="00B257E2" w:rsidRDefault="008B54FD">
      <w:pPr>
        <w:rPr>
          <w:sz w:val="22"/>
          <w:szCs w:val="22"/>
        </w:rPr>
      </w:pPr>
    </w:p>
    <w:p w14:paraId="38C47361" w14:textId="77777777" w:rsidR="008B54FD" w:rsidRPr="00B257E2" w:rsidRDefault="008B54FD">
      <w:pPr>
        <w:rPr>
          <w:sz w:val="22"/>
          <w:szCs w:val="22"/>
        </w:rPr>
      </w:pPr>
    </w:p>
    <w:p w14:paraId="638B34F1" w14:textId="77777777" w:rsidR="008B54FD" w:rsidRPr="00B257E2" w:rsidRDefault="008B54FD">
      <w:pPr>
        <w:rPr>
          <w:sz w:val="22"/>
          <w:szCs w:val="22"/>
        </w:rPr>
      </w:pPr>
    </w:p>
    <w:p w14:paraId="6E7AE02F" w14:textId="77777777" w:rsidR="008B54FD" w:rsidRPr="00B257E2" w:rsidRDefault="008B54FD">
      <w:pPr>
        <w:rPr>
          <w:sz w:val="22"/>
          <w:szCs w:val="22"/>
        </w:rPr>
      </w:pPr>
    </w:p>
    <w:p w14:paraId="7AF754B8" w14:textId="77777777" w:rsidR="008B54FD" w:rsidRPr="00B257E2" w:rsidRDefault="008B54FD">
      <w:pPr>
        <w:rPr>
          <w:sz w:val="22"/>
          <w:szCs w:val="22"/>
        </w:rPr>
      </w:pPr>
    </w:p>
    <w:p w14:paraId="7D7A1B63" w14:textId="77777777" w:rsidR="008B54FD" w:rsidRPr="00B257E2" w:rsidRDefault="008B54FD">
      <w:pPr>
        <w:rPr>
          <w:sz w:val="22"/>
          <w:szCs w:val="22"/>
        </w:rPr>
      </w:pPr>
    </w:p>
    <w:p w14:paraId="5079B19B" w14:textId="77777777" w:rsidR="008B54FD" w:rsidRPr="00B257E2" w:rsidRDefault="008B54FD">
      <w:pPr>
        <w:rPr>
          <w:sz w:val="22"/>
          <w:szCs w:val="22"/>
        </w:rPr>
      </w:pPr>
    </w:p>
    <w:p w14:paraId="679F5EE6" w14:textId="77777777" w:rsidR="008B54FD" w:rsidRPr="00B257E2" w:rsidRDefault="008B54FD">
      <w:pPr>
        <w:rPr>
          <w:sz w:val="22"/>
          <w:szCs w:val="22"/>
        </w:rPr>
      </w:pPr>
    </w:p>
    <w:p w14:paraId="6808845B" w14:textId="77777777" w:rsidR="008B54FD" w:rsidRPr="00B257E2" w:rsidRDefault="008B54FD">
      <w:pPr>
        <w:rPr>
          <w:sz w:val="22"/>
          <w:szCs w:val="22"/>
        </w:rPr>
      </w:pPr>
    </w:p>
    <w:p w14:paraId="29CA78FE" w14:textId="77777777" w:rsidR="008B54FD" w:rsidRPr="00B257E2" w:rsidRDefault="008B54FD">
      <w:pPr>
        <w:rPr>
          <w:sz w:val="22"/>
          <w:szCs w:val="22"/>
        </w:rPr>
      </w:pPr>
    </w:p>
    <w:p w14:paraId="57906B42" w14:textId="77777777" w:rsidR="008B54FD" w:rsidRPr="00B257E2" w:rsidRDefault="008B54FD">
      <w:pPr>
        <w:rPr>
          <w:sz w:val="22"/>
          <w:szCs w:val="22"/>
        </w:rPr>
      </w:pPr>
    </w:p>
    <w:p w14:paraId="5A6FABA6" w14:textId="77777777" w:rsidR="008B54FD" w:rsidRPr="00B257E2" w:rsidRDefault="008B54FD">
      <w:pPr>
        <w:rPr>
          <w:sz w:val="22"/>
          <w:szCs w:val="22"/>
        </w:rPr>
      </w:pPr>
    </w:p>
    <w:p w14:paraId="0918F5FF" w14:textId="77777777" w:rsidR="008B54FD" w:rsidRPr="00B257E2" w:rsidRDefault="008B54FD">
      <w:pPr>
        <w:rPr>
          <w:sz w:val="22"/>
          <w:szCs w:val="22"/>
        </w:rPr>
      </w:pPr>
    </w:p>
    <w:p w14:paraId="1DA1E053" w14:textId="77777777" w:rsidR="008B54FD" w:rsidRPr="00B257E2" w:rsidRDefault="008B54FD">
      <w:pPr>
        <w:rPr>
          <w:sz w:val="22"/>
          <w:szCs w:val="22"/>
        </w:rPr>
      </w:pPr>
    </w:p>
    <w:p w14:paraId="66279BD4" w14:textId="77777777" w:rsidR="008B54FD" w:rsidRPr="00B257E2" w:rsidRDefault="008B54FD">
      <w:pPr>
        <w:rPr>
          <w:sz w:val="22"/>
          <w:szCs w:val="22"/>
        </w:rPr>
      </w:pPr>
    </w:p>
    <w:p w14:paraId="1891FF64" w14:textId="77777777" w:rsidR="008B54FD" w:rsidRPr="00B257E2" w:rsidRDefault="008B54FD">
      <w:pPr>
        <w:rPr>
          <w:sz w:val="22"/>
          <w:szCs w:val="22"/>
        </w:rPr>
      </w:pPr>
    </w:p>
    <w:p w14:paraId="33FF5DF8" w14:textId="77777777" w:rsidR="008B54FD" w:rsidRPr="00B257E2" w:rsidRDefault="008B54FD">
      <w:pPr>
        <w:rPr>
          <w:sz w:val="22"/>
          <w:szCs w:val="22"/>
        </w:rPr>
      </w:pPr>
    </w:p>
    <w:p w14:paraId="66C4C73C" w14:textId="77777777" w:rsidR="008B54FD" w:rsidRPr="00B257E2" w:rsidRDefault="008B54FD">
      <w:pPr>
        <w:rPr>
          <w:sz w:val="22"/>
          <w:szCs w:val="22"/>
        </w:rPr>
      </w:pPr>
    </w:p>
    <w:p w14:paraId="261C4854" w14:textId="77777777" w:rsidR="008B54FD" w:rsidRPr="00B257E2" w:rsidRDefault="008B54FD">
      <w:pPr>
        <w:rPr>
          <w:sz w:val="22"/>
          <w:szCs w:val="22"/>
        </w:rPr>
      </w:pPr>
    </w:p>
    <w:p w14:paraId="260F77D6" w14:textId="77777777" w:rsidR="008B54FD" w:rsidRPr="00B257E2" w:rsidRDefault="008B54FD">
      <w:pPr>
        <w:rPr>
          <w:sz w:val="22"/>
          <w:szCs w:val="22"/>
        </w:rPr>
      </w:pPr>
    </w:p>
    <w:p w14:paraId="3A7524DC" w14:textId="77777777" w:rsidR="008B54FD" w:rsidRPr="00B257E2" w:rsidRDefault="008B54FD">
      <w:pPr>
        <w:rPr>
          <w:sz w:val="22"/>
          <w:szCs w:val="22"/>
        </w:rPr>
      </w:pPr>
    </w:p>
    <w:p w14:paraId="3B13D6C7" w14:textId="77777777" w:rsidR="008B54FD" w:rsidRPr="00B257E2" w:rsidRDefault="008B54FD">
      <w:pPr>
        <w:rPr>
          <w:sz w:val="22"/>
          <w:szCs w:val="22"/>
        </w:rPr>
      </w:pPr>
    </w:p>
    <w:p w14:paraId="03235562" w14:textId="77777777" w:rsidR="008B54FD" w:rsidRPr="00B257E2" w:rsidRDefault="008B54FD">
      <w:pPr>
        <w:rPr>
          <w:sz w:val="22"/>
          <w:szCs w:val="22"/>
        </w:rPr>
      </w:pPr>
    </w:p>
    <w:p w14:paraId="7D8F2FD8" w14:textId="77777777" w:rsidR="008B54FD" w:rsidRPr="00B257E2" w:rsidRDefault="008B54FD">
      <w:pPr>
        <w:rPr>
          <w:sz w:val="22"/>
          <w:szCs w:val="22"/>
        </w:rPr>
      </w:pPr>
    </w:p>
    <w:p w14:paraId="792B67DB" w14:textId="77777777" w:rsidR="008B54FD" w:rsidRPr="00B257E2" w:rsidRDefault="008B54FD">
      <w:pPr>
        <w:rPr>
          <w:sz w:val="22"/>
          <w:szCs w:val="22"/>
        </w:rPr>
      </w:pPr>
    </w:p>
    <w:p w14:paraId="113C2D07" w14:textId="46A516DD" w:rsidR="008B54FD" w:rsidRPr="00B257E2" w:rsidRDefault="008B54FD">
      <w:pPr>
        <w:rPr>
          <w:sz w:val="22"/>
          <w:szCs w:val="22"/>
        </w:rPr>
      </w:pPr>
    </w:p>
    <w:p w14:paraId="4C9831BF" w14:textId="4C76C7C2" w:rsidR="008B54FD" w:rsidRPr="00B257E2" w:rsidRDefault="008B54FD">
      <w:pPr>
        <w:rPr>
          <w:sz w:val="22"/>
          <w:szCs w:val="22"/>
        </w:rPr>
      </w:pPr>
    </w:p>
    <w:p w14:paraId="05B93BD1" w14:textId="7C05D814" w:rsidR="008B54FD" w:rsidRPr="00B257E2" w:rsidRDefault="008B54FD">
      <w:pPr>
        <w:rPr>
          <w:sz w:val="22"/>
          <w:szCs w:val="22"/>
        </w:rPr>
      </w:pPr>
    </w:p>
    <w:p w14:paraId="2E3862B8" w14:textId="2C08B321" w:rsidR="008B54FD" w:rsidRPr="00B257E2" w:rsidRDefault="008B54FD">
      <w:pPr>
        <w:rPr>
          <w:sz w:val="22"/>
          <w:szCs w:val="22"/>
        </w:rPr>
      </w:pPr>
    </w:p>
    <w:p w14:paraId="4430039C" w14:textId="2EF15380" w:rsidR="008B54FD" w:rsidRPr="00B257E2" w:rsidRDefault="008B54FD">
      <w:pPr>
        <w:rPr>
          <w:sz w:val="22"/>
          <w:szCs w:val="22"/>
        </w:rPr>
      </w:pPr>
    </w:p>
    <w:p w14:paraId="01075E8D" w14:textId="541C6DCB" w:rsidR="008B54FD" w:rsidRPr="00B257E2" w:rsidRDefault="008B54FD">
      <w:pPr>
        <w:rPr>
          <w:sz w:val="22"/>
          <w:szCs w:val="22"/>
        </w:rPr>
      </w:pPr>
    </w:p>
    <w:p w14:paraId="12C309C3" w14:textId="00920600" w:rsidR="008B54FD" w:rsidRPr="00B257E2" w:rsidRDefault="008B54FD">
      <w:pPr>
        <w:rPr>
          <w:sz w:val="22"/>
          <w:szCs w:val="22"/>
        </w:rPr>
      </w:pPr>
    </w:p>
    <w:p w14:paraId="5F5A3CB4" w14:textId="58559CE7" w:rsidR="008B54FD" w:rsidRPr="00B257E2" w:rsidRDefault="008B54FD">
      <w:pPr>
        <w:rPr>
          <w:sz w:val="22"/>
          <w:szCs w:val="22"/>
        </w:rPr>
      </w:pPr>
    </w:p>
    <w:p w14:paraId="23D7B9F2" w14:textId="61ACE09B" w:rsidR="008B54FD" w:rsidRPr="00B257E2" w:rsidRDefault="003075CB">
      <w:pPr>
        <w:rPr>
          <w:sz w:val="22"/>
          <w:szCs w:val="22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012C251" wp14:editId="26CE0702">
                <wp:simplePos x="0" y="0"/>
                <wp:positionH relativeFrom="margin">
                  <wp:align>left</wp:align>
                </wp:positionH>
                <wp:positionV relativeFrom="page">
                  <wp:posOffset>6867525</wp:posOffset>
                </wp:positionV>
                <wp:extent cx="6305550" cy="914400"/>
                <wp:effectExtent l="0" t="0" r="0" b="0"/>
                <wp:wrapNone/>
                <wp:docPr id="1374008299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555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8100B7" w14:textId="665F8E50" w:rsidR="00E6122F" w:rsidRPr="00E6122F" w:rsidRDefault="00E6122F" w:rsidP="00E6122F">
                            <w:pPr>
                              <w:spacing w:line="680" w:lineRule="exact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52"/>
                                <w:szCs w:val="52"/>
                                <w14:textFill>
                                  <w14:gradFill>
                                    <w14:gsLst>
                                      <w14:gs w14:pos="0">
                                        <w14:srgbClr w14:val="61479C"/>
                                      </w14:gs>
                                      <w14:gs w14:pos="100000">
                                        <w14:srgbClr w14:val="476DB4"/>
                                      </w14:gs>
                                    </w14:gsLst>
                                    <w14:lin w14:ang="108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52"/>
                                <w:szCs w:val="52"/>
                                <w14:textFill>
                                  <w14:gradFill>
                                    <w14:gsLst>
                                      <w14:gs w14:pos="0">
                                        <w14:srgbClr w14:val="61479C"/>
                                      </w14:gs>
                                      <w14:gs w14:pos="100000">
                                        <w14:srgbClr w14:val="476DB4"/>
                                      </w14:gs>
                                    </w14:gsLst>
                                    <w14:lin w14:ang="10800000" w14:scaled="0"/>
                                  </w14:gradFill>
                                </w14:textFill>
                              </w:rPr>
                              <w:t>Curso de Planejamento e Gestão de Obras Públicas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12C251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margin-left:0;margin-top:540.75pt;width:496.5pt;height:1in;z-index: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7gaGEwIAACwEAAAOAAAAZHJzL2Uyb0RvYy54bWysU02P2yAQvVfqf0DcGztpst1acVbprlJV inZXylZ7JhhiS8BQILHTX98BOx/d9lT1AgNvmI83j/ldpxU5COcbMCUdj3JKhOFQNWZX0u8vqw+3 lPjATMUUGFHSo/D0bvH+3by1hZhADaoSjmAQ44vWlrQOwRZZ5nktNPMjsMIgKMFpFvDodlnlWIvR tcomeX6TteAq64AL7/H2oQfpIsWXUvDwJKUXgaiSYm0hrS6t27hmizkrdo7ZuuFDGewfqtCsMZj0 HOqBBUb2rvkjlG64Aw8yjDjoDKRsuEg9YDfj/E03m5pZkXpBcrw90+T/X1j+eNjYZ0dC9wU6HGAk pLW+8HgZ++mk03HHSgniSOHxTJvoAuF4efMxn81mCHHEPo+n0zzxml1eW+fDVwGaRKOkDseS2GKH tQ+YEV1PLjGZgVWjVBqNMqSNGTD8bwi+UAYfXmqNVui23dDAFqoj9uWgH7m3fNVg8jXz4Zk5nDHW i7oNT7hIBZgEBouSGtzPv91Hf6QeUUpa1ExJ/Y89c4IS9c3gUFLvKLJ0mM4+TTCHu0a214jZ63tA WY7xh1iezOgf1MmUDvQrynsZsyLEDMfcJQ0n8z70SsbvwcVymZxQVpaFtdlYHkNH0iK1L90rc3bg P+DkHuGkLla8GUPv29O93AeQTZpRJLhndeAdJZlGN3yfqPnrc/K6fPLFLwAAAP//AwBQSwMEFAAG AAgAAAAhAMTkdJ7gAAAACgEAAA8AAABkcnMvZG93bnJldi54bWxMj8FOwzAQRO9I/IO1SNyo06Cg NMSpqkgVEoJDSy/cNrGbRNjrELtt4OtZTnDcN6PZmXI9OyvOZgqDJwXLRQLCUOv1QJ2Cw9v2LgcR IpJG68ko+DIB1tX1VYmF9hfamfM+doJDKBSooI9xLKQMbW8choUfDbF29JPDyOfUST3hhcOdlWmS PEiHA/GHHkdT96b92J+cgud6+4q7JnX5t62fXo6b8fPwnil1ezNvHkFEM8c/M/zW5+pQcafGn0gH YRXwkMg0yZcZCNZXq3tGDaM0zTKQVSn/T6h+AAAA//8DAFBLAQItABQABgAIAAAAIQC2gziS/gAA AOEBAAATAAAAAAAAAAAAAAAAAAAAAABbQ29udGVudF9UeXBlc10ueG1sUEsBAi0AFAAGAAgAAAAh ADj9If/WAAAAlAEAAAsAAAAAAAAAAAAAAAAALwEAAF9yZWxzLy5yZWxzUEsBAi0AFAAGAAgAAAAh AJvuBoYTAgAALAQAAA4AAAAAAAAAAAAAAAAALgIAAGRycy9lMm9Eb2MueG1sUEsBAi0AFAAGAAgA AAAhAMTkdJ7gAAAACgEAAA8AAAAAAAAAAAAAAAAAbQQAAGRycy9kb3ducmV2LnhtbFBLBQYAAAAA BAAEAPMAAAB6BQAAAAA= " filled="f" stroked="f" strokeweight=".5pt">
                <v:textbox>
                  <w:txbxContent>
                    <w:p w14:paraId="558100B7" w14:textId="665F8E50" w:rsidR="00E6122F" w:rsidRPr="00E6122F" w:rsidRDefault="00E6122F" w:rsidP="00E6122F">
                      <w:pPr>
                        <w:spacing w:line="680" w:lineRule="exact"/>
                        <w:jc w:val="center"/>
                        <w:rPr>
                          <w:rFonts w:ascii="Century Gothic" w:hAnsi="Century Gothic"/>
                          <w:b/>
                          <w:bCs/>
                          <w:sz w:val="52"/>
                          <w:szCs w:val="52"/>
                          <w14:textFill>
                            <w14:gradFill>
                              <w14:gsLst>
                                <w14:gs w14:pos="0">
                                  <w14:srgbClr w14:val="61479C"/>
                                </w14:gs>
                                <w14:gs w14:pos="100000">
                                  <w14:srgbClr w14:val="476DB4"/>
                                </w14:gs>
                              </w14:gsLst>
                              <w14:lin w14:ang="10800000" w14:scaled="0"/>
                            </w14:gradFill>
                          </w14:textFill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52"/>
                          <w:szCs w:val="52"/>
                          <w14:textFill>
                            <w14:gradFill>
                              <w14:gsLst>
                                <w14:gs w14:pos="0">
                                  <w14:srgbClr w14:val="61479C"/>
                                </w14:gs>
                                <w14:gs w14:pos="100000">
                                  <w14:srgbClr w14:val="476DB4"/>
                                </w14:gs>
                              </w14:gsLst>
                              <w14:lin w14:ang="10800000" w14:scaled="0"/>
                            </w14:gradFill>
                          </w14:textFill>
                        </w:rPr>
                        <w:t>Curso de Planejamento e Gestão de Obras Públicas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26052E0A" w14:textId="77777777" w:rsidR="008B54FD" w:rsidRPr="00B257E2" w:rsidRDefault="008B54FD">
      <w:pPr>
        <w:rPr>
          <w:sz w:val="22"/>
          <w:szCs w:val="22"/>
        </w:rPr>
      </w:pPr>
    </w:p>
    <w:p w14:paraId="2FC40728" w14:textId="77777777" w:rsidR="008B54FD" w:rsidRPr="00B257E2" w:rsidRDefault="008B54FD">
      <w:pPr>
        <w:rPr>
          <w:sz w:val="22"/>
          <w:szCs w:val="22"/>
        </w:rPr>
      </w:pPr>
    </w:p>
    <w:p w14:paraId="0E5354FD" w14:textId="77777777" w:rsidR="008B54FD" w:rsidRPr="00B257E2" w:rsidRDefault="008B54FD">
      <w:pPr>
        <w:rPr>
          <w:sz w:val="22"/>
          <w:szCs w:val="22"/>
        </w:rPr>
      </w:pPr>
    </w:p>
    <w:p w14:paraId="2DF01E04" w14:textId="77777777" w:rsidR="008B54FD" w:rsidRPr="00B257E2" w:rsidRDefault="008B54FD">
      <w:pPr>
        <w:rPr>
          <w:sz w:val="22"/>
          <w:szCs w:val="22"/>
        </w:rPr>
      </w:pPr>
    </w:p>
    <w:p w14:paraId="6FBC4A74" w14:textId="77777777" w:rsidR="008B54FD" w:rsidRPr="00B257E2" w:rsidRDefault="008B54FD">
      <w:pPr>
        <w:rPr>
          <w:sz w:val="22"/>
          <w:szCs w:val="22"/>
        </w:rPr>
      </w:pPr>
    </w:p>
    <w:p w14:paraId="25813D87" w14:textId="77777777" w:rsidR="008B54FD" w:rsidRPr="00B257E2" w:rsidRDefault="008B54FD">
      <w:pPr>
        <w:rPr>
          <w:sz w:val="22"/>
          <w:szCs w:val="22"/>
        </w:rPr>
      </w:pPr>
    </w:p>
    <w:p w14:paraId="6A222168" w14:textId="77777777" w:rsidR="008B54FD" w:rsidRPr="00B257E2" w:rsidRDefault="008B54FD">
      <w:pPr>
        <w:rPr>
          <w:sz w:val="22"/>
          <w:szCs w:val="22"/>
        </w:rPr>
      </w:pPr>
    </w:p>
    <w:p w14:paraId="3A6889EB" w14:textId="77777777" w:rsidR="008B54FD" w:rsidRPr="00B257E2" w:rsidRDefault="008B54FD">
      <w:pPr>
        <w:rPr>
          <w:sz w:val="22"/>
          <w:szCs w:val="22"/>
        </w:rPr>
      </w:pPr>
    </w:p>
    <w:p w14:paraId="577FCEDE" w14:textId="77777777" w:rsidR="008B54FD" w:rsidRPr="00B257E2" w:rsidRDefault="008B54FD">
      <w:pPr>
        <w:rPr>
          <w:sz w:val="22"/>
          <w:szCs w:val="22"/>
        </w:rPr>
      </w:pPr>
    </w:p>
    <w:p w14:paraId="5D2FF3F6" w14:textId="77777777" w:rsidR="008B54FD" w:rsidRPr="00B257E2" w:rsidRDefault="008B54FD">
      <w:pPr>
        <w:rPr>
          <w:sz w:val="22"/>
          <w:szCs w:val="22"/>
        </w:rPr>
      </w:pPr>
    </w:p>
    <w:p w14:paraId="13AF11FE" w14:textId="77777777" w:rsidR="008B54FD" w:rsidRPr="00B257E2" w:rsidRDefault="008B54FD">
      <w:pPr>
        <w:rPr>
          <w:sz w:val="22"/>
          <w:szCs w:val="22"/>
        </w:rPr>
      </w:pPr>
    </w:p>
    <w:p w14:paraId="3E51E6C9" w14:textId="77777777" w:rsidR="008B54FD" w:rsidRDefault="008B54FD">
      <w:pPr>
        <w:rPr>
          <w:sz w:val="22"/>
          <w:szCs w:val="22"/>
        </w:rPr>
      </w:pPr>
    </w:p>
    <w:p w14:paraId="670F789F" w14:textId="77777777" w:rsidR="00B257E2" w:rsidRDefault="00B257E2">
      <w:pPr>
        <w:rPr>
          <w:sz w:val="22"/>
          <w:szCs w:val="22"/>
        </w:rPr>
      </w:pPr>
    </w:p>
    <w:p w14:paraId="5793502A" w14:textId="77777777" w:rsidR="00B257E2" w:rsidRDefault="00B257E2">
      <w:pPr>
        <w:rPr>
          <w:sz w:val="22"/>
          <w:szCs w:val="22"/>
        </w:rPr>
      </w:pPr>
    </w:p>
    <w:p w14:paraId="63FB8265" w14:textId="580E5AC8" w:rsidR="007377ED" w:rsidRPr="00DC3C02" w:rsidRDefault="00FF433E">
      <w:pPr>
        <w:pStyle w:val="Ttulo2"/>
        <w:numPr>
          <w:ilvl w:val="0"/>
          <w:numId w:val="5"/>
        </w:numPr>
        <w:spacing w:after="120" w:line="360" w:lineRule="auto"/>
        <w:ind w:left="0" w:firstLine="0"/>
        <w:jc w:val="both"/>
        <w:rPr>
          <w:rFonts w:ascii="Century Gothic" w:hAnsi="Century Gothic" w:cs="Calibri Light"/>
          <w:color w:val="476DB4"/>
          <w:sz w:val="28"/>
          <w:szCs w:val="28"/>
        </w:rPr>
      </w:pPr>
      <w:r>
        <w:rPr>
          <w:rFonts w:ascii="Century Gothic" w:hAnsi="Century Gothic" w:cs="Calibri Light"/>
          <w:color w:val="476DB4"/>
          <w:sz w:val="28"/>
          <w:szCs w:val="28"/>
        </w:rPr>
        <w:lastRenderedPageBreak/>
        <w:t>Título e descrição geral do Curso:</w:t>
      </w:r>
    </w:p>
    <w:p w14:paraId="5E0BE3E7" w14:textId="39BC919F" w:rsidR="007377ED" w:rsidRPr="00DC3C02" w:rsidRDefault="001616F4" w:rsidP="00DC3C02">
      <w:pPr>
        <w:spacing w:after="160" w:line="360" w:lineRule="auto"/>
        <w:jc w:val="both"/>
        <w:rPr>
          <w:rFonts w:cstheme="minorHAnsi"/>
        </w:rPr>
      </w:pPr>
      <w:r>
        <w:rPr>
          <w:rFonts w:cstheme="minorHAnsi"/>
          <w:b/>
          <w:bCs/>
        </w:rPr>
        <w:t>a. Título:</w:t>
      </w:r>
      <w:r>
        <w:rPr>
          <w:rFonts w:cstheme="minorHAnsi"/>
        </w:rPr>
        <w:t xml:space="preserve"> Planejamento e Gestão de Obras Públicas.</w:t>
      </w:r>
    </w:p>
    <w:p w14:paraId="63A3738A" w14:textId="1E142A87" w:rsidR="003075CB" w:rsidRDefault="001616F4" w:rsidP="003075CB">
      <w:pPr>
        <w:spacing w:after="160" w:line="360" w:lineRule="auto"/>
        <w:jc w:val="both"/>
        <w:rPr>
          <w:rFonts w:cstheme="minorHAnsi"/>
        </w:rPr>
      </w:pPr>
      <w:r>
        <w:rPr>
          <w:rFonts w:cstheme="minorHAnsi"/>
          <w:b/>
          <w:bCs/>
        </w:rPr>
        <w:t>b. Descrição Geral do Curso:</w:t>
      </w:r>
      <w:r>
        <w:rPr>
          <w:rFonts w:cstheme="minorHAnsi"/>
        </w:rPr>
        <w:br/>
      </w:r>
      <w:r>
        <w:t>As disciplinas que compõem o curso foram pensadas e</w:t>
      </w:r>
      <w:r>
        <w:rPr>
          <w:spacing w:val="1"/>
        </w:rPr>
        <w:t xml:space="preserve"> </w:t>
      </w:r>
      <w:r>
        <w:rPr>
          <w:w w:val="95"/>
        </w:rPr>
        <w:t>instituídas a partir das necessidades dos diversos atores que estão</w:t>
      </w:r>
      <w:r>
        <w:rPr>
          <w:spacing w:val="1"/>
          <w:w w:val="95"/>
        </w:rPr>
        <w:t xml:space="preserve"> </w:t>
      </w:r>
      <w:r>
        <w:t>envolvidos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processo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planejamento</w:t>
      </w:r>
      <w:r>
        <w:rPr>
          <w:spacing w:val="98"/>
        </w:rPr>
        <w:t xml:space="preserve"> </w:t>
      </w:r>
      <w:r>
        <w:t>e</w:t>
      </w:r>
      <w:r>
        <w:rPr>
          <w:spacing w:val="98"/>
        </w:rPr>
        <w:t xml:space="preserve"> </w:t>
      </w:r>
      <w:r>
        <w:t>elaboração</w:t>
      </w:r>
      <w:r>
        <w:rPr>
          <w:spacing w:val="99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peças técnicas fundamentais para uma boa contratação – ETP,</w:t>
      </w:r>
      <w:r>
        <w:rPr>
          <w:spacing w:val="1"/>
        </w:rPr>
        <w:t xml:space="preserve"> </w:t>
      </w:r>
      <w:r>
        <w:t>Anteprojeto,</w:t>
      </w:r>
      <w:r>
        <w:rPr>
          <w:spacing w:val="1"/>
        </w:rPr>
        <w:t xml:space="preserve"> </w:t>
      </w:r>
      <w:r>
        <w:t>Projeto</w:t>
      </w:r>
      <w:r>
        <w:rPr>
          <w:spacing w:val="1"/>
        </w:rPr>
        <w:t xml:space="preserve"> </w:t>
      </w:r>
      <w:r>
        <w:t>Básico</w:t>
      </w:r>
      <w:r>
        <w:rPr>
          <w:spacing w:val="1"/>
        </w:rPr>
        <w:t xml:space="preserve"> </w:t>
      </w:r>
      <w:r>
        <w:t>etc.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conteúdo</w:t>
      </w:r>
      <w:r>
        <w:rPr>
          <w:spacing w:val="1"/>
        </w:rPr>
        <w:t xml:space="preserve"> </w:t>
      </w:r>
      <w:r>
        <w:t>programático</w:t>
      </w:r>
      <w:r>
        <w:rPr>
          <w:spacing w:val="1"/>
        </w:rPr>
        <w:t xml:space="preserve"> </w:t>
      </w:r>
      <w:r>
        <w:t>aborda</w:t>
      </w:r>
      <w:r>
        <w:rPr>
          <w:spacing w:val="42"/>
        </w:rPr>
        <w:t xml:space="preserve"> </w:t>
      </w:r>
      <w:r>
        <w:t>as</w:t>
      </w:r>
      <w:r>
        <w:rPr>
          <w:spacing w:val="45"/>
        </w:rPr>
        <w:t xml:space="preserve"> </w:t>
      </w:r>
      <w:r>
        <w:t>atualizações</w:t>
      </w:r>
      <w:r>
        <w:rPr>
          <w:spacing w:val="45"/>
        </w:rPr>
        <w:t xml:space="preserve"> </w:t>
      </w:r>
      <w:r>
        <w:t>trazidas</w:t>
      </w:r>
      <w:r>
        <w:rPr>
          <w:spacing w:val="50"/>
        </w:rPr>
        <w:t xml:space="preserve"> </w:t>
      </w:r>
      <w:r>
        <w:t>pelo</w:t>
      </w:r>
      <w:r>
        <w:rPr>
          <w:spacing w:val="42"/>
        </w:rPr>
        <w:t xml:space="preserve"> </w:t>
      </w:r>
      <w:r>
        <w:t>Novo</w:t>
      </w:r>
      <w:r>
        <w:rPr>
          <w:spacing w:val="43"/>
        </w:rPr>
        <w:t xml:space="preserve"> </w:t>
      </w:r>
      <w:r>
        <w:t>Marco</w:t>
      </w:r>
      <w:r>
        <w:rPr>
          <w:spacing w:val="42"/>
        </w:rPr>
        <w:t xml:space="preserve"> </w:t>
      </w:r>
      <w:r>
        <w:t>Legal</w:t>
      </w:r>
      <w:r>
        <w:rPr>
          <w:spacing w:val="44"/>
        </w:rPr>
        <w:t xml:space="preserve"> </w:t>
      </w:r>
      <w:r>
        <w:t>da</w:t>
      </w:r>
      <w:r>
        <w:rPr>
          <w:spacing w:val="46"/>
        </w:rPr>
        <w:t xml:space="preserve"> </w:t>
      </w:r>
      <w:r>
        <w:t xml:space="preserve">Lei</w:t>
      </w:r>
      <w:r>
        <w:rPr>
          <w:spacing w:val="-9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 xml:space="preserve">Licitações e Contratos (Lei nº 14.133/2021)</w:t>
      </w:r>
      <w:r>
        <w:rPr>
          <w:spacing w:val="1"/>
        </w:rPr>
        <w:t xml:space="preserve"> </w:t>
      </w:r>
      <w:r>
        <w:t>e as</w:t>
      </w:r>
      <w:r>
        <w:rPr>
          <w:spacing w:val="1"/>
        </w:rPr>
        <w:t xml:space="preserve"> </w:t>
      </w:r>
      <w:r>
        <w:t>recomendações</w:t>
      </w:r>
      <w:r>
        <w:rPr>
          <w:spacing w:val="98"/>
        </w:rPr>
        <w:t xml:space="preserve"> </w:t>
      </w:r>
      <w:r>
        <w:t>mais recentes</w:t>
      </w:r>
      <w:r>
        <w:rPr>
          <w:spacing w:val="1"/>
        </w:rPr>
        <w:t xml:space="preserve"> </w:t>
      </w:r>
      <w:r>
        <w:t>dos</w:t>
      </w:r>
      <w:r>
        <w:rPr>
          <w:spacing w:val="-11"/>
        </w:rPr>
        <w:t xml:space="preserve"> </w:t>
      </w:r>
      <w:r>
        <w:t>órgãos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 xml:space="preserve">controle, a exemplo do TCU, da CGU, do TCE/SP e do TCM/SP.</w:t>
      </w:r>
      <w:r>
        <w:rPr>
          <w:rFonts w:cstheme="minorHAnsi"/>
        </w:rPr>
        <w:t xml:space="preserve">   </w:t>
      </w:r>
    </w:p>
    <w:p w14:paraId="6E35554D" w14:textId="16F8D8D7" w:rsidR="003075CB" w:rsidRPr="003075CB" w:rsidRDefault="003075CB" w:rsidP="003075CB">
      <w:pPr>
        <w:spacing w:after="160" w:line="360" w:lineRule="auto"/>
        <w:jc w:val="both"/>
        <w:rPr>
          <w:rFonts w:cstheme="minorHAnsi"/>
        </w:rPr>
      </w:pPr>
      <w:r>
        <w:t>Objetiva-se também orientar os alunos quanto aos temas da orçamentação e no uso das referências de preço. Ao longo das apresentações diversos estudos de caso com exemplos concretos serão apresentados. A dinâmica das aulas dará oportunidade aos alunos a pensar e ter uma visão crítica sobre os temas do planejamento, gestão e orçamentação de um empreendimento.</w:t>
      </w:r>
    </w:p>
    <w:p w14:paraId="12FD1B83" w14:textId="0D97B6B6" w:rsidR="001616F4" w:rsidRPr="00805256" w:rsidRDefault="003075CB" w:rsidP="003075CB">
      <w:pPr>
        <w:spacing w:after="160" w:line="360" w:lineRule="auto"/>
        <w:jc w:val="both"/>
        <w:rPr>
          <w:rFonts w:cstheme="minorHAnsi"/>
        </w:rPr>
      </w:pPr>
      <w:r>
        <w:t>Por fim, serão realizados estudos de caso com ênfase aos casos práticos envolvendo</w:t>
      </w:r>
      <w:r>
        <w:rPr>
          <w:spacing w:val="1"/>
        </w:rPr>
        <w:t xml:space="preserve"> </w:t>
      </w:r>
      <w:r>
        <w:rPr>
          <w:w w:val="105"/>
        </w:rPr>
        <w:t>o planejamento, gestão e orçamentação de uma variedade</w:t>
      </w:r>
      <w:r>
        <w:rPr>
          <w:spacing w:val="1"/>
          <w:w w:val="105"/>
        </w:rPr>
        <w:t xml:space="preserve"> </w:t>
      </w:r>
      <w:r>
        <w:rPr>
          <w:w w:val="105"/>
        </w:rPr>
        <w:t>de obras propiciará um grande aprendizado, principalmente</w:t>
      </w:r>
      <w:r>
        <w:rPr>
          <w:spacing w:val="1"/>
          <w:w w:val="105"/>
        </w:rPr>
        <w:t xml:space="preserve"> </w:t>
      </w:r>
      <w:r>
        <w:rPr>
          <w:w w:val="105"/>
        </w:rPr>
        <w:t>entender como se dá a fiscalização exercida pelos órgãos de</w:t>
      </w:r>
      <w:r>
        <w:rPr>
          <w:spacing w:val="1"/>
          <w:w w:val="105"/>
        </w:rPr>
        <w:t xml:space="preserve"> </w:t>
      </w:r>
      <w:r>
        <w:rPr>
          <w:w w:val="105"/>
        </w:rPr>
        <w:t>controle. A ideia é que o aluno não só aprenda a teoria, mas</w:t>
      </w:r>
      <w:r>
        <w:rPr>
          <w:spacing w:val="1"/>
          <w:w w:val="105"/>
        </w:rPr>
        <w:t xml:space="preserve"> </w:t>
      </w:r>
      <w:r>
        <w:rPr>
          <w:w w:val="105"/>
        </w:rPr>
        <w:t>também</w:t>
      </w:r>
      <w:r>
        <w:rPr>
          <w:spacing w:val="-11"/>
          <w:w w:val="105"/>
        </w:rPr>
        <w:t xml:space="preserve"> </w:t>
      </w:r>
      <w:r>
        <w:rPr>
          <w:w w:val="105"/>
        </w:rPr>
        <w:t>saiba</w:t>
      </w:r>
      <w:r>
        <w:rPr>
          <w:spacing w:val="-9"/>
          <w:w w:val="105"/>
        </w:rPr>
        <w:t xml:space="preserve"> </w:t>
      </w:r>
      <w:r>
        <w:rPr>
          <w:w w:val="105"/>
        </w:rPr>
        <w:t>aplicá-la</w:t>
      </w:r>
      <w:r>
        <w:rPr>
          <w:spacing w:val="-11"/>
          <w:w w:val="105"/>
        </w:rPr>
        <w:t xml:space="preserve"> </w:t>
      </w:r>
      <w:r>
        <w:rPr>
          <w:w w:val="105"/>
        </w:rPr>
        <w:t>aos</w:t>
      </w:r>
      <w:r>
        <w:rPr>
          <w:spacing w:val="-8"/>
          <w:w w:val="105"/>
        </w:rPr>
        <w:t xml:space="preserve"> </w:t>
      </w:r>
      <w:r>
        <w:rPr>
          <w:w w:val="105"/>
        </w:rPr>
        <w:t>seus</w:t>
      </w:r>
      <w:r>
        <w:rPr>
          <w:spacing w:val="-10"/>
          <w:w w:val="105"/>
        </w:rPr>
        <w:t xml:space="preserve"> </w:t>
      </w:r>
      <w:r>
        <w:rPr>
          <w:w w:val="105"/>
        </w:rPr>
        <w:t>processos</w:t>
      </w:r>
      <w:r>
        <w:rPr>
          <w:spacing w:val="-10"/>
          <w:w w:val="105"/>
        </w:rPr>
        <w:t xml:space="preserve"> </w:t>
      </w:r>
      <w:r>
        <w:rPr>
          <w:w w:val="105"/>
        </w:rPr>
        <w:t>licitatórios.</w:t>
      </w:r>
    </w:p>
    <w:p w14:paraId="70946932" w14:textId="6D47FB8D" w:rsidR="00FF433E" w:rsidRPr="00DC3C02" w:rsidRDefault="00FF433E" w:rsidP="00A55B8C">
      <w:pPr>
        <w:spacing w:after="120"/>
        <w:jc w:val="both"/>
        <w:rPr>
          <w:rFonts w:ascii="Calibri Light" w:hAnsi="Calibri Light" w:cs="Calibri Light"/>
          <w:sz w:val="16"/>
          <w:szCs w:val="16"/>
        </w:rPr>
      </w:pPr>
    </w:p>
    <w:p w14:paraId="26DCD464" w14:textId="1A50E7FF" w:rsidR="00FF433E" w:rsidRPr="00FF433E" w:rsidRDefault="00FF433E" w:rsidP="00A55B8C">
      <w:pPr>
        <w:spacing w:after="120"/>
        <w:jc w:val="both"/>
        <w:rPr>
          <w:rFonts w:ascii="Century Gothic" w:eastAsia="Arial" w:hAnsi="Century Gothic" w:cs="Calibri Light"/>
          <w:b/>
          <w:color w:val="476DB4"/>
          <w:kern w:val="0"/>
          <w:sz w:val="28"/>
          <w:szCs w:val="28"/>
          <w:lang w:eastAsia="pt-BR"/>
          <w14:ligatures w14:val="none"/>
        </w:rPr>
      </w:pPr>
      <w:r>
        <w:rPr>
          <w:rFonts w:ascii="Century Gothic" w:eastAsia="Arial" w:hAnsi="Century Gothic" w:cs="Calibri Light"/>
          <w:b/>
          <w:color w:val="476DB4"/>
          <w:kern w:val="0"/>
          <w:sz w:val="28"/>
          <w:szCs w:val="28"/>
          <w:lang w:eastAsia="pt-BR"/>
          <w14:ligatures w14:val="none"/>
        </w:rPr>
        <w:t xml:space="preserve">2. Características do Curso:</w:t>
      </w:r>
    </w:p>
    <w:p w14:paraId="3C185F6A" w14:textId="77777777" w:rsidR="00615E43" w:rsidRPr="00B402F9" w:rsidRDefault="00615E43" w:rsidP="00FF433E">
      <w:pPr>
        <w:spacing w:after="120"/>
        <w:rPr>
          <w:rFonts w:cstheme="minorHAnsi"/>
        </w:rPr>
      </w:pPr>
    </w:p>
    <w:p w14:paraId="3A5828C0" w14:textId="3B0EBD04" w:rsidR="001E1C67" w:rsidRPr="00B402F9" w:rsidRDefault="001E1C67">
      <w:pPr>
        <w:pStyle w:val="PargrafodaLista"/>
        <w:numPr>
          <w:ilvl w:val="0"/>
          <w:numId w:val="2"/>
        </w:numPr>
        <w:spacing w:after="160" w:line="278" w:lineRule="auto"/>
        <w:rPr>
          <w:rFonts w:asciiTheme="minorHAnsi" w:eastAsiaTheme="minorHAnsi" w:hAnsiTheme="minorHAnsi" w:cstheme="minorHAnsi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Theme="minorHAnsi" w:eastAsiaTheme="minorHAnsi" w:hAnsiTheme="minorHAnsi" w:cstheme="minorHAns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>Duração:</w:t>
      </w:r>
      <w:r>
        <w:rPr>
          <w:rFonts w:asciiTheme="minorHAnsi" w:eastAsiaTheme="minorHAnsi" w:hAnsiTheme="minorHAnsi" w:cstheme="minorHAnsi"/>
          <w:color w:val="auto"/>
          <w:kern w:val="2"/>
          <w:sz w:val="24"/>
          <w:szCs w:val="24"/>
          <w:lang w:eastAsia="en-US"/>
          <w14:ligatures w14:val="standardContextual"/>
        </w:rPr>
        <w:t xml:space="preserve"> 3 dias;</w:t>
      </w:r>
    </w:p>
    <w:p w14:paraId="6320262A" w14:textId="2761B74E" w:rsidR="001E1C67" w:rsidRPr="00B402F9" w:rsidRDefault="001E1C67">
      <w:pPr>
        <w:numPr>
          <w:ilvl w:val="0"/>
          <w:numId w:val="2"/>
        </w:numPr>
        <w:spacing w:after="160" w:line="278" w:lineRule="auto"/>
        <w:rPr>
          <w:rFonts w:cstheme="minorHAnsi"/>
        </w:rPr>
      </w:pPr>
      <w:r>
        <w:rPr>
          <w:rFonts w:cstheme="minorHAnsi"/>
          <w:b/>
          <w:bCs/>
        </w:rPr>
        <w:t>Carga horária:</w:t>
      </w:r>
      <w:r>
        <w:rPr>
          <w:rFonts w:cstheme="minorHAnsi"/>
        </w:rPr>
        <w:t xml:space="preserve"> 24 horas;</w:t>
      </w:r>
    </w:p>
    <w:p w14:paraId="302B464D" w14:textId="4736041E" w:rsidR="001E1C67" w:rsidRPr="00B402F9" w:rsidRDefault="001E1C67">
      <w:pPr>
        <w:numPr>
          <w:ilvl w:val="0"/>
          <w:numId w:val="2"/>
        </w:numPr>
        <w:spacing w:after="160" w:line="278" w:lineRule="auto"/>
        <w:rPr>
          <w:rFonts w:cstheme="minorHAnsi"/>
        </w:rPr>
      </w:pPr>
      <w:r>
        <w:rPr>
          <w:rFonts w:cstheme="minorHAnsi"/>
          <w:b/>
          <w:bCs/>
        </w:rPr>
        <w:t>Metodologia:</w:t>
      </w:r>
      <w:r>
        <w:rPr>
          <w:rFonts w:cstheme="minorHAnsi"/>
        </w:rPr>
        <w:t xml:space="preserve"> Aulas expositivas, estudos de caso, debates e interação com os instrutores;</w:t>
      </w:r>
    </w:p>
    <w:p w14:paraId="0B3548BD" w14:textId="683F7070" w:rsidR="00615E43" w:rsidRPr="00B402F9" w:rsidRDefault="00DC3C02" w:rsidP="00805256">
      <w:pPr>
        <w:pStyle w:val="PargrafodaLista"/>
        <w:numPr>
          <w:ilvl w:val="0"/>
          <w:numId w:val="0"/>
        </w:numPr>
        <w:spacing w:after="120"/>
        <w:ind w:left="709"/>
        <w:rPr>
          <w:rFonts w:asciiTheme="minorHAnsi" w:eastAsiaTheme="minorHAnsi" w:hAnsiTheme="minorHAnsi" w:cstheme="minorHAnsi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Theme="minorHAnsi" w:eastAsiaTheme="minorHAnsi" w:hAnsiTheme="minorHAnsi" w:cstheme="minorHAnsi"/>
          <w:color w:val="auto"/>
          <w:kern w:val="2"/>
          <w:sz w:val="24"/>
          <w:szCs w:val="24"/>
          <w:lang w:eastAsia="en-US"/>
          <w14:ligatures w14:val="standardContextual"/>
        </w:rPr>
        <w:t xml:space="preserve">Serão apresentados diversos estudos de caso com exemplos concretos como forma de buscar um amplo debate com a turma. A dinâmica das aulas dará oportunidade aos alunos a pensar e ter uma visão crítica sobre os temas do curso. </w:t>
      </w:r>
    </w:p>
    <w:p w14:paraId="43B5ADAA" w14:textId="07732EF1" w:rsidR="00615E43" w:rsidRPr="00B402F9" w:rsidRDefault="00DC3C02" w:rsidP="00805256">
      <w:pPr>
        <w:pStyle w:val="PargrafodaLista"/>
        <w:numPr>
          <w:ilvl w:val="0"/>
          <w:numId w:val="0"/>
        </w:numPr>
        <w:spacing w:after="120"/>
        <w:ind w:left="709"/>
        <w:rPr>
          <w:rFonts w:asciiTheme="minorHAnsi" w:eastAsiaTheme="minorHAnsi" w:hAnsiTheme="minorHAnsi" w:cstheme="minorHAnsi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Theme="minorHAnsi" w:eastAsiaTheme="minorHAnsi" w:hAnsiTheme="minorHAnsi" w:cstheme="minorHAnsi"/>
          <w:color w:val="auto"/>
          <w:kern w:val="2"/>
          <w:sz w:val="24"/>
          <w:szCs w:val="24"/>
          <w:lang w:eastAsia="en-US"/>
          <w14:ligatures w14:val="standardContextual"/>
        </w:rPr>
        <w:lastRenderedPageBreak/>
        <w:t xml:space="preserve">Para o maior aprendizado, a abordagem dinâmica das aulas unirá a teoria aos estudos de caso, convidando o aluno a participar do problema e da solução.</w:t>
      </w:r>
    </w:p>
    <w:p w14:paraId="2FF7584E" w14:textId="77777777" w:rsidR="001E1C67" w:rsidRDefault="001E1C67" w:rsidP="001E1C67">
      <w:pPr>
        <w:pStyle w:val="PargrafodaLista"/>
        <w:numPr>
          <w:ilvl w:val="0"/>
          <w:numId w:val="0"/>
        </w:numPr>
        <w:spacing w:after="120"/>
        <w:ind w:left="720" w:firstLine="696"/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</w:pPr>
    </w:p>
    <w:p w14:paraId="2F1D3625" w14:textId="53762B3B" w:rsidR="001E1C67" w:rsidRPr="001E1C67" w:rsidRDefault="001E1C67">
      <w:pPr>
        <w:pStyle w:val="PargrafodaLista"/>
        <w:numPr>
          <w:ilvl w:val="0"/>
          <w:numId w:val="2"/>
        </w:numPr>
        <w:spacing w:after="120"/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>Instrutores</w:t>
      </w:r>
    </w:p>
    <w:p w14:paraId="0EB305AE" w14:textId="650EB5C6" w:rsidR="001E1C67" w:rsidRPr="00BC7A83" w:rsidRDefault="001E1C67">
      <w:pPr>
        <w:numPr>
          <w:ilvl w:val="1"/>
          <w:numId w:val="3"/>
        </w:numPr>
        <w:spacing w:after="160" w:line="278" w:lineRule="auto"/>
        <w:ind w:left="993" w:hanging="426"/>
        <w:jc w:val="both"/>
      </w:pPr>
      <w:r>
        <w:rPr>
          <w:b/>
          <w:bCs/>
          <w:u w:val="single"/>
        </w:rPr>
        <w:t>1º dia:</w:t>
      </w:r>
      <w:r>
        <w:t xml:space="preserve"> Acelino Rodrigues Alves;</w:t>
      </w:r>
    </w:p>
    <w:p w14:paraId="04EDAEB2" w14:textId="47379346" w:rsidR="001E1C67" w:rsidRPr="00BC7A83" w:rsidRDefault="001E1C67">
      <w:pPr>
        <w:numPr>
          <w:ilvl w:val="1"/>
          <w:numId w:val="3"/>
        </w:numPr>
        <w:spacing w:after="160" w:line="278" w:lineRule="auto"/>
        <w:ind w:left="993" w:hanging="426"/>
        <w:jc w:val="both"/>
      </w:pPr>
      <w:r>
        <w:rPr>
          <w:b/>
          <w:bCs/>
          <w:u w:val="single"/>
        </w:rPr>
        <w:t>2º dia:</w:t>
      </w:r>
      <w:r>
        <w:t xml:space="preserve"> José de Castro Barreto Junior;</w:t>
      </w:r>
    </w:p>
    <w:p w14:paraId="3B22581D" w14:textId="102F9C9C" w:rsidR="00B0164F" w:rsidRDefault="001E1C67">
      <w:pPr>
        <w:numPr>
          <w:ilvl w:val="1"/>
          <w:numId w:val="3"/>
        </w:numPr>
        <w:spacing w:after="160" w:line="278" w:lineRule="auto"/>
        <w:ind w:left="993" w:hanging="426"/>
        <w:jc w:val="both"/>
      </w:pPr>
      <w:r>
        <w:rPr>
          <w:b/>
          <w:bCs/>
          <w:u w:val="single"/>
        </w:rPr>
        <w:t xml:space="preserve">3º dia: </w:t>
      </w:r>
      <w:r>
        <w:t xml:space="preserve">Acelino Rodrigues Alves e José de Castro Barreto Junior.</w:t>
      </w:r>
    </w:p>
    <w:p w14:paraId="6D5736EE" w14:textId="77777777" w:rsidR="00A55B8C" w:rsidRPr="00DC3C02" w:rsidRDefault="00A55B8C" w:rsidP="00A55B8C">
      <w:pPr>
        <w:spacing w:after="160" w:line="278" w:lineRule="auto"/>
        <w:ind w:left="993"/>
        <w:jc w:val="both"/>
        <w:rPr>
          <w:sz w:val="16"/>
          <w:szCs w:val="16"/>
        </w:rPr>
      </w:pPr>
    </w:p>
    <w:p w14:paraId="6EC894C7" w14:textId="06B45BC2" w:rsidR="00FF433E" w:rsidRPr="00FF433E" w:rsidRDefault="00FF433E" w:rsidP="00FF433E">
      <w:pPr>
        <w:spacing w:after="120"/>
        <w:jc w:val="both"/>
        <w:rPr>
          <w:rFonts w:ascii="Century Gothic" w:eastAsia="Arial" w:hAnsi="Century Gothic" w:cs="Calibri Light"/>
          <w:b/>
          <w:color w:val="476DB4"/>
          <w:kern w:val="0"/>
          <w:sz w:val="28"/>
          <w:szCs w:val="28"/>
          <w:lang w:eastAsia="pt-BR"/>
          <w14:ligatures w14:val="none"/>
        </w:rPr>
      </w:pPr>
      <w:r>
        <w:rPr>
          <w:rFonts w:ascii="Century Gothic" w:eastAsia="Arial" w:hAnsi="Century Gothic" w:cs="Calibri Light"/>
          <w:b/>
          <w:color w:val="476DB4"/>
          <w:kern w:val="0"/>
          <w:sz w:val="28"/>
          <w:szCs w:val="28"/>
          <w:lang w:eastAsia="pt-BR"/>
          <w14:ligatures w14:val="none"/>
        </w:rPr>
        <w:t xml:space="preserve">3. Objetivos do Curso:</w:t>
      </w:r>
    </w:p>
    <w:p w14:paraId="60BFFB4D" w14:textId="77777777" w:rsidR="00EB6FFF" w:rsidRPr="00DC3C02" w:rsidRDefault="00EB6FFF" w:rsidP="00FF433E">
      <w:pPr>
        <w:spacing w:after="120"/>
        <w:rPr>
          <w:rFonts w:ascii="Calibri Light" w:hAnsi="Calibri Light" w:cs="Calibri Light"/>
          <w:b/>
          <w:bCs/>
          <w:sz w:val="16"/>
          <w:szCs w:val="16"/>
        </w:rPr>
      </w:pPr>
    </w:p>
    <w:p w:rsidR="00EB6FFF" w:rsidRDefault="00EB6FFF">
      <w:pPr>
        <w:numPr>
          <w:ilvl w:val="0"/>
          <w:numId w:val="4"/>
        </w:numPr>
        <w:spacing w:after="160" w:line="278" w:lineRule="auto"/>
        <w:jc w:val="both"/>
      </w:pPr>
      <w:r>
        <w:t xml:space="preserve">Capacitar os participantes a planejar contratações de obras públicas à luz da Lei nº 14.133/2021 e do Decreto Municipal nº 62.100/2022, dominando o ciclo do empreendimento — do Plano de Contratações Anual (PCA) e do Estudo Técnico Preliminar (ETP) ao anteprojeto, ao projeto básico e ao projeto executivo — sob os princípios da governança e da segregação de funções;</w:t>
      </w:r>
    </w:p>
    <w:p w:rsidR="00EB6FFF" w:rsidRDefault="00EB6FFF">
      <w:pPr>
        <w:numPr>
          <w:ilvl w:val="0"/>
          <w:numId w:val="4"/>
        </w:numPr>
        <w:spacing w:after="160" w:line="278" w:lineRule="auto"/>
        <w:jc w:val="both"/>
      </w:pPr>
      <w:r>
        <w:t xml:space="preserve">Habilitar os alunos a selecionar e aplicar adequadamente os regimes de execução contratual (empreitada por preço unitário e global, contratação integrada e semi-integrada), compreendendo suas regras de medição e pagamento, a alocação de riscos e os limites das alterações contratuais;</w:t>
      </w:r>
    </w:p>
    <w:p w:rsidR="00EB6FFF" w:rsidRDefault="00EB6FFF">
      <w:pPr>
        <w:numPr>
          <w:ilvl w:val="0"/>
          <w:numId w:val="4"/>
        </w:numPr>
        <w:spacing w:after="160" w:line="278" w:lineRule="auto"/>
        <w:jc w:val="both"/>
      </w:pPr>
      <w:r>
        <w:t xml:space="preserve">Desenvolver a competência para elaborar e analisar criticamente a matriz de riscos nas contratações integrada e semi-integrada, identificando as responsabilidades das partes e prevenindo aditivos indevidos e distorções de projeto;</w:t>
      </w:r>
    </w:p>
    <w:p w:rsidR="00EB6FFF" w:rsidRDefault="00EB6FFF">
      <w:pPr>
        <w:numPr>
          <w:ilvl w:val="0"/>
          <w:numId w:val="4"/>
        </w:numPr>
        <w:spacing w:after="160" w:line="278" w:lineRule="auto"/>
        <w:jc w:val="both"/>
      </w:pPr>
      <w:r>
        <w:t xml:space="preserve">Proporcionar o domínio da orçamentação de obras públicas — composição de custos diretos e indiretos, BDI, encargos sociais e referências de preço (SINAPI, SICRO e Tabela de Custos da SIURB) — e a correta identificação e mensuração de sobrepreço e superfaturamento;</w:t>
      </w:r>
    </w:p>
    <w:p w:rsidR="00EB6FFF" w:rsidRDefault="00EB6FFF">
      <w:pPr>
        <w:numPr>
          <w:ilvl w:val="0"/>
          <w:numId w:val="4"/>
        </w:numPr>
        <w:spacing w:after="160" w:line="278" w:lineRule="auto"/>
        <w:jc w:val="both"/>
      </w:pPr>
      <w:r>
        <w:t xml:space="preserve">Instrumentalizar os participantes para a gestão e a fiscalização da execução contratual e para o adequado relacionamento com os órgãos de controle (TCU, TCE/SP e TCM/SP), por meio de estudos de caso que integrem planejamento, orçamentação e jurisprudência aplicada.</w:t>
      </w:r>
    </w:p>
    <w:p w14:paraId="3BCC0F0E" w14:textId="77777777" w:rsidR="00A55B8C" w:rsidRPr="00EB6FFF" w:rsidRDefault="00A55B8C" w:rsidP="003075CB">
      <w:pPr>
        <w:pStyle w:val="PargrafodaLista"/>
        <w:numPr>
          <w:ilvl w:val="0"/>
          <w:numId w:val="0"/>
        </w:numPr>
        <w:spacing w:after="120"/>
        <w:ind w:left="720"/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</w:pPr>
    </w:p>
    <w:p w14:paraId="3342AE59" w14:textId="77777777" w:rsidR="00B0164F" w:rsidRPr="00FF433E" w:rsidRDefault="00B0164F" w:rsidP="00B0164F">
      <w:pPr>
        <w:pStyle w:val="PargrafodaLista"/>
        <w:numPr>
          <w:ilvl w:val="0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ind w:left="720"/>
        <w:rPr>
          <w:rFonts w:ascii="Calibri Light" w:hAnsi="Calibri Light" w:cs="Calibri Light"/>
        </w:rPr>
      </w:pPr>
    </w:p>
    <w:p w14:paraId="49016969" w14:textId="4D908B0B" w:rsidR="00B0164F" w:rsidRDefault="00B0164F" w:rsidP="00B0164F">
      <w:pPr>
        <w:spacing w:after="120"/>
        <w:jc w:val="both"/>
        <w:rPr>
          <w:rFonts w:ascii="Century Gothic" w:eastAsia="Arial" w:hAnsi="Century Gothic" w:cs="Calibri Light"/>
          <w:b/>
          <w:color w:val="476DB4"/>
          <w:kern w:val="0"/>
          <w:sz w:val="28"/>
          <w:szCs w:val="28"/>
          <w:lang w:eastAsia="pt-BR"/>
          <w14:ligatures w14:val="none"/>
        </w:rPr>
      </w:pPr>
      <w:r>
        <w:rPr>
          <w:rFonts w:ascii="Century Gothic" w:eastAsia="Arial" w:hAnsi="Century Gothic" w:cs="Calibri Light"/>
          <w:b/>
          <w:color w:val="476DB4"/>
          <w:kern w:val="0"/>
          <w:sz w:val="28"/>
          <w:szCs w:val="28"/>
          <w:lang w:eastAsia="pt-BR"/>
          <w14:ligatures w14:val="none"/>
        </w:rPr>
        <w:t xml:space="preserve">4. Público-alvo do Curso:</w:t>
      </w:r>
    </w:p>
    <w:p w14:paraId="16EDD5F4" w14:textId="77777777" w:rsidR="00EB6FFF" w:rsidRPr="00DC3C02" w:rsidRDefault="00EB6FFF" w:rsidP="00B0164F">
      <w:pPr>
        <w:spacing w:after="120"/>
        <w:jc w:val="both"/>
        <w:rPr>
          <w:rFonts w:ascii="Century Gothic" w:eastAsia="Arial" w:hAnsi="Century Gothic" w:cs="Calibri Light"/>
          <w:b/>
          <w:color w:val="476DB4"/>
          <w:kern w:val="0"/>
          <w:sz w:val="16"/>
          <w:szCs w:val="16"/>
          <w:lang w:eastAsia="pt-BR"/>
          <w14:ligatures w14:val="none"/>
        </w:rPr>
      </w:pPr>
    </w:p>
    <w:p w14:paraId="6598CF4B" w14:textId="77777777" w:rsidR="00EB6FFF" w:rsidRPr="00EB6FFF" w:rsidRDefault="00EB6FFF" w:rsidP="00EB6FFF">
      <w:pPr>
        <w:spacing w:after="160" w:line="278" w:lineRule="auto"/>
        <w:jc w:val="both"/>
      </w:pPr>
      <w:r>
        <w:t>Profissionais que atuam na contratação, fiscalização, execução e auditoria de empreendimentos públicos, incluindo:</w:t>
      </w:r>
    </w:p>
    <w:p w14:paraId="32555C25" w14:textId="60E88881" w:rsidR="00EB6FFF" w:rsidRPr="00EB6FFF" w:rsidRDefault="00EB6FFF">
      <w:pPr>
        <w:numPr>
          <w:ilvl w:val="0"/>
          <w:numId w:val="4"/>
        </w:numPr>
        <w:tabs>
          <w:tab w:val="num" w:pos="720"/>
        </w:tabs>
        <w:spacing w:after="160" w:line="278" w:lineRule="auto"/>
      </w:pPr>
      <w:r>
        <w:t>Gestores e fiscais de obras e contratos;</w:t>
      </w:r>
    </w:p>
    <w:p w14:paraId="0FBCC080" w14:textId="53C994AE" w:rsidR="00EB6FFF" w:rsidRPr="00EB6FFF" w:rsidRDefault="00EB6FFF">
      <w:pPr>
        <w:numPr>
          <w:ilvl w:val="0"/>
          <w:numId w:val="4"/>
        </w:numPr>
        <w:tabs>
          <w:tab w:val="num" w:pos="720"/>
        </w:tabs>
        <w:spacing w:after="160" w:line="278" w:lineRule="auto"/>
      </w:pPr>
      <w:r>
        <w:t>Membros de comissões de licitação;</w:t>
      </w:r>
    </w:p>
    <w:p w14:paraId="5731A5CC" w14:textId="7759AC8D" w:rsidR="00EB6FFF" w:rsidRDefault="00EB6FFF">
      <w:pPr>
        <w:numPr>
          <w:ilvl w:val="0"/>
          <w:numId w:val="4"/>
        </w:numPr>
        <w:tabs>
          <w:tab w:val="num" w:pos="720"/>
        </w:tabs>
        <w:spacing w:after="160" w:line="278" w:lineRule="auto"/>
      </w:pPr>
      <w:r>
        <w:t>Profissionais de engenharia e arquitetura;</w:t>
      </w:r>
    </w:p>
    <w:p w14:paraId="3F959373" w14:textId="56A3C179" w:rsidR="00EB6FFF" w:rsidRPr="00EB6FFF" w:rsidRDefault="00EB6FFF">
      <w:pPr>
        <w:numPr>
          <w:ilvl w:val="0"/>
          <w:numId w:val="4"/>
        </w:numPr>
        <w:tabs>
          <w:tab w:val="num" w:pos="720"/>
        </w:tabs>
        <w:spacing w:after="160" w:line="278" w:lineRule="auto"/>
      </w:pPr>
      <w:r>
        <w:t>Construtores do setor privado que contratam com a Administração pública;</w:t>
      </w:r>
    </w:p>
    <w:p w14:paraId="26B25EE6" w14:textId="463D9927" w:rsidR="00EB6FFF" w:rsidRPr="00EB6FFF" w:rsidRDefault="00EB6FFF">
      <w:pPr>
        <w:numPr>
          <w:ilvl w:val="0"/>
          <w:numId w:val="4"/>
        </w:numPr>
        <w:tabs>
          <w:tab w:val="num" w:pos="720"/>
        </w:tabs>
        <w:spacing w:after="160" w:line="278" w:lineRule="auto"/>
      </w:pPr>
      <w:r>
        <w:t>Assessores jurídicos;</w:t>
      </w:r>
    </w:p>
    <w:p w14:paraId="23EF6497" w14:textId="442957CA" w:rsidR="00EB6FFF" w:rsidRPr="00EB6FFF" w:rsidRDefault="00EB6FFF">
      <w:pPr>
        <w:numPr>
          <w:ilvl w:val="0"/>
          <w:numId w:val="4"/>
        </w:numPr>
        <w:tabs>
          <w:tab w:val="num" w:pos="720"/>
        </w:tabs>
        <w:spacing w:after="160" w:line="278" w:lineRule="auto"/>
      </w:pPr>
      <w:r>
        <w:t>Procuradores;</w:t>
      </w:r>
    </w:p>
    <w:p w14:paraId="31F2AFD3" w14:textId="0119CC6F" w:rsidR="00EB6FFF" w:rsidRPr="00EB6FFF" w:rsidRDefault="00EB6FFF">
      <w:pPr>
        <w:numPr>
          <w:ilvl w:val="0"/>
          <w:numId w:val="4"/>
        </w:numPr>
        <w:tabs>
          <w:tab w:val="num" w:pos="720"/>
        </w:tabs>
        <w:spacing w:after="160" w:line="278" w:lineRule="auto"/>
      </w:pPr>
      <w:r>
        <w:t>Controladores e auditores;</w:t>
      </w:r>
    </w:p>
    <w:p w14:paraId="5687B80F" w14:textId="5C6C9F70" w:rsidR="008E6836" w:rsidRPr="00EE5A2F" w:rsidRDefault="00EB6FFF">
      <w:pPr>
        <w:numPr>
          <w:ilvl w:val="0"/>
          <w:numId w:val="4"/>
        </w:numPr>
        <w:tabs>
          <w:tab w:val="num" w:pos="720"/>
        </w:tabs>
        <w:spacing w:after="160" w:line="278" w:lineRule="auto"/>
      </w:pPr>
      <w:r>
        <w:t>Outros profissionais envolvidos na execução e controle de obras públicas.</w:t>
      </w:r>
    </w:p>
    <w:p w14:paraId="3DCF0AE0" w14:textId="7F577CB5" w:rsidR="00FF433E" w:rsidRPr="00FF433E" w:rsidRDefault="00B0164F" w:rsidP="00FF433E">
      <w:pPr>
        <w:spacing w:after="120"/>
        <w:jc w:val="both"/>
        <w:rPr>
          <w:rFonts w:ascii="Century Gothic" w:eastAsia="Arial" w:hAnsi="Century Gothic" w:cs="Calibri Light"/>
          <w:b/>
          <w:color w:val="476DB4"/>
          <w:kern w:val="0"/>
          <w:sz w:val="28"/>
          <w:szCs w:val="28"/>
          <w:lang w:eastAsia="pt-BR"/>
          <w14:ligatures w14:val="none"/>
        </w:rPr>
      </w:pPr>
      <w:r>
        <w:rPr>
          <w:rFonts w:ascii="Century Gothic" w:eastAsia="Arial" w:hAnsi="Century Gothic" w:cs="Calibri Light"/>
          <w:b/>
          <w:color w:val="476DB4"/>
          <w:kern w:val="0"/>
          <w:sz w:val="28"/>
          <w:szCs w:val="28"/>
          <w:lang w:eastAsia="pt-BR"/>
          <w14:ligatures w14:val="none"/>
        </w:rPr>
        <w:lastRenderedPageBreak/>
        <w:t xml:space="preserve">5. Conteúdo Programático:</w:t>
      </w:r>
    </w:p>
    <w:tbl>
      <w:tblPr>
        <w:tblStyle w:val="TabeladeGrade1Clara-nfase1"/>
        <w:tblW w:w="9226" w:type="dxa"/>
        <w:jc w:val="center"/>
        <w:tblLook w:val="04A0" w:firstRow="1" w:lastRow="0" w:firstColumn="1" w:lastColumn="0" w:noHBand="0" w:noVBand="1"/>
      </w:tblPr>
      <w:tblGrid>
        <w:gridCol w:w="7792"/>
        <w:gridCol w:w="1434"/>
      </w:tblGrid>
      <w:tr w:rsidR="00506313" w14:paraId="669A006A" w14:textId="77777777" w:rsidTr="002E62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2" w:type="dxa"/>
            <w:vAlign w:val="center"/>
          </w:tcPr>
          <w:p w14:paraId="54AEE35D" w14:textId="7031EE03" w:rsidR="00506313" w:rsidRPr="008A013F" w:rsidRDefault="00506313" w:rsidP="008A013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Unidades</w:t>
            </w:r>
            <w:r>
              <w:rPr>
                <w:rFonts w:cstheme="minorHAnsi"/>
                <w:spacing w:val="-1"/>
              </w:rPr>
              <w:t xml:space="preserve"> </w:t>
            </w:r>
            <w:r>
              <w:rPr>
                <w:rFonts w:cstheme="minorHAnsi"/>
              </w:rPr>
              <w:t>Temáticas</w:t>
            </w:r>
          </w:p>
        </w:tc>
        <w:tc>
          <w:tcPr>
            <w:tcW w:w="1434" w:type="dxa"/>
            <w:vAlign w:val="center"/>
          </w:tcPr>
          <w:p w14:paraId="54554738" w14:textId="3841E0E8" w:rsidR="00506313" w:rsidRPr="008A013F" w:rsidRDefault="00506313" w:rsidP="008A01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Carga</w:t>
            </w:r>
            <w:r>
              <w:rPr>
                <w:rFonts w:cstheme="minorHAnsi"/>
                <w:spacing w:val="-4"/>
              </w:rPr>
              <w:t xml:space="preserve"> </w:t>
            </w:r>
            <w:r>
              <w:rPr>
                <w:rFonts w:cstheme="minorHAnsi"/>
              </w:rPr>
              <w:t>horária</w:t>
            </w:r>
          </w:p>
        </w:tc>
      </w:tr>
      <w:tr w:rsidR="00506313" w14:paraId="723879CB" w14:textId="77777777" w:rsidTr="002E62C4">
        <w:trPr>
          <w:trHeight w:val="9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2" w:type="dxa"/>
          </w:tcPr>
          <w:p w14:paraId="39A11F65" w14:textId="5F8D1467" w:rsidR="00506313" w:rsidRPr="00E81655" w:rsidRDefault="00DE6F78" w:rsidP="00506313">
            <w:pPr>
              <w:jc w:val="both"/>
              <w:rPr>
                <w:rFonts w:cstheme="minorHAnsi"/>
                <w:u w:val="single"/>
              </w:rPr>
            </w:pPr>
            <w:r>
              <w:rPr>
                <w:rFonts w:cstheme="minorHAnsi"/>
                <w:u w:val="single"/>
              </w:rPr>
              <w:t xml:space="preserve">1) Planejamento da Contratação conforme a Lei 14.133/21</w:t>
            </w:r>
          </w:p>
          <w:p w14:paraId="5FC9315D" w14:textId="046631C9" w:rsidR="00DE6F78" w:rsidRPr="00E81655" w:rsidRDefault="00DE6F78" w:rsidP="00DE6F78">
            <w:pPr>
              <w:jc w:val="both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1.1 — Panorama e Governança do Planejamento de Obras Públicas</w:t>
            </w:r>
          </w:p>
          <w:p w14:paraId="4477ABFB" w14:textId="41DCD4E8" w:rsidR="00DE6F78" w:rsidRPr="008A013F" w:rsidRDefault="00DE6F78" w:rsidP="00DE6F78">
            <w:p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i/>
                <w:iCs/>
                <w:sz w:val="22"/>
                <w:szCs w:val="22"/>
              </w:rPr>
              <w:t xml:space="preserve">Base normativa: Lei 14.133/21, arts. 5º, 6º, 11 e 12; Decreto Municipal 62.100/22, arts. 1º, 2º, 5º, 6º e 7º</w:t>
            </w:r>
          </w:p>
          <w:p w14:paraId="3E0D84F0" w14:textId="3895EF1E" w:rsidR="00DE6F78" w:rsidRPr="008A013F" w:rsidRDefault="00DE6F78" w:rsidP="00DE6F78">
            <w:p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 xml:space="preserve">1.1.1 O paradigma do planejamento na Lei 14.133/21:</w:t>
            </w:r>
          </w:p>
          <w:p w14:paraId="27B1D357" w14:textId="712A0801" w:rsidR="00DE6F78" w:rsidRPr="008A013F" w:rsidRDefault="00DE6F78" w:rsidP="00DE6F78">
            <w:pPr>
              <w:numPr>
                <w:ilvl w:val="0"/>
                <w:numId w:val="6"/>
              </w:num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Princípios do planejamento, da eficiência e da segregação de funções (art. 5º);</w:t>
            </w:r>
          </w:p>
          <w:p w14:paraId="6C057683" w14:textId="7481F4B6" w:rsidR="00DE6F78" w:rsidRPr="008A013F" w:rsidRDefault="00DE6F78" w:rsidP="00DE6F78">
            <w:pPr>
              <w:numPr>
                <w:ilvl w:val="0"/>
                <w:numId w:val="6"/>
              </w:num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Ciclo de um empreendimento de obra pública: do ETP à pós-ocupação.</w:t>
            </w:r>
          </w:p>
          <w:p w14:paraId="28A06B7D" w14:textId="6B031542" w:rsidR="00DE6F78" w:rsidRPr="008A013F" w:rsidRDefault="00DE6F78" w:rsidP="00DE6F78">
            <w:p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1.1.2 Planejamento estratégico das obras (modelo PE-PT-PO):</w:t>
            </w:r>
          </w:p>
          <w:p w14:paraId="2D486377" w14:textId="70536A21" w:rsidR="00DE6F78" w:rsidRPr="008A013F" w:rsidRDefault="00DE6F78" w:rsidP="00DE6F78">
            <w:pPr>
              <w:numPr>
                <w:ilvl w:val="0"/>
                <w:numId w:val="6"/>
              </w:num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Nível estratégico (PE): autoridade máxima, PCA, PPA, LDO, LOA;</w:t>
            </w:r>
          </w:p>
          <w:p w14:paraId="4D1CA9E4" w14:textId="77777777" w:rsidR="00DE6F78" w:rsidRPr="008A013F" w:rsidRDefault="00DE6F78" w:rsidP="00DE6F78">
            <w:pPr>
              <w:numPr>
                <w:ilvl w:val="0"/>
                <w:numId w:val="6"/>
              </w:num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Nível tático (PT): diretoria/coordenação, planejamento e segregação de funções</w:t>
            </w:r>
          </w:p>
          <w:p w14:paraId="5FAE6B9D" w14:textId="4B1B5638" w:rsidR="00DE6F78" w:rsidRPr="008A013F" w:rsidRDefault="00DE6F78" w:rsidP="00DE6F78">
            <w:pPr>
              <w:numPr>
                <w:ilvl w:val="0"/>
                <w:numId w:val="6"/>
              </w:num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Nível operacional (PO): equipe de planejamento, DFD, ETP, anteprojeto/TR/PB, projeto executivo.</w:t>
            </w:r>
          </w:p>
          <w:p w14:paraId="4163536E" w14:textId="72C78146" w:rsidR="00DE6F78" w:rsidRPr="008A013F" w:rsidRDefault="00DE6F78" w:rsidP="00DE6F78">
            <w:p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1.1.3 Plano de Contratações Anual (PCA/PAC):</w:t>
            </w:r>
          </w:p>
          <w:p w14:paraId="1A84844C" w14:textId="6AB75FF3" w:rsidR="00DE6F78" w:rsidRPr="008A013F" w:rsidRDefault="00DE6F78" w:rsidP="00DE6F78">
            <w:pPr>
              <w:numPr>
                <w:ilvl w:val="0"/>
                <w:numId w:val="6"/>
              </w:num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Papel do PCA: racionalização de compras e alinhamento orçamentário (PPA, LDO, LOA);</w:t>
            </w:r>
          </w:p>
          <w:p w14:paraId="68D40936" w14:textId="17E8E17E" w:rsidR="00DE6F78" w:rsidRPr="008A013F" w:rsidRDefault="00DE6F78" w:rsidP="00DE6F78">
            <w:pPr>
              <w:numPr>
                <w:ilvl w:val="0"/>
                <w:numId w:val="6"/>
              </w:num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Regra federal: elaboração do DFD e consolidação do PCA no exercício anterior à contratação;</w:t>
            </w:r>
          </w:p>
          <w:p w14:paraId="29723FE6" w14:textId="5C1F6E0C" w:rsidR="00DE6F78" w:rsidRPr="008A013F" w:rsidRDefault="00DE6F78" w:rsidP="00DE6F78">
            <w:pPr>
              <w:numPr>
                <w:ilvl w:val="0"/>
                <w:numId w:val="6"/>
              </w:num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 xml:space="preserve">Regra municipal (Decreto 62.100/22, arts. 5º e 6º): conteúdo mínimo do PCA, divulgação e competência da COBES/SEGES;</w:t>
            </w:r>
          </w:p>
          <w:p w14:paraId="1F0A27E2" w14:textId="3CCDA2F1" w:rsidR="00DE6F78" w:rsidRPr="008A013F" w:rsidRDefault="00DE6F78" w:rsidP="00DE6F78">
            <w:pPr>
              <w:numPr>
                <w:ilvl w:val="0"/>
                <w:numId w:val="6"/>
              </w:num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Competências das autoridades máximas para aprovação do PCA e autorização de licitações (art. 2º).</w:t>
            </w:r>
          </w:p>
          <w:p w14:paraId="63A8CDF5" w14:textId="37F0D690" w:rsidR="00DE6F78" w:rsidRPr="008A013F" w:rsidRDefault="00DE6F78" w:rsidP="00DE6F78">
            <w:p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1.1.4 Governança das contratações de obras:</w:t>
            </w:r>
          </w:p>
          <w:p w14:paraId="5DF22D6F" w14:textId="2D641214" w:rsidR="00DE6F78" w:rsidRPr="008A013F" w:rsidRDefault="00DE6F78" w:rsidP="00DE6F78">
            <w:pPr>
              <w:numPr>
                <w:ilvl w:val="0"/>
                <w:numId w:val="6"/>
              </w:num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Governança e integridade nas contratações (art. 11, parágrafo único, Lei 14.133/21; art. 7º, Decreto 62.100/22);</w:t>
            </w:r>
          </w:p>
          <w:p w14:paraId="2EC5D7B6" w14:textId="731652D8" w:rsidR="00DE6F78" w:rsidRPr="008A013F" w:rsidRDefault="00DE6F78" w:rsidP="00DE6F78">
            <w:pPr>
              <w:numPr>
                <w:ilvl w:val="0"/>
                <w:numId w:val="6"/>
              </w:num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Segregação de funções entre área requisitante e área técnica;</w:t>
            </w:r>
          </w:p>
          <w:p w14:paraId="76F13988" w14:textId="3A75108B" w:rsidR="00DE6F78" w:rsidRPr="008A013F" w:rsidRDefault="00DE6F78" w:rsidP="00DE6F78">
            <w:pPr>
              <w:numPr>
                <w:ilvl w:val="0"/>
                <w:numId w:val="6"/>
              </w:num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Papel institucional da Secretaria Municipal de Infraestrutura e Obras — SIURB (Decreto 62.100/22, art. 18).</w:t>
            </w:r>
          </w:p>
          <w:p w14:paraId="36E2EF9D" w14:textId="3D419364" w:rsidR="00C84DA9" w:rsidRPr="00E81655" w:rsidRDefault="00E81655" w:rsidP="00C84DA9">
            <w:pPr>
              <w:spacing w:before="300" w:after="4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1.2 — Estudo Técnico Preliminar (ETP)</w:t>
            </w:r>
          </w:p>
          <w:p w14:paraId="3B0F3DEA" w14:textId="4FAD56BF" w:rsidR="00C84DA9" w:rsidRPr="008A013F" w:rsidRDefault="00C84DA9" w:rsidP="00C84DA9">
            <w:pPr>
              <w:spacing w:after="100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i/>
                <w:iCs/>
                <w:sz w:val="22"/>
                <w:szCs w:val="22"/>
              </w:rPr>
              <w:t xml:space="preserve">Base normativa: Lei 14.133/21, art. 6º, XX, e art. 18, §§1º e 2º; IN Federal 58/2022; Decreto Municipal 62.100/22, arts. 18 a 20; IN 1/SEGES/2023</w:t>
            </w:r>
          </w:p>
          <w:p w14:paraId="52C718B7" w14:textId="380889E0" w:rsidR="00C84DA9" w:rsidRPr="008A013F" w:rsidRDefault="00E81655" w:rsidP="00C84DA9">
            <w:pPr>
              <w:spacing w:before="100" w:after="40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1.2.1 Conceito e função do ETP:</w:t>
            </w:r>
          </w:p>
          <w:p w14:paraId="3B0C1519" w14:textId="3A9E2700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>Definição legal (art. 6º, XX): documento constitutivo da primeira etapa do planejamento;</w:t>
            </w:r>
          </w:p>
          <w:p w14:paraId="59923A25" w14:textId="604AEF8F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>Base para anteprojeto, termo de referência ou projeto básico;</w:t>
            </w:r>
          </w:p>
          <w:p w14:paraId="59CD8404" w14:textId="2F718A2D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 xml:space="preserve">A distinção entre necessidade (o problema) e solução (o como). </w:t>
            </w:r>
          </w:p>
          <w:p w14:paraId="3C4E80D8" w14:textId="31CEA8F4" w:rsidR="00C84DA9" w:rsidRPr="008A013F" w:rsidRDefault="00E81655" w:rsidP="00C84DA9">
            <w:pPr>
              <w:spacing w:before="100" w:after="40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1.2.2 Elementos obrigatórios e facultativos (art. 18, §§1º e 2º):</w:t>
            </w:r>
          </w:p>
          <w:p w14:paraId="2AB1ADD2" w14:textId="603472DA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>Os 13 elementos do ETP e o "núcleo duro" obrigatório (incisos I, IV, VI, VIII e XIII);</w:t>
            </w:r>
          </w:p>
          <w:p w14:paraId="7D661279" w14:textId="572709B5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>Justificativa obrigatória para ausência de elemento facultativo;</w:t>
            </w:r>
          </w:p>
          <w:p w14:paraId="4FDFAD35" w14:textId="0FAC4FE8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>Levantamento de mercado e escolha motivada da solução técnica e economicamente mais vantajosa;</w:t>
            </w:r>
          </w:p>
          <w:p w14:paraId="5304B0D4" w14:textId="60822104" w:rsidR="00C84DA9" w:rsidRPr="008A013F" w:rsidRDefault="00E81655" w:rsidP="00C84DA9">
            <w:pPr>
              <w:spacing w:before="100" w:after="40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lastRenderedPageBreak/>
              <w:t>1.2.3 Viabilidade técnica e econômica:</w:t>
            </w:r>
          </w:p>
          <w:p w14:paraId="7600A867" w14:textId="7B3976F5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>Valor Presente de Custos (VPC): analisando o ciclo de vida além do preço de aquisição;</w:t>
            </w:r>
          </w:p>
          <w:p w14:paraId="12496D22" w14:textId="66959368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>Posicionamento conclusivo do ETP e vinculação (ou não) da autoridade competente à conclusão da equipe de planejamento.</w:t>
            </w:r>
          </w:p>
          <w:p w14:paraId="25EC729E" w14:textId="1344E71C" w:rsidR="00C84DA9" w:rsidRPr="008A013F" w:rsidRDefault="00E81655" w:rsidP="00C84DA9">
            <w:pPr>
              <w:spacing w:before="100" w:after="40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1.2.4 ETP em obras e serviços de engenharia:</w:t>
            </w:r>
          </w:p>
          <w:p w14:paraId="7AF5D2E3" w14:textId="2BDBCD28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>Simplificação para serviços comuns de engenharia (art. 18, §3º);</w:t>
            </w:r>
          </w:p>
          <w:p w14:paraId="43A85736" w14:textId="2A5A3FD7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>Definição do regime de execução a partir da solução técnica: projeto básico completo x anteprojeto/contratação integrada.</w:t>
            </w:r>
          </w:p>
          <w:p w14:paraId="2C267920" w14:textId="634FD972" w:rsidR="00C84DA9" w:rsidRPr="008A013F" w:rsidRDefault="00E81655" w:rsidP="00C84DA9">
            <w:pPr>
              <w:spacing w:before="100" w:after="40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1.2.5 Exceções à elaboração do ETP:</w:t>
            </w:r>
          </w:p>
          <w:p w14:paraId="5B01978A" w14:textId="476DF9EE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 xml:space="preserve">Hipóteses de dispensa e de facultatividade (IN 58/2022, art. 14; Lei 14.133/21, arts. 75 e 90, §7º).</w:t>
            </w:r>
          </w:p>
          <w:p w14:paraId="671F7DF2" w14:textId="611A0BBB" w:rsidR="00C84DA9" w:rsidRPr="008A013F" w:rsidRDefault="00E81655" w:rsidP="00C84DA9">
            <w:pPr>
              <w:spacing w:before="100" w:after="40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1.2.6 Regulamentação municipal do ETP (Decreto 62.100/2022):</w:t>
            </w:r>
          </w:p>
          <w:p w14:paraId="3E2F8D92" w14:textId="3F40F0D5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>Competência regulamentar de SIURB, SMSUB e SMIT para normas complementares de ETP (arts. 18 a 20);</w:t>
            </w:r>
          </w:p>
          <w:p w14:paraId="41570004" w14:textId="3963E46F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>Instrução Normativa nº 1/SEGES/2023 — elaboração de Estudos Técnicos Preliminares no Município de São Paulo;</w:t>
            </w:r>
          </w:p>
          <w:p w14:paraId="41A87B76" w14:textId="483F53FC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>Responsabilidade conjunta entre área requisitante e área técnica; registro de divergências não saneadas.</w:t>
            </w:r>
          </w:p>
          <w:p w14:paraId="779527D1" w14:textId="67169846" w:rsidR="00C84DA9" w:rsidRPr="008A013F" w:rsidRDefault="00E81655" w:rsidP="00C84DA9">
            <w:pPr>
              <w:spacing w:before="100" w:after="40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1.2.7 Jurisprudência aplicável:</w:t>
            </w:r>
          </w:p>
          <w:p w14:paraId="302587D8" w14:textId="68DC96C2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>TCU, Acórdão 829/2023-Plenário: ausência de estudo comparativo de alternativas — caso da Ponte do Rio Igaraçu;</w:t>
            </w:r>
          </w:p>
          <w:p w14:paraId="2AD93A51" w14:textId="71908ECE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>TCU, Acórdão 2273/2024-Plenário: o ETP não é anexo obrigatório do edital, mas sua divulgação é recomendável;</w:t>
            </w:r>
          </w:p>
          <w:p w14:paraId="6A9F0EE3" w14:textId="51C3581D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>Orientações do TCE-SP sobre a obrigatoriedade do ETP (Comunicado sobre aplicação da Lei 14.133/21).</w:t>
            </w:r>
          </w:p>
          <w:p w14:paraId="07F77ADC" w14:textId="503FE32E" w:rsidR="008A013F" w:rsidRPr="00E81655" w:rsidRDefault="00E81655" w:rsidP="008A013F">
            <w:pPr>
              <w:spacing w:before="300" w:after="4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1.3 — Anteprojeto, Projeto Básico e Projeto Executivo</w:t>
            </w:r>
          </w:p>
          <w:p w14:paraId="3C310DA8" w14:textId="0789F209" w:rsidR="008A013F" w:rsidRPr="008A013F" w:rsidRDefault="008A013F" w:rsidP="008A013F">
            <w:pPr>
              <w:spacing w:after="100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i/>
                <w:iCs/>
                <w:sz w:val="22"/>
                <w:szCs w:val="22"/>
              </w:rPr>
              <w:t xml:space="preserve"> Base normativa: Lei 14.133/21, art. 6º, XXIV, XXV e XXVI; Decreto Municipal 62.100/22, art. 18; Lei Municipal 16.139/2015; OT-IBR 001/2006, 006/2016 e 008/2020</w:t>
            </w:r>
          </w:p>
          <w:p w14:paraId="40E5C7AA" w14:textId="4E18444D" w:rsidR="008A013F" w:rsidRPr="008A013F" w:rsidRDefault="00E81655" w:rsidP="008A013F">
            <w:pPr>
              <w:spacing w:before="100" w:after="40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1.3.1 Anteprojeto:</w:t>
            </w:r>
          </w:p>
          <w:p w14:paraId="4A29923C" w14:textId="140109CE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>Definição legal (art. 6º, XXIV): concepção da obra e justificativas técnicas e econômicas;</w:t>
            </w:r>
          </w:p>
          <w:p w14:paraId="37DBDA98" w14:textId="06E1D06C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>Condições de contorno: o que se pretende construir + condições ambientais;</w:t>
            </w:r>
          </w:p>
          <w:p w14:paraId="085DC80C" w14:textId="200575A2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>Conteúdo técnico essencial segundo a OT-IBR 006/2016 (IBRAOP).</w:t>
            </w:r>
          </w:p>
          <w:p w14:paraId="10D02B23" w14:textId="0C7E9CC0" w:rsidR="008A013F" w:rsidRPr="008A013F" w:rsidRDefault="00E81655" w:rsidP="008A013F">
            <w:pPr>
              <w:spacing w:before="100" w:after="40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1.3.2 Projeto Básico:</w:t>
            </w:r>
          </w:p>
          <w:p w14:paraId="1D1388BA" w14:textId="70501D81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>Definição legal (art. 6º, XXV) e elementos obrigatórios (alíneas "a" a "f");</w:t>
            </w:r>
          </w:p>
          <w:p w14:paraId="11710517" w14:textId="4C88E110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>Peças essenciais: desenhos, memorial descritivo, especificações técnicas, cronograma físico-financeiro e orçamento;</w:t>
            </w:r>
          </w:p>
          <w:p w14:paraId="37DCFBB4" w14:textId="3A2EFEC0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>Obrigações de meio x obrigações de resultado (OT-IBR 006/2016) e o momento de definição de cada uma;</w:t>
            </w:r>
          </w:p>
          <w:p w14:paraId="33B0F2A5" w14:textId="37EFE0B8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lastRenderedPageBreak/>
              <w:t>Obrigatoriedade do projeto básico completo conforme o regime de execução (art. 46, Lei 14.133/21).</w:t>
            </w:r>
          </w:p>
          <w:p w14:paraId="26597E02" w14:textId="088CCBF0" w:rsidR="008A013F" w:rsidRPr="008A013F" w:rsidRDefault="00E81655" w:rsidP="008A013F">
            <w:pPr>
              <w:spacing w:before="100" w:after="40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1.3.3 Projeto Executivo:</w:t>
            </w:r>
          </w:p>
          <w:p w14:paraId="5243D2F0" w14:textId="1C78688B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>Definição legal (art. 6º, XXVI): detalhamento do projeto básico;</w:t>
            </w:r>
          </w:p>
          <w:p w14:paraId="0F003495" w14:textId="524F525E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>Limites do detalhamento: vedação de alteração financeira relevante e de mudança das soluções técnicas originais;</w:t>
            </w:r>
          </w:p>
          <w:p w14:paraId="15EDE11E" w14:textId="4817D0FE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 xml:space="preserve">Documentação "As Built" (NBR 14645/2005).</w:t>
            </w:r>
          </w:p>
          <w:p w14:paraId="61E1FD16" w14:textId="54B968E1" w:rsidR="008A013F" w:rsidRPr="008A013F" w:rsidRDefault="00E81655" w:rsidP="008A013F">
            <w:pPr>
              <w:spacing w:before="100" w:after="40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1.3.4 Regulamentação municipal (Decreto 62.100/2022, art. 18):</w:t>
            </w:r>
          </w:p>
          <w:p w14:paraId="35B70FE2" w14:textId="67F959F3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>Remissão aos requisitos de Projeto Básico da Lei Municipal nº 16.139/2015;</w:t>
            </w:r>
          </w:p>
          <w:p w14:paraId="4AE9113D" w14:textId="63FCB3CA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>Competências da SIURB: sistema informatizado de acompanhamento de obras, padronização técnica, metodologia de anteprojeto para contratação integrada e Tabela de Custos Unitário;</w:t>
            </w:r>
          </w:p>
          <w:p w14:paraId="6A473D94" w14:textId="708A3787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>Manifestação técnica sobre a substituição do projeto executivo por especificação em TR/PB (art. 18, §2º);</w:t>
            </w:r>
          </w:p>
          <w:p w14:paraId="4A125099" w14:textId="01812C82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>Caracterização de serviço de engenharia como comum ou especial (art. 18, §3º).</w:t>
            </w:r>
          </w:p>
          <w:p w14:paraId="3BAAE4C2" w14:textId="53953172" w:rsidR="008A013F" w:rsidRPr="008A013F" w:rsidRDefault="00E81655" w:rsidP="008A013F">
            <w:pPr>
              <w:spacing w:before="100" w:after="40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1.3.5 Responsabilidade técnica e riscos de projeto:</w:t>
            </w:r>
          </w:p>
          <w:p w14:paraId="2616C4E3" w14:textId="1D96C16D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>Responsabilidade objetiva do projetista por falhas de projeto, mesmo após o recebimento definitivo (art. 140, §5º);</w:t>
            </w:r>
          </w:p>
          <w:p w14:paraId="528C0D35" w14:textId="3B873DD4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>Aditivos decorrentes de falha de projeto: apuração obrigatória de responsabilidade e ressarcimento;</w:t>
            </w:r>
          </w:p>
          <w:p w14:paraId="61E394CD" w14:textId="4E5BAF94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>Novo tipo penal — omissão grave de dado ou informação por projetista (art. 337-O do Código Penal).</w:t>
            </w:r>
          </w:p>
          <w:p w14:paraId="72D0618C" w14:textId="2E6B9822" w:rsidR="008A013F" w:rsidRPr="008A013F" w:rsidRDefault="00E81655" w:rsidP="008A013F">
            <w:pPr>
              <w:spacing w:before="100" w:after="40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1.3.6 Jurisprudência aplicável:</w:t>
            </w:r>
          </w:p>
          <w:p w14:paraId="3F3B3956" w14:textId="70B8223F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>Súmula 261 e Acórdão 1874/2007-TCU: a imutabilidade do objeto e os limites do projeto executivo;</w:t>
            </w:r>
          </w:p>
          <w:p w14:paraId="5E136D49" w14:textId="6306B92E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</w:rPr>
              <w:t>Acórdão 1158/2013-TCU: o projeto executivo não tem efeito retroativo para sanear falhas do projeto básico;</w:t>
            </w:r>
          </w:p>
          <w:p w14:paraId="7BB2340F" w14:textId="13FB01F0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spacing w:after="40"/>
              <w:rPr>
                <w:rFonts w:cstheme="minorHAnsi"/>
              </w:rPr>
            </w:pPr>
            <w:r>
              <w:rPr>
                <w:rFonts w:cstheme="minorHAnsi"/>
              </w:rPr>
              <w:t>Súmula 260-TCU e Acórdão 1981/2009-TCU: exigência de ART/RRT;</w:t>
            </w:r>
          </w:p>
          <w:p w14:paraId="6FB93A58" w14:textId="4AED9468" w:rsidR="00DE6F78" w:rsidRPr="008A013F" w:rsidRDefault="008A013F" w:rsidP="00D37204">
            <w:pPr>
              <w:pStyle w:val="PargrafodaLista"/>
              <w:numPr>
                <w:ilvl w:val="0"/>
                <w:numId w:val="7"/>
              </w:numPr>
              <w:spacing w:after="40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>
              <w:rPr>
                <w:rFonts w:cstheme="minorHAnsi"/>
              </w:rPr>
              <w:t>Entendimentos do TCE/SP e do TCM/SP.</w:t>
            </w:r>
          </w:p>
          <w:p w14:paraId="3D0ED0E1" w14:textId="2F5FC9AD" w:rsidR="00DE6F78" w:rsidRPr="008A013F" w:rsidRDefault="00DE6F78" w:rsidP="00506313">
            <w:p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tcW w:w="1434" w:type="dxa"/>
          </w:tcPr>
          <w:p w14:paraId="770043A8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4172F65A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2A910F59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078CD040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575980D7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563D272B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444D9050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782C4936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12E4E456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315D9D01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5C628227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78F1D642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00866E35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3C1091A0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01A5B8E6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66E442F3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5A5C7B69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3396ACC5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522F6121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781961B7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6000F4FA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15677213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7C701091" w14:textId="1A6BB20D" w:rsidR="00506313" w:rsidRPr="008A013F" w:rsidRDefault="00506313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>
              <w:rPr>
                <w:rFonts w:ascii="Calibri Light" w:hAnsi="Calibri Light" w:cs="Calibri Light"/>
                <w:b/>
                <w:bCs/>
              </w:rPr>
              <w:t xml:space="preserve">4 horas</w:t>
            </w:r>
          </w:p>
        </w:tc>
      </w:tr>
      <w:tr w:rsidR="00506313" w14:paraId="6AECAF7A" w14:textId="77777777" w:rsidTr="002E62C4">
        <w:trPr>
          <w:trHeight w:val="3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2" w:type="dxa"/>
          </w:tcPr>
          <w:p w14:paraId="5DFB77EF" w14:textId="78D14779" w:rsidR="00506313" w:rsidRPr="00E81655" w:rsidRDefault="00E81655" w:rsidP="00506313">
            <w:pPr>
              <w:jc w:val="both"/>
              <w:rPr>
                <w:b w:val="0"/>
                <w:bCs w:val="0"/>
                <w:u w:val="single"/>
              </w:rPr>
            </w:pPr>
            <w:r>
              <w:rPr>
                <w:u w:val="single"/>
              </w:rPr>
              <w:lastRenderedPageBreak/>
              <w:t xml:space="preserve">2) Regimes de Execução Contratual</w:t>
            </w:r>
          </w:p>
          <w:p w14:paraId="65B18BD9" w14:textId="77777777" w:rsidR="00E81655" w:rsidRDefault="00E81655" w:rsidP="00506313">
            <w:pPr>
              <w:jc w:val="both"/>
              <w:rPr>
                <w:b w:val="0"/>
                <w:bCs w:val="0"/>
                <w:sz w:val="22"/>
                <w:szCs w:val="22"/>
              </w:rPr>
            </w:pPr>
          </w:p>
          <w:p w14:paraId="14BB751A" w14:textId="530B368B" w:rsidR="00E81655" w:rsidRPr="00E81655" w:rsidRDefault="00565F3A" w:rsidP="00E8165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2.1 Fundamentos do regime de execução:</w:t>
            </w:r>
          </w:p>
          <w:p w14:paraId="76882169" w14:textId="703852C7" w:rsidR="00E81655" w:rsidRPr="00830472" w:rsidRDefault="00E81655" w:rsidP="00E81655">
            <w:pPr>
              <w:numPr>
                <w:ilvl w:val="0"/>
                <w:numId w:val="9"/>
              </w:numPr>
              <w:jc w:val="both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Conceito: forma de aferição, medição e pagamento do objeto contratado;</w:t>
            </w:r>
          </w:p>
          <w:p w14:paraId="5F76B779" w14:textId="3BCC85CB" w:rsidR="00E81655" w:rsidRPr="00830472" w:rsidRDefault="00E81655" w:rsidP="00E81655">
            <w:pPr>
              <w:numPr>
                <w:ilvl w:val="0"/>
                <w:numId w:val="9"/>
              </w:numPr>
              <w:jc w:val="both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Gestão de riscos e responsabilidades entre as partes;</w:t>
            </w:r>
          </w:p>
          <w:p w14:paraId="68698062" w14:textId="30358CFF" w:rsidR="00E81655" w:rsidRPr="00830472" w:rsidRDefault="00E81655" w:rsidP="00E81655">
            <w:pPr>
              <w:numPr>
                <w:ilvl w:val="0"/>
                <w:numId w:val="9"/>
              </w:numPr>
              <w:jc w:val="both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Decisão estratégica: remuneração por preço global (total) x remuneração por quantidades efetivamente executadas (preço unitário).</w:t>
            </w:r>
          </w:p>
          <w:p w14:paraId="326F313B" w14:textId="116EDAB9" w:rsidR="00E81655" w:rsidRPr="00E81655" w:rsidRDefault="00565F3A" w:rsidP="00E8165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2.2 Modalidades do art. 46 da Lei 14.133/21 e evolução histórica:</w:t>
            </w:r>
          </w:p>
          <w:p w14:paraId="6EC0610C" w14:textId="64C994A4" w:rsidR="00E81655" w:rsidRPr="00830472" w:rsidRDefault="00E81655" w:rsidP="00E81655">
            <w:pPr>
              <w:numPr>
                <w:ilvl w:val="0"/>
                <w:numId w:val="9"/>
              </w:numPr>
              <w:jc w:val="both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 xml:space="preserve">Empreitada por preço unitário; empreitada por preço global; empreitada integral; contratação por tarefa; contratação integrada; contratação semi-integrada; fornecimento e prestação de serviço associado;</w:t>
            </w:r>
          </w:p>
          <w:p w14:paraId="65580789" w14:textId="24584294" w:rsidR="00E81655" w:rsidRPr="00830472" w:rsidRDefault="00E81655" w:rsidP="00E81655">
            <w:pPr>
              <w:numPr>
                <w:ilvl w:val="0"/>
                <w:numId w:val="9"/>
              </w:numPr>
              <w:jc w:val="both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Linha do tempo normativa: Lei 8.666/1993 → Lei 12.462/2011 (RDC) → Lei 13.303/2016 (estatais) → Lei 14.133/2021;</w:t>
            </w:r>
          </w:p>
          <w:p w14:paraId="7D260E79" w14:textId="68FEE9ED" w:rsidR="00E81655" w:rsidRPr="00830472" w:rsidRDefault="00E81655" w:rsidP="00E81655">
            <w:pPr>
              <w:numPr>
                <w:ilvl w:val="0"/>
                <w:numId w:val="9"/>
              </w:numPr>
              <w:jc w:val="both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lastRenderedPageBreak/>
              <w:t>Regras de medição e pagamento do art. 46, §9º: sistemática de preço global vinculada ao cronograma físico-financeiro, foco em metas de resultado e vedação de remuneração por preços unitários nos regimes de preço global.</w:t>
            </w:r>
          </w:p>
          <w:p w14:paraId="380633E4" w14:textId="166111DA" w:rsidR="00E81655" w:rsidRPr="00E81655" w:rsidRDefault="00565F3A" w:rsidP="00E8165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2.3 Empreitada por Preço Unitário (EPU) — art. 46, I:</w:t>
            </w:r>
          </w:p>
          <w:p w14:paraId="61017616" w14:textId="24F68920" w:rsidR="00E81655" w:rsidRPr="00830472" w:rsidRDefault="00E81655" w:rsidP="00E81655">
            <w:pPr>
              <w:numPr>
                <w:ilvl w:val="0"/>
                <w:numId w:val="9"/>
              </w:numPr>
              <w:jc w:val="both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Remuneração pela multiplicação da planilha orçamentária pelas unidades de serviço efetivamente executadas;</w:t>
            </w:r>
          </w:p>
          <w:p w14:paraId="101C160B" w14:textId="20F75B8E" w:rsidR="00E81655" w:rsidRPr="00830472" w:rsidRDefault="00E81655" w:rsidP="00E81655">
            <w:pPr>
              <w:numPr>
                <w:ilvl w:val="0"/>
                <w:numId w:val="9"/>
              </w:numPr>
              <w:jc w:val="both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Exigência de alta precisão do projeto básico e distinção entre imprecisão inerente e deficiência de projeto;</w:t>
            </w:r>
          </w:p>
          <w:p w14:paraId="208654A0" w14:textId="4C8022A3" w:rsidR="00E81655" w:rsidRPr="00830472" w:rsidRDefault="00E81655" w:rsidP="00E81655">
            <w:pPr>
              <w:numPr>
                <w:ilvl w:val="0"/>
                <w:numId w:val="9"/>
              </w:numPr>
              <w:jc w:val="both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Grau de precisão exigido na medição: quantidade medida em campo = quantidade paga;</w:t>
            </w:r>
          </w:p>
          <w:p w14:paraId="5C69538B" w14:textId="6ABDAF10" w:rsidR="00E81655" w:rsidRPr="00830472" w:rsidRDefault="00E81655" w:rsidP="00E81655">
            <w:pPr>
              <w:numPr>
                <w:ilvl w:val="0"/>
                <w:numId w:val="9"/>
              </w:numPr>
              <w:jc w:val="both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Alteração de quantitativos sem termo aditivo: hipóteses e limites do apostilamento (art. 136 do Decreto nº 62.100/2022 e Decreto Federal nº 7.983/2013, art. 13, II — limite de 10% do valor do contrato);</w:t>
            </w:r>
          </w:p>
          <w:p w14:paraId="4FB6D808" w14:textId="09F1EF94" w:rsidR="00E81655" w:rsidRPr="00830472" w:rsidRDefault="00E81655" w:rsidP="00E81655">
            <w:pPr>
              <w:numPr>
                <w:ilvl w:val="0"/>
                <w:numId w:val="9"/>
              </w:numPr>
              <w:jc w:val="both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Erro de quantidade pleiteada x critério de quantificação/coeficiente de consumo de insumos (cuidado técnico na análise de pleitos).</w:t>
            </w:r>
          </w:p>
          <w:p w14:paraId="348A9142" w14:textId="2180B06C" w:rsidR="00E81655" w:rsidRPr="00E81655" w:rsidRDefault="00565F3A" w:rsidP="00E8165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2.4 Empreitada por Preço Global (EPG) — art. 46, II:</w:t>
            </w:r>
          </w:p>
          <w:p w14:paraId="42F36F76" w14:textId="60FCE6CA" w:rsidR="00E81655" w:rsidRPr="00830472" w:rsidRDefault="00E81655" w:rsidP="00E81655">
            <w:pPr>
              <w:numPr>
                <w:ilvl w:val="0"/>
                <w:numId w:val="9"/>
              </w:numPr>
              <w:jc w:val="both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Contratação por preço certo e total; necessidade de projeto básico com alto grau de detalhamento;</w:t>
            </w:r>
          </w:p>
          <w:p w14:paraId="1007DD95" w14:textId="612EBF21" w:rsidR="00E81655" w:rsidRPr="00830472" w:rsidRDefault="00E81655" w:rsidP="00E81655">
            <w:pPr>
              <w:numPr>
                <w:ilvl w:val="0"/>
                <w:numId w:val="9"/>
              </w:numPr>
              <w:jc w:val="both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Alocação do risco de erros e omissões de quantificação ao licitante (regra geral);</w:t>
            </w:r>
          </w:p>
          <w:p w14:paraId="18CC5D32" w14:textId="59673678" w:rsidR="00E81655" w:rsidRPr="00830472" w:rsidRDefault="00E81655" w:rsidP="00E81655">
            <w:pPr>
              <w:numPr>
                <w:ilvl w:val="0"/>
                <w:numId w:val="9"/>
              </w:numPr>
              <w:jc w:val="both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 xml:space="preserve">Regras de medição por eventograma: pagamento vinculado a etapas 100% concluídas, vedação de medição parcial de etapas inacabadas;</w:t>
            </w:r>
          </w:p>
          <w:p w14:paraId="73200640" w14:textId="67A17F7E" w:rsidR="00E81655" w:rsidRPr="00830472" w:rsidRDefault="00E81655" w:rsidP="00E81655">
            <w:pPr>
              <w:numPr>
                <w:ilvl w:val="0"/>
                <w:numId w:val="9"/>
              </w:numPr>
              <w:jc w:val="both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Limites para aditivos em EPG: até 25%/50% (limite legal geral) e até 10% para alterações motivadas por falhas ou omissões de projeto (art. 13, II, do Decreto Federal nº 7.983/2013);</w:t>
            </w:r>
          </w:p>
          <w:p w14:paraId="2E9CC335" w14:textId="39A5062D" w:rsidR="00E81655" w:rsidRPr="00830472" w:rsidRDefault="00E81655" w:rsidP="00E81655">
            <w:pPr>
              <w:numPr>
                <w:ilvl w:val="0"/>
                <w:numId w:val="9"/>
              </w:numPr>
              <w:jc w:val="both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A fronteira de responsabilidade do fiscal de contrato: responsabilidade subjetiva por erro grosseiro (art. 28 da LINDB) x responsabilidade objetiva do projetista (art. 140, §5º, da Lei 14.133/21).</w:t>
            </w:r>
          </w:p>
          <w:p w14:paraId="4EF988C4" w14:textId="691CA7BA" w:rsidR="00E81655" w:rsidRPr="00E81655" w:rsidRDefault="00565F3A" w:rsidP="00E8165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2.5 Regras do Decreto Municipal nº 62.100/2022 aplicáveis à execução do contrato:</w:t>
            </w:r>
          </w:p>
          <w:p w14:paraId="5600B01A" w14:textId="69FEA569" w:rsidR="00E81655" w:rsidRPr="00830472" w:rsidRDefault="00E81655" w:rsidP="00830472">
            <w:pPr>
              <w:numPr>
                <w:ilvl w:val="0"/>
                <w:numId w:val="10"/>
              </w:numPr>
              <w:ind w:left="451" w:hanging="283"/>
              <w:jc w:val="both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 xml:space="preserve">Art. 18, IV — atribui à SIURB a competência de fixar a metodologia para elaboração do anteprojeto nos casos de contratação integrada; </w:t>
            </w:r>
          </w:p>
          <w:p w14:paraId="7370BAAC" w14:textId="77777777" w:rsidR="00E81655" w:rsidRPr="00830472" w:rsidRDefault="00E81655" w:rsidP="00830472">
            <w:pPr>
              <w:numPr>
                <w:ilvl w:val="0"/>
                <w:numId w:val="10"/>
              </w:numPr>
              <w:ind w:left="451" w:hanging="283"/>
              <w:jc w:val="both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 xml:space="preserve">Art. 28, §§ 3º e 4º — regra específica de formação do valor estimado nos regimes de contratação integrada e semi-integrada: uso de orçamento sintético, possível remuneração do risco, e reserva da metodologia expedita/paramétrica apenas às frações do empreendimento não detalhadas no anteprojeto (com exigência de mesmo nível de detalhamento do licitante).</w:t>
            </w:r>
          </w:p>
          <w:p w14:paraId="46B64189" w14:textId="0B5B6AB5" w:rsidR="00E81655" w:rsidRPr="00E81655" w:rsidRDefault="00565F3A" w:rsidP="00E8165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2.6 Jurisprudência sobre regimes de execução:</w:t>
            </w:r>
          </w:p>
          <w:p w14:paraId="58FCF1B8" w14:textId="4D1956F4" w:rsidR="00E81655" w:rsidRPr="00574AB9" w:rsidRDefault="00E81655" w:rsidP="00E8165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TCU, Acórdão 19/2017-Plenário: o dilema EPG x EPU em obras de reforma;</w:t>
            </w:r>
          </w:p>
          <w:p w14:paraId="7AD20E96" w14:textId="6029A721" w:rsidR="00E81655" w:rsidRPr="00574AB9" w:rsidRDefault="00E81655" w:rsidP="00E8165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TCU, Acórdão 1977/2013-Plenário: critérios para escolha entre EPG (projeto com boa margem de precisão) e EPU (imprecisão inerente de quantitativos, reformas, movimentação de terra);</w:t>
            </w:r>
          </w:p>
          <w:p w14:paraId="67867C29" w14:textId="38FD8AAF" w:rsidR="00E81655" w:rsidRPr="00574AB9" w:rsidRDefault="00E81655" w:rsidP="00E8165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TCU, Acórdão 1643/2024-Plenário: variação de quantitativos em obras de natureza incerta (contenção de encostas) e limites para apostilamento;</w:t>
            </w:r>
          </w:p>
          <w:p w14:paraId="2D5631D9" w14:textId="71BE326A" w:rsidR="00E81655" w:rsidRPr="00574AB9" w:rsidRDefault="00E81655" w:rsidP="00E8165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TCU, Acórdão 363/2007-Plenário: vedação ao enriquecimento sem causa em contratos por preço global;</w:t>
            </w:r>
          </w:p>
          <w:p w14:paraId="5B93037A" w14:textId="28A0FA5B" w:rsidR="00E81655" w:rsidRPr="00574AB9" w:rsidRDefault="00E81655" w:rsidP="00565F3A">
            <w:pPr>
              <w:pStyle w:val="PargrafodaLista"/>
              <w:numPr>
                <w:ilvl w:val="0"/>
                <w:numId w:val="9"/>
              </w:numPr>
              <w:rPr>
                <w:rFonts w:asciiTheme="minorHAnsi" w:hAnsiTheme="minorHAnsi" w:cstheme="minorHAnsi"/>
                <w:b w:val="0"/>
                <w:bCs w:val="0"/>
              </w:rPr>
            </w:pPr>
            <w:r>
              <w:rPr>
                <w:rFonts w:asciiTheme="minorHAnsi" w:hAnsiTheme="minorHAnsi" w:cstheme="minorHAnsi"/>
                <w:b w:val="0"/>
                <w:bCs w:val="0"/>
              </w:rPr>
              <w:t>TCM-SP: orientações quanto à responsabilização de fiscais de obras e à exigência de memória de cálculo e justificativa técnica para aditivos.</w:t>
            </w:r>
          </w:p>
          <w:p w14:paraId="73385B67" w14:textId="77777777" w:rsidR="00C84DA9" w:rsidRDefault="00C84DA9" w:rsidP="00506313">
            <w:pPr>
              <w:jc w:val="both"/>
              <w:rPr>
                <w:rFonts w:ascii="Calibri Light" w:hAnsi="Calibri Light" w:cs="Calibri Light"/>
                <w:b w:val="0"/>
                <w:bCs w:val="0"/>
                <w:sz w:val="22"/>
                <w:szCs w:val="22"/>
              </w:rPr>
            </w:pPr>
          </w:p>
          <w:p w14:paraId="0F54013A" w14:textId="10059375" w:rsidR="00C84DA9" w:rsidRDefault="00C84DA9" w:rsidP="00506313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434" w:type="dxa"/>
            <w:vAlign w:val="center"/>
          </w:tcPr>
          <w:p w14:paraId="513DEB53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090A2D50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4B2DD34A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49592496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7779DC3D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23F9A428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2405821C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4E879BF1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2F00CA44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103E67DD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723B2964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0E8905E2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3318AB15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39C48F00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7DC1EAA2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7ADEEA02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08E6FFDE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1416A4BE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70240CE6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2421AC77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0DAFF059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070ACC31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1D31D653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106985B9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7EC04A8B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24BFBE1A" w14:textId="3B3BC34E" w:rsidR="00506313" w:rsidRP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2 horas</w:t>
            </w:r>
          </w:p>
        </w:tc>
      </w:tr>
      <w:tr w:rsidR="00506313" w14:paraId="2E5CD2E5" w14:textId="77777777" w:rsidTr="002E62C4">
        <w:trPr>
          <w:trHeight w:val="6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2" w:type="dxa"/>
          </w:tcPr>
          <w:p w14:paraId="1080289E" w14:textId="77777777" w:rsidR="00506313" w:rsidRPr="00687565" w:rsidRDefault="00687565" w:rsidP="00506313">
            <w:pPr>
              <w:jc w:val="both"/>
              <w:rPr>
                <w:rFonts w:cstheme="minorHAnsi"/>
                <w:u w:val="single"/>
              </w:rPr>
            </w:pPr>
            <w:r>
              <w:rPr>
                <w:rFonts w:cstheme="minorHAnsi"/>
                <w:u w:val="single"/>
              </w:rPr>
              <w:lastRenderedPageBreak/>
              <w:t xml:space="preserve">3) Contratação Integrada, Matriz de Riscos e Contratação Semi-Integrada</w:t>
            </w:r>
          </w:p>
          <w:p w14:paraId="482B86C7" w14:textId="77777777" w:rsidR="00687565" w:rsidRDefault="00687565" w:rsidP="00506313">
            <w:pPr>
              <w:jc w:val="both"/>
              <w:rPr>
                <w:rFonts w:cstheme="minorHAnsi"/>
                <w:u w:val="single"/>
              </w:rPr>
            </w:pPr>
          </w:p>
          <w:p w14:paraId="3455B959" w14:textId="42B133A0" w:rsidR="00687565" w:rsidRPr="00687565" w:rsidRDefault="00687565" w:rsidP="0068756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3.1 Contratação Integrada — art. 46, V, e art. 6º, XXXII:</w:t>
            </w:r>
          </w:p>
          <w:p w14:paraId="57B4518A" w14:textId="23164E4E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Conceito: contratado responsável por elaborar e desenvolver os projetos básico e executivo, executar a obra, fornecer bens e realizar montagem, teste e pré-operação até a entrega final;</w:t>
            </w:r>
          </w:p>
          <w:p w14:paraId="3BA8FC8A" w14:textId="29C6BD43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Fluxo licitação-execução: anteprojeto da Administração → projeto básico e executivo do contratado → aprovação da Administração em cada etapa;</w:t>
            </w:r>
          </w:p>
          <w:p w14:paraId="5CED1911" w14:textId="48576C49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Distinção essencial: anteprojeto não é projeto básico — nível de detalhamento e efeitos jurídicos distintos.</w:t>
            </w:r>
          </w:p>
          <w:p w14:paraId="0EE78057" w14:textId="5CE20828" w:rsidR="00687565" w:rsidRPr="00687565" w:rsidRDefault="00687565" w:rsidP="0068756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3.2 Motivações e requisitos para a adoção da contratação integrada:</w:t>
            </w:r>
          </w:p>
          <w:p w14:paraId="623330F1" w14:textId="665FC5FD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Busca por real competição em termos de solução de projeto;</w:t>
            </w:r>
          </w:p>
          <w:p w14:paraId="60E97540" w14:textId="033B647D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Distinção relevante entre as possíveis soluções técnicas a serem apresentadas;</w:t>
            </w:r>
          </w:p>
          <w:p w14:paraId="77440112" w14:textId="188AC044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Dificuldade da própria Administração em definir a melhor solução técnica/metodológica;</w:t>
            </w:r>
          </w:p>
          <w:p w14:paraId="06EA142A" w14:textId="1DFEB4AB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Recomendação de motivação preferencial no Estudo Técnico Preliminar (ETP);</w:t>
            </w:r>
          </w:p>
          <w:p w14:paraId="5D145637" w14:textId="4F65C4EF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Inovação tecnológica: na Lei 14.133/21, exigência restrita à modalidade diálogo competitivo (diferença em relação às Leis 12.462/2011 e 13.303/2016).</w:t>
            </w:r>
          </w:p>
          <w:p w14:paraId="703C5657" w14:textId="0E40E33D" w:rsidR="00687565" w:rsidRPr="00687565" w:rsidRDefault="00687565" w:rsidP="0068756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3.3 Contratação Semi-Integrada — art. 46, VI, e art. 6º, XXXIII:</w:t>
            </w:r>
          </w:p>
          <w:p w14:paraId="55C94A0E" w14:textId="6A5A498A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Conceito: contratado responsável por elaborar e desenvolver o projeto executivo a partir de projeto básico fornecido pela Administração;</w:t>
            </w:r>
          </w:p>
          <w:p w14:paraId="262ADE11" w14:textId="24C41DAF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Possibilidade de o contratado propor alterações no projeto básico, mediante autorização prévia da Administração e comprovação de superioridade em custo, qualidade, prazo ou manutenção;</w:t>
            </w:r>
          </w:p>
          <w:p w14:paraId="559609FE" w14:textId="12B3814B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Vedação de acréscimo do valor contratual em razão de inovações propostas pelo contratado; risco integral da alteração é do contratado;</w:t>
            </w:r>
          </w:p>
          <w:p w14:paraId="780A2A9D" w14:textId="0B73CF00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 xml:space="preserve">Vedação do uso de metodologia paramétrica/expedita para frações do objeto na contratação semi-integrada (art. 23, §5º, da Lei 14.133/21).</w:t>
            </w:r>
          </w:p>
          <w:p w14:paraId="3911C4F8" w14:textId="74D8E1AD" w:rsidR="00687565" w:rsidRPr="00687565" w:rsidRDefault="00687565" w:rsidP="0068756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3.4 Regras do Decreto Municipal nº 62.100/2022 específicas para os regimes integrado e semi-integrado:</w:t>
            </w:r>
          </w:p>
          <w:p w14:paraId="79BE225A" w14:textId="3F56B045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Metodologia de elaboração do anteprojeto fixada pela SIURB (art. 18, IV);</w:t>
            </w:r>
          </w:p>
          <w:p w14:paraId="0E38C2BF" w14:textId="7BB51BCF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Formação do valor estimado por orçamento sintético e reserva da metodologia expedita/paramétrica às frações não detalhadas no anteprojeto (art. 28, §§3º e 4º);</w:t>
            </w:r>
          </w:p>
          <w:p w14:paraId="3293CA2B" w14:textId="6DF8BEBF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Exigência de nível de detalhamento do orçamento do licitante equivalente ao do orçamento sintético da Administração.</w:t>
            </w:r>
          </w:p>
          <w:p w14:paraId="6ABF909C" w14:textId="7ABA8A9D" w:rsidR="00687565" w:rsidRPr="00687565" w:rsidRDefault="00687565" w:rsidP="0068756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3.5 Matriz de Riscos:</w:t>
            </w:r>
          </w:p>
          <w:p w14:paraId="521BAB54" w14:textId="61649228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Conceito de risco: efeito da incerteza nos objetivos (ISO 31000/2018) e possibilidade de evento que afete negativamente a realização dos objetivos (COSO);</w:t>
            </w:r>
          </w:p>
          <w:p w14:paraId="0A889C9F" w14:textId="6A4802BD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Avaliação por probabilidade x impacto e a lógica causa – evento – consequência;</w:t>
            </w:r>
          </w:p>
          <w:p w14:paraId="35ED30D7" w14:textId="679DF050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lastRenderedPageBreak/>
              <w:t>Ações preventivas e controles internos (mitigação da probabilidade) x ações de contingência e plano de continuidade (mitigação do impacto);</w:t>
            </w:r>
          </w:p>
          <w:p w14:paraId="677780F8" w14:textId="31191D3B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 xml:space="preserve">Obrigatoriedade da matriz de riscos nos regimes de contratação integrada e semi-integrada e em obras e serviços de grande vulto (art. 22, §3º, da Lei 14.133/21);</w:t>
            </w:r>
          </w:p>
          <w:p w14:paraId="6E9B9444" w14:textId="2B83370D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Alocação dos riscos de fatos supervenientes associados à escolha da solução de projeto básico como responsabilidade do contratado (art. 22, §4º, da Lei 14.133/21);</w:t>
            </w:r>
          </w:p>
          <w:p w14:paraId="6193DD4D" w14:textId="63E3C6A9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Exemplo de estrutura de matriz de riscos (referência: matriz de riscos do DNIT) — tipo de risco, descrição, materialização, mitigação e alocação.</w:t>
            </w:r>
          </w:p>
          <w:p w14:paraId="009DC2B2" w14:textId="3449328A" w:rsidR="00687565" w:rsidRPr="00687565" w:rsidRDefault="00687565" w:rsidP="0068756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3.6 Alteração de valores contratuais nos regimes integrado e semi-integrado:</w:t>
            </w:r>
          </w:p>
          <w:p w14:paraId="3F42D379" w14:textId="7724963F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Regra geral de vedação de alteração dos valores contratuais (art. 133, caput, da Lei 14.133/21);</w:t>
            </w:r>
          </w:p>
          <w:p w14:paraId="01B79444" w14:textId="51A4DEFB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 xml:space="preserve">Hipóteses excepcionais: caso fortuito ou força maior; necessidade de alteração do projeto a pedido da Administração sem erro/omissão do contratado; superioridade de inovações propostas pelo contratado na semi-integrada; evento superveniente alocado na matriz como risco da Administração.</w:t>
            </w:r>
          </w:p>
          <w:p w14:paraId="7ABFA255" w14:textId="3D0B12D5" w:rsidR="00687565" w:rsidRPr="00687565" w:rsidRDefault="00687565" w:rsidP="0068756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3.7 Riscos típicos e problemas práticos mais frequentes:</w:t>
            </w:r>
          </w:p>
          <w:p w14:paraId="24C38879" w14:textId="6CDE5270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Anteprojeto com soluções antieconômicas e assimetria de benefícios em favor do contratado;</w:t>
            </w:r>
          </w:p>
          <w:p w14:paraId="7C576298" w14:textId="280D8375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Projeto básico entregue com qualidade inferior à exigida no anteprojeto;</w:t>
            </w:r>
          </w:p>
          <w:p w14:paraId="3F6E5CDA" w14:textId="2978E138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Aditivos irregulares e distorção da matriz de riscos;</w:t>
            </w:r>
          </w:p>
          <w:p w14:paraId="07ECE5F3" w14:textId="1D64E049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Início de obra sem projeto aprovado;</w:t>
            </w:r>
          </w:p>
          <w:p w14:paraId="263E4B15" w14:textId="41FD1A2D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Particularidades de obras lineares e segmentos heterogêneos ('jogo de planilha' entre trechos simples e onerosos).</w:t>
            </w:r>
          </w:p>
          <w:p w14:paraId="3ED33A1F" w14:textId="25E1F908" w:rsidR="00687565" w:rsidRPr="00687565" w:rsidRDefault="00687565" w:rsidP="0068756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3.8 Jurisprudência sobre contratação integrada, semi-integrada e matriz de riscos:</w:t>
            </w:r>
          </w:p>
          <w:p w14:paraId="48699AC4" w14:textId="691B62B9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TCU, Acórdão 2591/2017-Plenário: aditivo contratual indevido decorrente de erro no anteprojeto; anteprojeto tem caráter meramente referencial e risco de suas indefinições é do contratado;</w:t>
            </w:r>
          </w:p>
          <w:p w14:paraId="16633370" w14:textId="5AA74399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TCU, Acórdão 1182/2025-Plenário: matriz de riscos genérica e inadequada ao regime de execução, com prejuízo ao equilíbrio econômico-financeiro; diretrizes de detalhamento, premissas claras e padronização de modelos de matriz;</w:t>
            </w:r>
          </w:p>
          <w:p w14:paraId="76B9082E" w14:textId="5DD9301A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TCM-SP: orientações da Escola Superior de Gestão e Contas Públicas sobre alocação de riscos nas contratações municipais (ciclo de estudos 'Obras e Serviços de Engenharia sob a Nova Lei de Licitações e Contratos') e sobre a distinção entre projeto básico e executivo em contratações integradas municipais.</w:t>
            </w:r>
          </w:p>
          <w:p w14:paraId="648755A7" w14:textId="77777777" w:rsidR="00687565" w:rsidRPr="00687565" w:rsidRDefault="00687565" w:rsidP="00506313">
            <w:pPr>
              <w:jc w:val="both"/>
              <w:rPr>
                <w:rFonts w:cstheme="minorHAnsi"/>
                <w:b w:val="0"/>
                <w:bCs w:val="0"/>
              </w:rPr>
            </w:pPr>
          </w:p>
          <w:p w14:paraId="1514D8D4" w14:textId="486839C9" w:rsidR="00687565" w:rsidRPr="00687565" w:rsidRDefault="00687565" w:rsidP="00506313">
            <w:pPr>
              <w:jc w:val="both"/>
              <w:rPr>
                <w:rFonts w:cstheme="minorHAnsi"/>
                <w:sz w:val="22"/>
                <w:szCs w:val="22"/>
                <w:u w:val="single"/>
              </w:rPr>
            </w:pPr>
          </w:p>
        </w:tc>
        <w:tc>
          <w:tcPr>
            <w:tcW w:w="1434" w:type="dxa"/>
          </w:tcPr>
          <w:p w14:paraId="135A0D96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11A0D680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70593828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1B59C7D0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39D39889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6F97B7C4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6AB5520B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6DF55D16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3999D0B5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5F46E5A6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149BDF68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4B074856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47CCD77D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295FD75F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1E756F49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66304321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738D7DBB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004EF9B6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386D464D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451A36E9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753B20CA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760355CF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5BCEFA15" w14:textId="7865D758" w:rsidR="00506313" w:rsidRP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2 horas</w:t>
            </w:r>
          </w:p>
        </w:tc>
      </w:tr>
      <w:tr w:rsidR="00506313" w14:paraId="463506CC" w14:textId="77777777" w:rsidTr="002E62C4">
        <w:trPr>
          <w:trHeight w:val="3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2" w:type="dxa"/>
          </w:tcPr>
          <w:p w14:paraId="6FD83D70" w14:textId="77777777" w:rsidR="00506313" w:rsidRDefault="00506313" w:rsidP="00506313">
            <w:pPr>
              <w:jc w:val="both"/>
              <w:rPr>
                <w:rFonts w:ascii="Arial" w:hAnsi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Orçamentação de Obras Públicas</w:t>
            </w:r>
          </w:p>
          <w:p w14:paraId="7A861D87" w14:textId="77777777" w:rsidR="00B32EFF" w:rsidRDefault="00B32EFF" w:rsidP="00B32EFF">
            <w:pPr>
              <w:pStyle w:val="Ttulo2"/>
              <w:spacing w:before="240" w:after="60" w:line="360" w:lineRule="auto"/>
            </w:pPr>
            <w:r>
              <w:rPr>
                <w:rFonts w:ascii="Arial" w:hAnsi="Arial"/>
                <w:b/>
                <w:i/>
                <w:iCs/>
                <w:sz w:val="24"/>
                <w:szCs w:val="24"/>
              </w:rPr>
              <w:lastRenderedPageBreak/>
              <w:t>Módulo 1 — Fundamentos, Estrutura do Orçamento e Encargos Sociais</w:t>
            </w:r>
          </w:p>
          <w:p w14:paraId="0627AE38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A orçamentação de obras no marco da Lei nº 14.133/2021 (art. 23): valor estimado e compatibilidade com os preços de mercado.</w:t>
            </w:r>
          </w:p>
          <w:p w14:paraId="3B535CA8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Fontes e parâmetros de preços; bancos de dados públicos; ordem de prioridade dos parâmetros (art. 23, § 2º).</w:t>
            </w:r>
          </w:p>
          <w:p w14:paraId="0816695C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Estrutura do valor estimado: Custo Direto + BDI + Encargos Sociais; sigilo do orçamento (art. 24).</w:t>
            </w:r>
          </w:p>
          <w:p w14:paraId="5ED4971B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Economia de escala e peculiaridades do local de execução do objeto.</w:t>
            </w:r>
          </w:p>
          <w:p w14:paraId="1CB5D8DA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Encargos sociais sobre a mão de obra horista e mensalista; composição e demonstrativo analítico.</w:t>
            </w:r>
          </w:p>
          <w:p w14:paraId="074CE835" w14:textId="77777777" w:rsidR="00B32EFF" w:rsidRPr="00B32EFF" w:rsidRDefault="00B32EFF" w:rsidP="00B32EFF">
            <w:pPr>
              <w:pBdr>
                <w:top w:val="single" w:sz="4" w:space="4" w:color="AAAAAA"/>
              </w:pBdr>
              <w:spacing w:before="120" w:after="30"/>
              <w:rPr>
                <w:b w:val="0"/>
                <w:bCs w:val="0"/>
              </w:rPr>
            </w:pPr>
            <w:r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Base legal e de controle contemplada no módulo:</w:t>
            </w:r>
          </w:p>
          <w:p w14:paraId="2C74F7E5" w14:textId="77777777" w:rsidR="00B32EFF" w:rsidRPr="00B32EFF" w:rsidRDefault="00B32EFF" w:rsidP="00B32EFF">
            <w:pPr>
              <w:spacing w:after="30"/>
              <w:ind w:left="340"/>
              <w:jc w:val="both"/>
              <w:rPr>
                <w:b w:val="0"/>
                <w:bCs w:val="0"/>
              </w:rPr>
            </w:pPr>
            <w:r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 xml:space="preserve">Legislação municipal — Decreto nº 62.100/2022: art. 27 (pesquisa de preços); art. 28, "caput" e § 1º (obras e serviços de engenharia: valor estimado + BDI + Encargos Sociais; Tabela de Custos SIURB e ordem de parâmetros); arts. 29, 31 a 33 (pesquisa excepcional, repetição, sigilo e diretrizes de valores de referência).</w:t>
            </w:r>
          </w:p>
          <w:p w14:paraId="1E56E057" w14:textId="77777777" w:rsidR="00B32EFF" w:rsidRPr="00B32EFF" w:rsidRDefault="00B32EFF" w:rsidP="00B32EFF">
            <w:pPr>
              <w:spacing w:after="30"/>
              <w:ind w:left="340"/>
              <w:jc w:val="both"/>
              <w:rPr>
                <w:b w:val="0"/>
                <w:bCs w:val="0"/>
              </w:rPr>
            </w:pPr>
            <w:r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Jurisprudência do TCM/SP: TC 12.754/2023 (Bol. 55); TC 12.324/2023 (Bol. 67); TC 466/2016 (Bol. 68); TC 1.757/2026 (Bol. 81); TC 6.148/2026 (Bol. 83); encargos e planilha: TC 10.920/2020 (Bol. 60) e TC 12.532/2025 (Bol. 81); economia de escala: TC 11.232/2022 (Bol. 60), TC 11.131/2022 (Bol. 69) e TC 6.872/2026 (Bol. 83).</w:t>
            </w:r>
          </w:p>
          <w:p w14:paraId="05E91C69" w14:textId="77777777" w:rsidR="00B32EFF" w:rsidRDefault="00B32EFF" w:rsidP="00B32EFF">
            <w:pPr>
              <w:pStyle w:val="Ttulo2"/>
              <w:spacing w:before="240" w:after="60" w:line="360" w:lineRule="auto"/>
            </w:pPr>
            <w:r>
              <w:rPr>
                <w:rFonts w:ascii="Arial" w:hAnsi="Arial"/>
                <w:b/>
                <w:i/>
                <w:iCs/>
                <w:sz w:val="24"/>
                <w:szCs w:val="24"/>
              </w:rPr>
              <w:t>Módulo 2 — Custos Indiretos e BDI (Bonificação e Despesas Indiretas)</w:t>
            </w:r>
          </w:p>
          <w:p w14:paraId="5AF3A177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Conceito de custos indiretos nos sistemas SINAPI e SICRO (Acórdão 2.622/2013-TCU-Plenário).</w:t>
            </w:r>
          </w:p>
          <w:p w14:paraId="4F862A58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 xml:space="preserve">Administração Local: definição, faixas referenciais e pagamento proporcional à execução física (Acórdãos 2.622/2013, 1.247/2016 e 845/2021; arts. 62 e 63 da Lei nº 4.320/1964).</w:t>
            </w:r>
          </w:p>
          <w:p w14:paraId="6913632F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Instalação e manutenção do canteiro de obras (NBR nº 12.284/1991; cadernos técnicos do DNIT e do SINAPI).</w:t>
            </w:r>
          </w:p>
          <w:p w14:paraId="27D0ED86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Mobilização e desmobilização como custo direto (Manual do SICRO).</w:t>
            </w:r>
          </w:p>
          <w:p w14:paraId="1534F34A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Conceito e composição do BDI; despesas indiretas e bonificação; fórmula Preço = (1 + BDI) × Custo.</w:t>
            </w:r>
          </w:p>
          <w:p w14:paraId="2B662DE8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lastRenderedPageBreak/>
              <w:t>Taxas referenciais de BDI por tipo de obra; BDI reduzido/diferenciado e Súmula nº 253/TCU (Decreto nº 7.983/2013; Acórdão 2.340/2024).</w:t>
            </w:r>
          </w:p>
          <w:p w14:paraId="09FBF6D3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Composição analítica do BDI: Administração Central, Despesas Financeiras (SELIC), Seguros e Garantias, Riscos, Lucro e Tributos (PIS, COFINS e ISSQN).</w:t>
            </w:r>
          </w:p>
          <w:p w14:paraId="2238B274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Desoneração da folha e CPRB; escolha do menor valor global (Leis nos 12.844/2013, 13.043/2014, 13.161/2015 e 14.973/2024).</w:t>
            </w:r>
          </w:p>
          <w:p w14:paraId="7422CFA6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 xml:space="preserve">IRPJ e CSLL no BDI: natureza direta e personalística (Súmula nº 254/2010; Acórdão 648/2016).</w:t>
            </w:r>
          </w:p>
          <w:p w14:paraId="76850664" w14:textId="77777777" w:rsidR="00B32EFF" w:rsidRPr="00B32EFF" w:rsidRDefault="00B32EFF" w:rsidP="00B32EFF">
            <w:pPr>
              <w:pBdr>
                <w:top w:val="single" w:sz="4" w:space="4" w:color="AAAAAA"/>
              </w:pBdr>
              <w:spacing w:before="120" w:after="30"/>
              <w:rPr>
                <w:b w:val="0"/>
                <w:bCs w:val="0"/>
              </w:rPr>
            </w:pPr>
            <w:r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Base legal e de controle contemplada no módulo:</w:t>
            </w:r>
          </w:p>
          <w:p w14:paraId="68532A87" w14:textId="77777777" w:rsidR="00B32EFF" w:rsidRPr="00B32EFF" w:rsidRDefault="00B32EFF" w:rsidP="00B32EFF">
            <w:pPr>
              <w:spacing w:after="30"/>
              <w:ind w:left="340"/>
              <w:jc w:val="both"/>
              <w:rPr>
                <w:b w:val="0"/>
                <w:bCs w:val="0"/>
              </w:rPr>
            </w:pPr>
            <w:r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Legislação municipal — Decreto nº 62.100/2022: art. 28, "caput" (composição de custos unitários; BDI de referência e Encargos Sociais no valor estimado de obras e serviços de engenharia).</w:t>
            </w:r>
          </w:p>
          <w:p w14:paraId="59937527" w14:textId="77777777" w:rsidR="00B32EFF" w:rsidRPr="00B32EFF" w:rsidRDefault="00B32EFF" w:rsidP="00B32EFF">
            <w:pPr>
              <w:spacing w:after="30"/>
              <w:ind w:left="340"/>
              <w:jc w:val="both"/>
              <w:rPr>
                <w:b w:val="0"/>
                <w:bCs w:val="0"/>
              </w:rPr>
            </w:pPr>
            <w:r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Jurisprudência do TCM/SP: TC 5.323/2021 (Bol. 75 — Adm. Local e Transportes fora do BDI, como custos diretos); TC 5.468/2022 (Bol. 80 — BDI diferenciado obrigatório); TC 16.909/2019 (Bol. 76) e TC 16.943/2019 (Bol. 80 — vedação à "administração contratada").</w:t>
            </w:r>
          </w:p>
          <w:p w14:paraId="09023988" w14:textId="77777777" w:rsidR="00B32EFF" w:rsidRDefault="00B32EFF" w:rsidP="00B32EFF">
            <w:pPr>
              <w:pStyle w:val="Ttulo2"/>
              <w:spacing w:before="240" w:after="60" w:line="360" w:lineRule="auto"/>
            </w:pPr>
            <w:r>
              <w:rPr>
                <w:rFonts w:ascii="Arial" w:hAnsi="Arial"/>
                <w:b/>
                <w:i/>
                <w:iCs/>
                <w:sz w:val="24"/>
                <w:szCs w:val="24"/>
              </w:rPr>
              <w:t>Módulo 3 — Tipos de Orçamento e Composições de Custos Unitários (CPU)</w:t>
            </w:r>
          </w:p>
          <w:p w14:paraId="3565BA26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Orçamento sintético: conceito, anteprojeto e regime de contratação integrada.</w:t>
            </w:r>
          </w:p>
          <w:p w14:paraId="1AA30FEF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Metodologias de estimativa de custos: paramétrica e expedita.</w:t>
            </w:r>
          </w:p>
          <w:p w14:paraId="7CA70C47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Orçamento detalhado (analítico): composições de custos unitários e pesquisa de preços (IBRAOP OT — IBR 004/2012).</w:t>
            </w:r>
          </w:p>
          <w:p w14:paraId="2F8EF26F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Documentos que acompanham o orçamento detalhado: cronograma físico-financeiro, curvas ABC e Curva S, composições e memórias de cálculo.</w:t>
            </w:r>
          </w:p>
          <w:p w14:paraId="19F762DE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Margem de precisão do orçamento e sua distinção dos limites de aditamento (art. 125).</w:t>
            </w:r>
          </w:p>
          <w:p w14:paraId="4298B09F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Composições SICRO e SINAPI; Tabela de Custos Unitários; ficha técnica de insumo; atualizações a partir de 2025.</w:t>
            </w:r>
          </w:p>
          <w:p w14:paraId="76BC92A8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lastRenderedPageBreak/>
              <w:t>Escolha entre composições do SICRO e do SINAPI conforme as peculiaridades locais.</w:t>
            </w:r>
          </w:p>
          <w:p w14:paraId="3B534180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Cotação local e economia de escala (art. 23; art. 8º do Decreto nº 7.983/2013).</w:t>
            </w:r>
          </w:p>
          <w:p w14:paraId="040498C1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Exercícios práticos integrando orçamento, cronograma e CPU; uso de inteligência artificial em cadernos técnicos.</w:t>
            </w:r>
          </w:p>
          <w:p w14:paraId="3F64E201" w14:textId="77777777" w:rsidR="00B32EFF" w:rsidRPr="00B32EFF" w:rsidRDefault="00B32EFF" w:rsidP="00B32EFF">
            <w:pPr>
              <w:pBdr>
                <w:top w:val="single" w:sz="4" w:space="4" w:color="AAAAAA"/>
              </w:pBdr>
              <w:spacing w:before="120" w:after="30"/>
              <w:rPr>
                <w:b w:val="0"/>
                <w:bCs w:val="0"/>
              </w:rPr>
            </w:pPr>
            <w:r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Base legal e de controle contemplada no módulo:</w:t>
            </w:r>
          </w:p>
          <w:p w14:paraId="1C3F1B8E" w14:textId="77777777" w:rsidR="00B32EFF" w:rsidRPr="00B32EFF" w:rsidRDefault="00B32EFF" w:rsidP="00B32EFF">
            <w:pPr>
              <w:spacing w:after="30"/>
              <w:ind w:left="340"/>
              <w:jc w:val="both"/>
              <w:rPr>
                <w:b w:val="0"/>
                <w:bCs w:val="0"/>
              </w:rPr>
            </w:pPr>
            <w:r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 xml:space="preserve">Legislação municipal — Decreto nº 62.100/2022: art. 28, §§ 3º e 4º (contratação integrada e semi-integrada; orçamento sintético; metodologia expedita/paramétrica; anteprojeto; nível de detalhamento exigido nas propostas).</w:t>
            </w:r>
          </w:p>
          <w:p w14:paraId="3C10CC3C" w14:textId="77777777" w:rsidR="00B32EFF" w:rsidRPr="00B32EFF" w:rsidRDefault="00B32EFF" w:rsidP="00B32EFF">
            <w:pPr>
              <w:spacing w:after="30"/>
              <w:ind w:left="340"/>
              <w:jc w:val="both"/>
              <w:rPr>
                <w:b w:val="0"/>
                <w:bCs w:val="0"/>
              </w:rPr>
            </w:pPr>
            <w:r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Jurisprudência do TCM/SP: TC 15.372/2024 (Bol. 60 — tabela de custos unitários atualizada); TC 10.049/2023 (Bol. 83 — projeto básico); TC 16.943/2019 (Bol. 80 — remuneração por composições de preços unitários).</w:t>
            </w:r>
          </w:p>
          <w:p w14:paraId="6B77F5BB" w14:textId="77777777" w:rsidR="00B32EFF" w:rsidRDefault="00B32EFF" w:rsidP="00B32EFF">
            <w:pPr>
              <w:pStyle w:val="Ttulo2"/>
              <w:spacing w:before="240" w:after="60" w:line="360" w:lineRule="auto"/>
            </w:pPr>
            <w:r>
              <w:rPr>
                <w:rFonts w:ascii="Arial" w:hAnsi="Arial"/>
                <w:b/>
                <w:i/>
                <w:iCs/>
                <w:sz w:val="24"/>
                <w:szCs w:val="24"/>
              </w:rPr>
              <w:t>Módulo 4 — Planejamento e Controle da Execução</w:t>
            </w:r>
          </w:p>
          <w:p w14:paraId="741B0243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Planejamento da contratação: Estudo Técnico Preliminar (ETP) e projeto básico como base do orçamento.</w:t>
            </w:r>
          </w:p>
          <w:p w14:paraId="4B32C3F1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Cronograma físico-financeiro: elaboração e análise crítica da distribuição dos percentuais.</w:t>
            </w:r>
          </w:p>
          <w:p w14:paraId="7593DB46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Curva de Valor Agregado (Curva S): benefícios, cálculo de atrasos e Índice de Desempenho de Prazo (IDP); multa de mora (art. 162).</w:t>
            </w:r>
          </w:p>
          <w:p w14:paraId="44500DC2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Reflexos dos atrasos nos contratos de supervisão e gerenciamento; matriz de risco (Acórdão 266/2024).</w:t>
            </w:r>
          </w:p>
          <w:p w14:paraId="4E2C92BC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Curva ABC de serviços e de insumos como instrumentos de gestão, fiscalização e auditoria.</w:t>
            </w:r>
          </w:p>
          <w:p w14:paraId="1F06062C" w14:textId="77777777" w:rsidR="00B32EFF" w:rsidRPr="00B32EFF" w:rsidRDefault="00B32EFF" w:rsidP="00B32EFF">
            <w:pPr>
              <w:pBdr>
                <w:top w:val="single" w:sz="4" w:space="4" w:color="AAAAAA"/>
              </w:pBdr>
              <w:spacing w:before="120" w:after="30"/>
              <w:rPr>
                <w:b w:val="0"/>
                <w:bCs w:val="0"/>
              </w:rPr>
            </w:pPr>
            <w:r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Base legal e de controle contemplada no módulo:</w:t>
            </w:r>
          </w:p>
          <w:p w14:paraId="45279196" w14:textId="77777777" w:rsidR="00B32EFF" w:rsidRPr="00B32EFF" w:rsidRDefault="00B32EFF" w:rsidP="00B32EFF">
            <w:pPr>
              <w:spacing w:after="30"/>
              <w:ind w:left="340"/>
              <w:jc w:val="both"/>
              <w:rPr>
                <w:b w:val="0"/>
                <w:bCs w:val="0"/>
              </w:rPr>
            </w:pPr>
            <w:r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 xml:space="preserve">Legislação municipal — Decreto nº 62.100/2022: arts. 5º e 6º (Plano de Contratações Anual — planejamento); arts. 117 e 118 (gestão de contratos; controle do cronograma físico-financeiro e dos recursos orçamentários); arts. 119 e 120 (fiscalização; conformidade de obras e quantidades).</w:t>
            </w:r>
          </w:p>
          <w:p w14:paraId="1A090BE6" w14:textId="77777777" w:rsidR="00B32EFF" w:rsidRPr="00B32EFF" w:rsidRDefault="00B32EFF" w:rsidP="00B32EFF">
            <w:pPr>
              <w:spacing w:after="30"/>
              <w:ind w:left="340"/>
              <w:jc w:val="both"/>
              <w:rPr>
                <w:b w:val="0"/>
                <w:bCs w:val="0"/>
              </w:rPr>
            </w:pPr>
            <w:r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Jurisprudência do TCM/SP: TC 12.010/2019 (Bol. 57 — ETP); TC 9.789/2025 (Bol. 76 — memória de cálculo da demanda); TC 19.116/2019 (Bol. 82 — falha de planejamento); TC 19.711/2019 (Bol. 54 — ART/fiscalização); TC 12.845/2018 (Bol. 69 — fiscalização instrumental).</w:t>
            </w:r>
          </w:p>
          <w:p w14:paraId="681A3950" w14:textId="77777777" w:rsidR="00B32EFF" w:rsidRDefault="00B32EFF" w:rsidP="00B32EFF">
            <w:pPr>
              <w:pStyle w:val="Ttulo2"/>
              <w:spacing w:before="240" w:after="60" w:line="360" w:lineRule="auto"/>
            </w:pPr>
            <w:r>
              <w:rPr>
                <w:rFonts w:ascii="Arial" w:hAnsi="Arial"/>
                <w:b/>
                <w:i/>
                <w:iCs/>
                <w:sz w:val="24"/>
                <w:szCs w:val="24"/>
              </w:rPr>
              <w:t>Módulo 5 — Sobrepreço e Superfaturamento</w:t>
            </w:r>
          </w:p>
          <w:p w14:paraId="5115AC32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lastRenderedPageBreak/>
              <w:t>Sobrepreço: conceito legal (art. 6º, LVI) e objetivo do processo licitatório (art. 11, III).</w:t>
            </w:r>
          </w:p>
          <w:p w14:paraId="477BD6DA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Tolerância e "expressividade" do sobrepreço (Acórdãos TCU 1.254/2020 e 1.742/2025); margem de tolerância × margem de precisão.</w:t>
            </w:r>
          </w:p>
          <w:p w14:paraId="74EE371E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Governança e responsabilidade da alta administração (art. 11, parágrafo único); boas práticas de prevenção.</w:t>
            </w:r>
          </w:p>
          <w:p w14:paraId="71C57680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Jogo de planilha e jogo de cronograma (Súmula nº 259/2010; Acórdãos 2.307/2017 e 1.695/2018).</w:t>
            </w:r>
          </w:p>
          <w:p w14:paraId="3F600F66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Métodos de apuração: MPLU (Limitação dos Preços Unitários) e MPLG (Limitação do Preço Global).</w:t>
            </w:r>
          </w:p>
          <w:p w14:paraId="633BA27B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Superfaturamento: conceito legal (art. 6º, LVII) e modalidades (Casos 1 a 4).</w:t>
            </w:r>
          </w:p>
          <w:p w14:paraId="01D52E24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Responsabilização dos agentes: projetista/orçamentista, fiscalização e contratado.</w:t>
            </w:r>
          </w:p>
          <w:p w14:paraId="6A57CC4E" w14:textId="77777777" w:rsidR="00B32EFF" w:rsidRPr="00B32EFF" w:rsidRDefault="00B32EFF" w:rsidP="00B32EFF">
            <w:pPr>
              <w:pBdr>
                <w:top w:val="single" w:sz="4" w:space="4" w:color="AAAAAA"/>
              </w:pBdr>
              <w:spacing w:before="120" w:after="30"/>
              <w:rPr>
                <w:b w:val="0"/>
                <w:bCs w:val="0"/>
              </w:rPr>
            </w:pPr>
            <w:r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Base legal e de controle contemplada no módulo:</w:t>
            </w:r>
          </w:p>
          <w:p w14:paraId="4545B324" w14:textId="77777777" w:rsidR="00B32EFF" w:rsidRPr="00B32EFF" w:rsidRDefault="00B32EFF" w:rsidP="00B32EFF">
            <w:pPr>
              <w:spacing w:after="30"/>
              <w:ind w:left="340"/>
              <w:jc w:val="both"/>
              <w:rPr>
                <w:b w:val="0"/>
                <w:bCs w:val="0"/>
              </w:rPr>
            </w:pPr>
            <w:r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 xml:space="preserve">Legislação municipal — Decreto nº 62.100/2022: art. 7º (governança das contratações — art. 11, § único, da Lei nº 14.133/2021); arts. 34 a 36 (programa de integridade em obras de grande vulto; gestão de riscos); art. 119 (fiscalização — conformidade das quantidades executadas).</w:t>
            </w:r>
          </w:p>
          <w:p w14:paraId="1DF63EA7" w14:textId="77777777" w:rsidR="00B32EFF" w:rsidRPr="00B32EFF" w:rsidRDefault="00B32EFF" w:rsidP="00B32EFF">
            <w:pPr>
              <w:spacing w:after="30"/>
              <w:ind w:left="340"/>
              <w:jc w:val="both"/>
              <w:rPr>
                <w:b w:val="0"/>
                <w:bCs w:val="0"/>
              </w:rPr>
            </w:pPr>
            <w:r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Jurisprudência do TCM/SP: TC 5.947/2018 (Bol. 77 — medição a maior); TC 5.323/2021 (Bol. 75 — duplicidade); TC 5.468/2022 (Bol. 80 — superavaliação); TC 12.532/2025 (Bol. 81) e TC 14.163/2025 (Bol. 82 — inexequibilidade); TC 10.132/2023 (Bol. 82 — jogo de planilha/conluio).</w:t>
            </w:r>
          </w:p>
          <w:p w14:paraId="0ACE4697" w14:textId="77777777" w:rsidR="00B32EFF" w:rsidRDefault="00B32EFF" w:rsidP="00B32EFF">
            <w:pPr>
              <w:pStyle w:val="Ttulo2"/>
              <w:spacing w:before="240" w:after="60" w:line="360" w:lineRule="auto"/>
            </w:pPr>
            <w:r>
              <w:rPr>
                <w:rFonts w:ascii="Arial" w:hAnsi="Arial"/>
                <w:b/>
                <w:i/>
                <w:iCs/>
                <w:sz w:val="24"/>
                <w:szCs w:val="24"/>
              </w:rPr>
              <w:t>Módulo 6 — Alterações Contratuais e Equilíbrio Econômico-Financeiro</w:t>
            </w:r>
          </w:p>
          <w:p w14:paraId="2676D1FE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Aditivos: hipóteses de alteração (art. 124) — unilaterais (qualitativa e quantitativa) e por acordo.</w:t>
            </w:r>
          </w:p>
          <w:p w14:paraId="3762CD86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Limites das alterações e tratamento isolado de acréscimos e supressões (Acórdãos 1.271/2025 e 1.981/2009).</w:t>
            </w:r>
          </w:p>
          <w:p w14:paraId="647355C2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Métodos de aditamento: método do balanço e método do desconto (arts. 128 e 15).</w:t>
            </w:r>
          </w:p>
          <w:p w14:paraId="37ADE9A4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Aplicações práticas: aditivos com novos serviços e com alteração de quantidades.</w:t>
            </w:r>
          </w:p>
          <w:p w14:paraId="25E8FD37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lastRenderedPageBreak/>
              <w:t>Reequilíbrio econômico-financeiro e teoria da imprevisão (art. 124, II, "d"); cláusula rebus sic stantibus.</w:t>
            </w:r>
          </w:p>
          <w:p w14:paraId="7646E924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>
              <w:rPr>
                <w:rFonts w:ascii="Arial" w:hAnsi="Arial"/>
                <w:b w:val="0"/>
                <w:bCs w:val="0"/>
                <w:sz w:val="24"/>
                <w:szCs w:val="24"/>
              </w:rPr>
              <w:t>Engenharia de custos: equidade global, expurgo do reajuste, onerosidade excessiva e expurgo do lucro (Acórdãos 1.466/2013 e 4.072/2020); OT — IBRAOP 009/2024.</w:t>
            </w:r>
          </w:p>
          <w:p w14:paraId="196AF2D5" w14:textId="77777777" w:rsidR="00B32EFF" w:rsidRPr="00B32EFF" w:rsidRDefault="00B32EFF" w:rsidP="00B32EFF">
            <w:pPr>
              <w:pBdr>
                <w:top w:val="single" w:sz="4" w:space="4" w:color="AAAAAA"/>
              </w:pBdr>
              <w:spacing w:before="120" w:after="30"/>
              <w:rPr>
                <w:b w:val="0"/>
                <w:bCs w:val="0"/>
              </w:rPr>
            </w:pPr>
            <w:r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Base legal e de controle contemplada no módulo:</w:t>
            </w:r>
          </w:p>
          <w:p w14:paraId="36F28675" w14:textId="77777777" w:rsidR="00B32EFF" w:rsidRPr="00B32EFF" w:rsidRDefault="00B32EFF" w:rsidP="00B32EFF">
            <w:pPr>
              <w:spacing w:after="30"/>
              <w:ind w:left="340"/>
              <w:jc w:val="both"/>
              <w:rPr>
                <w:b w:val="0"/>
                <w:bCs w:val="0"/>
              </w:rPr>
            </w:pPr>
            <w:r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 xml:space="preserve">Legislação municipal — Decreto nº 62.100/2022: art. 127 (alterações contratuais e limites); arts. 128 a 137 (reajuste e repactuação; planilha de custos); arts. 138 e 139 (reequilíbrio econômico-financeiro; alocação de riscos; termo aditivo).</w:t>
            </w:r>
          </w:p>
          <w:p w14:paraId="111D0F5F" w14:textId="77777777" w:rsidR="00B32EFF" w:rsidRDefault="00B32EFF" w:rsidP="00B32EFF">
            <w:pPr>
              <w:spacing w:after="30"/>
              <w:ind w:left="340"/>
              <w:jc w:val="both"/>
            </w:pPr>
            <w:r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Jurisprudência do TCM/SP: TC 4.602/2021 (Bol. 81 — limites de acréscimo e alteração qualitativa). Reequilíbrio: sem ementa específica nos Boletins 54–83 analisados</w:t>
            </w:r>
            <w:r>
              <w:rPr>
                <w:rFonts w:ascii="Arial" w:eastAsia="Arial" w:hAnsi="Arial" w:cs="Arial"/>
                <w:sz w:val="19"/>
                <w:szCs w:val="19"/>
              </w:rPr>
              <w:t>.</w:t>
            </w:r>
          </w:p>
          <w:p w14:paraId="3A1357CF" w14:textId="1BA72458" w:rsidR="00B32EFF" w:rsidRDefault="00B32EFF" w:rsidP="00506313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434" w:type="dxa"/>
          </w:tcPr>
          <w:p w14:paraId="131C7805" w14:textId="644CAA0C" w:rsidR="00506313" w:rsidRDefault="00506313" w:rsidP="005063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lastRenderedPageBreak/>
              <w:t>8H</w:t>
            </w:r>
          </w:p>
        </w:tc>
      </w:tr>
      <w:tr w:rsidR="00506313" w14:paraId="0E86AF6D" w14:textId="77777777" w:rsidTr="002E62C4">
        <w:trPr>
          <w:trHeight w:val="2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2" w:type="dxa"/>
          </w:tcPr>
          <w:p w14:paraId="4840C9DE" w14:textId="77777777" w:rsidR="00506313" w:rsidRDefault="00506313" w:rsidP="00506313">
            <w:pPr>
              <w:jc w:val="both"/>
              <w:rPr>
                <w:rFonts w:ascii="Arial" w:hAnsi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 xml:space="preserve">Atividades em Grupos e Tira-Dúvidas</w:t>
            </w:r>
          </w:p>
          <w:p w14:paraId="599D03D2" w14:textId="77777777" w:rsidR="00554B9C" w:rsidRDefault="00554B9C" w:rsidP="00506313">
            <w:pPr>
              <w:jc w:val="both"/>
              <w:rPr>
                <w:rFonts w:ascii="Arial" w:hAnsi="Arial"/>
                <w:b w:val="0"/>
                <w:bCs w:val="0"/>
                <w:sz w:val="22"/>
                <w:szCs w:val="22"/>
              </w:rPr>
            </w:pPr>
          </w:p>
          <w:p w14:paraId="5E7D3E81" w14:textId="77777777" w:rsidR="00554B9C" w:rsidRDefault="00554B9C" w:rsidP="00506313">
            <w:pPr>
              <w:jc w:val="both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 xml:space="preserve">Na atividade de encerramento, a turma será organizada em 10 grupos, com cerca de 10 participantes cada, incumbidos de discutir 10 estudos de caso práticos que percorrem os eixos temáticos do curso: (i) Planejamento da Contratação; (ii) Regimes de Execução Contratual; (iii) Contratação Integrada, Matriz de Riscos e Contratação Semi-Integrada; e (iv) Orçamentação de Obras Públicas.</w:t>
            </w:r>
          </w:p>
          <w:p w14:paraId="26916603" w14:textId="77777777" w:rsidR="00554B9C" w:rsidRDefault="00554B9C" w:rsidP="00506313">
            <w:pPr>
              <w:jc w:val="both"/>
              <w:rPr>
                <w:rFonts w:cstheme="minorHAnsi"/>
                <w:sz w:val="22"/>
                <w:szCs w:val="22"/>
              </w:rPr>
            </w:pPr>
          </w:p>
          <w:p w14:paraId="4BB0E3E3" w14:textId="62B2F086" w:rsidR="00554B9C" w:rsidRDefault="00554B9C" w:rsidP="00506313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 xml:space="preserve">As discussões serão conduzidas à luz da Lei nº 14.133/2021, do Decreto Municipal nº 62.100/2022 e das demais normas municipais correlatas, bem como da jurisprudência do TCU, do TCE/SP e do TCM/SP, de modo a articular fundamento legal, orientação dos órgãos de controle e aplicação prática.</w:t>
            </w:r>
            <w:r>
              <w:rPr>
                <w:rFonts w:cstheme="minorHAnsi"/>
                <w:b w:val="0"/>
                <w:bCs w:val="0"/>
              </w:rPr>
              <w:t xml:space="preserve"/>
            </w:r>
          </w:p>
          <w:p w14:paraId="50D1B6EC" w14:textId="77777777" w:rsidR="00554B9C" w:rsidRDefault="00554B9C" w:rsidP="00506313">
            <w:pPr>
              <w:jc w:val="both"/>
              <w:rPr>
                <w:rFonts w:cstheme="minorHAnsi"/>
              </w:rPr>
            </w:pPr>
          </w:p>
          <w:p w14:paraId="20DE808C" w14:textId="6405E54B" w:rsidR="00554B9C" w:rsidRPr="00554B9C" w:rsidRDefault="00554B9C" w:rsidP="00506313">
            <w:p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</w:rPr>
              <w:t xml:space="preserve">Ao final, será aberto espaço para o esclarecimento das dúvidas remanescentes, consolidando os conteúdos trabalhados ao longo do curso.</w:t>
            </w:r>
          </w:p>
        </w:tc>
        <w:tc>
          <w:tcPr>
            <w:tcW w:w="1434" w:type="dxa"/>
          </w:tcPr>
          <w:p w14:paraId="12F650CE" w14:textId="4E42213B" w:rsidR="00506313" w:rsidRDefault="00506313" w:rsidP="005063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8h</w:t>
            </w:r>
          </w:p>
        </w:tc>
      </w:tr>
    </w:tbl>
    <w:p w14:paraId="2F4F1B87" w14:textId="77777777" w:rsidR="00506FD3" w:rsidRPr="00B0164F" w:rsidRDefault="00506FD3" w:rsidP="00645FD7">
      <w:pPr>
        <w:jc w:val="both"/>
        <w:rPr>
          <w:rFonts w:ascii="Calibri Light" w:hAnsi="Calibri Light" w:cs="Calibri Light"/>
          <w:sz w:val="22"/>
          <w:szCs w:val="22"/>
        </w:rPr>
      </w:pPr>
    </w:p>
    <w:sectPr w:rsidR="00506FD3" w:rsidRPr="00B0164F" w:rsidSect="006D0132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614" w:right="1701" w:bottom="1417" w:left="1701" w:header="708" w:footer="14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64009" w14:textId="77777777" w:rsidR="006E789B" w:rsidRDefault="006E789B" w:rsidP="00375ABB">
      <w:r>
        <w:separator/>
      </w:r>
    </w:p>
    <w:p w14:paraId="31636E04" w14:textId="77777777" w:rsidR="006E789B" w:rsidRDefault="006E789B"/>
  </w:endnote>
  <w:endnote w:type="continuationSeparator" w:id="0">
    <w:p w14:paraId="2C15794B" w14:textId="77777777" w:rsidR="006E789B" w:rsidRDefault="006E789B" w:rsidP="00375ABB">
      <w:r>
        <w:continuationSeparator/>
      </w:r>
    </w:p>
    <w:p w14:paraId="4EDB0D5C" w14:textId="77777777" w:rsidR="006E789B" w:rsidRDefault="006E78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Corpo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358100815"/>
      <w:docPartObj>
        <w:docPartGallery w:val="Page Numbers (Bottom of Page)"/>
        <w:docPartUnique/>
      </w:docPartObj>
    </w:sdtPr>
    <w:sdtContent>
      <w:p w14:paraId="5CD3D5DB" w14:textId="77777777" w:rsidR="00333851" w:rsidRDefault="00333851" w:rsidP="00887B99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45C0177D" w14:textId="77777777" w:rsidR="00333851" w:rsidRDefault="00333851" w:rsidP="00333851">
    <w:pPr>
      <w:pStyle w:val="Rodap"/>
      <w:ind w:right="360"/>
    </w:pPr>
  </w:p>
  <w:p w14:paraId="733E2643" w14:textId="77777777" w:rsidR="00466766" w:rsidRDefault="0046676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  <w:rFonts w:ascii="Century Gothic" w:hAnsi="Century Gothic"/>
        <w:b/>
        <w:bCs/>
        <w:color w:val="FFFFFF" w:themeColor="background1"/>
        <w:sz w:val="32"/>
        <w:szCs w:val="32"/>
      </w:rPr>
      <w:id w:val="1086809526"/>
      <w:docPartObj>
        <w:docPartGallery w:val="Page Numbers (Bottom of Page)"/>
        <w:docPartUnique/>
      </w:docPartObj>
    </w:sdtPr>
    <w:sdtContent>
      <w:p w14:paraId="6194CEC7" w14:textId="77777777" w:rsidR="00333851" w:rsidRPr="00333851" w:rsidRDefault="00333851" w:rsidP="00333851">
        <w:pPr>
          <w:pStyle w:val="Rodap"/>
          <w:framePr w:wrap="none" w:vAnchor="text" w:hAnchor="page" w:x="10967" w:y="825"/>
          <w:rPr>
            <w:rStyle w:val="Nmerodepgina"/>
            <w:rFonts w:ascii="Century Gothic" w:hAnsi="Century Gothic"/>
            <w:b/>
            <w:bCs/>
            <w:color w:val="FFFFFF" w:themeColor="background1"/>
            <w:sz w:val="32"/>
            <w:szCs w:val="32"/>
          </w:rPr>
        </w:pPr>
        <w:r w:rsidRPr="00333851">
          <w:rPr>
            <w:rStyle w:val="Nmerodepgina"/>
            <w:rFonts w:ascii="Century Gothic" w:hAnsi="Century Gothic"/>
            <w:b/>
            <w:bCs/>
            <w:color w:val="FFFFFF" w:themeColor="background1"/>
            <w:sz w:val="32"/>
            <w:szCs w:val="32"/>
          </w:rPr>
          <w:fldChar w:fldCharType="begin"/>
        </w:r>
        <w:r w:rsidRPr="00333851">
          <w:rPr>
            <w:rStyle w:val="Nmerodepgina"/>
            <w:rFonts w:ascii="Century Gothic" w:hAnsi="Century Gothic"/>
            <w:b/>
            <w:bCs/>
            <w:color w:val="FFFFFF" w:themeColor="background1"/>
            <w:sz w:val="32"/>
            <w:szCs w:val="32"/>
          </w:rPr>
          <w:instrText xml:space="preserve"> PAGE </w:instrText>
        </w:r>
        <w:r w:rsidRPr="00333851">
          <w:rPr>
            <w:rStyle w:val="Nmerodepgina"/>
            <w:rFonts w:ascii="Century Gothic" w:hAnsi="Century Gothic"/>
            <w:b/>
            <w:bCs/>
            <w:color w:val="FFFFFF" w:themeColor="background1"/>
            <w:sz w:val="32"/>
            <w:szCs w:val="32"/>
          </w:rPr>
          <w:fldChar w:fldCharType="separate"/>
        </w:r>
        <w:r w:rsidRPr="00333851">
          <w:rPr>
            <w:rStyle w:val="Nmerodepgina"/>
            <w:rFonts w:ascii="Century Gothic" w:hAnsi="Century Gothic"/>
            <w:b/>
            <w:bCs/>
            <w:noProof/>
            <w:color w:val="FFFFFF" w:themeColor="background1"/>
            <w:sz w:val="32"/>
            <w:szCs w:val="32"/>
          </w:rPr>
          <w:t>2</w:t>
        </w:r>
        <w:r w:rsidRPr="00333851">
          <w:rPr>
            <w:rStyle w:val="Nmerodepgina"/>
            <w:rFonts w:ascii="Century Gothic" w:hAnsi="Century Gothic"/>
            <w:b/>
            <w:bCs/>
            <w:color w:val="FFFFFF" w:themeColor="background1"/>
            <w:sz w:val="32"/>
            <w:szCs w:val="32"/>
          </w:rPr>
          <w:fldChar w:fldCharType="end"/>
        </w:r>
      </w:p>
    </w:sdtContent>
  </w:sdt>
  <w:p w14:paraId="24CD87AE" w14:textId="77777777" w:rsidR="00333851" w:rsidRDefault="00333851" w:rsidP="00333851">
    <w:pPr>
      <w:pStyle w:val="Rodap"/>
      <w:ind w:right="360"/>
    </w:pPr>
  </w:p>
  <w:p w14:paraId="30280820" w14:textId="77777777" w:rsidR="00466766" w:rsidRDefault="0046676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E2E8B" w14:textId="09CBC38C" w:rsidR="00DF5624" w:rsidRDefault="00DF5624" w:rsidP="00DF5624">
    <w:pPr>
      <w:pStyle w:val="Rodap"/>
      <w:jc w:val="right"/>
    </w:pPr>
  </w:p>
  <w:p w14:paraId="7D2AB0FD" w14:textId="0E15DCA9" w:rsidR="00DF5624" w:rsidRDefault="00DF5624" w:rsidP="00CA0460">
    <w:pPr>
      <w:pStyle w:val="Rodap"/>
      <w:jc w:val="right"/>
    </w:pPr>
    <w:r>
      <w:t xml:space="preserve">Atualização: </w:t>
    </w:r>
    <w:r w:rsidR="00E6122F">
      <w:t>05</w:t>
    </w:r>
    <w:r w:rsidR="00337ECE">
      <w:t>/0</w:t>
    </w:r>
    <w:r w:rsidR="00E6122F">
      <w:t>8</w:t>
    </w:r>
    <w:r>
      <w:t>/202</w:t>
    </w:r>
    <w:r w:rsidR="00E6122F"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D7E2D" w14:textId="77777777" w:rsidR="006E789B" w:rsidRDefault="006E789B" w:rsidP="00375ABB">
      <w:r>
        <w:separator/>
      </w:r>
    </w:p>
    <w:p w14:paraId="719E38DF" w14:textId="77777777" w:rsidR="006E789B" w:rsidRDefault="006E789B"/>
  </w:footnote>
  <w:footnote w:type="continuationSeparator" w:id="0">
    <w:p w14:paraId="278BF303" w14:textId="77777777" w:rsidR="006E789B" w:rsidRDefault="006E789B" w:rsidP="00375ABB">
      <w:r>
        <w:continuationSeparator/>
      </w:r>
    </w:p>
    <w:p w14:paraId="3EF68D8F" w14:textId="77777777" w:rsidR="006E789B" w:rsidRDefault="006E789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80EEE" w14:textId="0E5BAB3A" w:rsidR="00466766" w:rsidRDefault="00671DDF" w:rsidP="003075CB">
    <w:pPr>
      <w:pStyle w:val="Cabealho"/>
    </w:pPr>
    <w:r>
      <w:rPr>
        <w:rFonts w:ascii="Century Gothic" w:hAnsi="Century Gothic" w:cs="Calibri Light"/>
        <w:b/>
        <w:noProof/>
        <w:color w:val="61479C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541D868" wp14:editId="2AFBCEA5">
              <wp:simplePos x="0" y="0"/>
              <wp:positionH relativeFrom="column">
                <wp:posOffset>-89535</wp:posOffset>
              </wp:positionH>
              <wp:positionV relativeFrom="paragraph">
                <wp:posOffset>-287655</wp:posOffset>
              </wp:positionV>
              <wp:extent cx="3790950" cy="495300"/>
              <wp:effectExtent l="0" t="0" r="0" b="0"/>
              <wp:wrapNone/>
              <wp:docPr id="1254958925" name="Agrupar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790950" cy="495300"/>
                        <a:chOff x="-2" y="-76200"/>
                        <a:chExt cx="3295650" cy="522076"/>
                      </a:xfrm>
                    </wpg:grpSpPr>
                    <wps:wsp>
                      <wps:cNvPr id="135084473" name="Caixa de Texto 3"/>
                      <wps:cNvSpPr txBox="1"/>
                      <wps:spPr>
                        <a:xfrm>
                          <a:off x="-2" y="-76200"/>
                          <a:ext cx="329565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E27DD7" w14:textId="58F665AE" w:rsidR="00671DDF" w:rsidRPr="00671DDF" w:rsidRDefault="00E6122F" w:rsidP="00671DDF">
                            <w:pPr>
                              <w:rPr>
                                <w:rFonts w:ascii="Century Gothic" w:hAnsi="Century Gothic" w:cs="Times New Roman (Corpo CS)"/>
                                <w:b/>
                                <w:bCs/>
                                <w:color w:val="0D0D0D" w:themeColor="text1" w:themeTint="F2"/>
                                <w:spacing w:val="56"/>
                                <w:kern w:val="4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 w:cs="Times New Roman (Corpo CS)"/>
                                <w:b/>
                                <w:bCs/>
                                <w:color w:val="0D0D0D" w:themeColor="text1" w:themeTint="F2"/>
                                <w:spacing w:val="56"/>
                                <w:kern w:val="40"/>
                                <w:sz w:val="16"/>
                                <w:szCs w:val="20"/>
                              </w:rPr>
                              <w:t>Planejamento e Gestão de Obras Públicas</w:t>
                            </w:r>
                            <w:r w:rsidR="00671DDF" w:rsidRPr="00671DDF">
                              <w:rPr>
                                <w:rFonts w:ascii="Century Gothic" w:hAnsi="Century Gothic" w:cs="Times New Roman (Corpo CS)"/>
                                <w:b/>
                                <w:bCs/>
                                <w:color w:val="0D0D0D" w:themeColor="text1" w:themeTint="F2"/>
                                <w:spacing w:val="56"/>
                                <w:kern w:val="40"/>
                                <w:sz w:val="16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02580145" name="Caixa de Texto 3"/>
                      <wps:cNvSpPr txBox="1"/>
                      <wps:spPr>
                        <a:xfrm>
                          <a:off x="0" y="127888"/>
                          <a:ext cx="3285490" cy="3179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F967A5" w14:textId="517888E4" w:rsidR="00671DDF" w:rsidRPr="00671DDF" w:rsidRDefault="003075CB" w:rsidP="00671DDF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1F3864" w:themeColor="accent1" w:themeShade="8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1F3864" w:themeColor="accent1" w:themeShade="80"/>
                              </w:rPr>
                              <w:t xml:space="preserve">Framework –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1F3864" w:themeColor="accent1" w:themeShade="80"/>
                              </w:rPr>
                              <w:t>Pré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1F3864" w:themeColor="accent1" w:themeShade="80"/>
                              </w:rPr>
                              <w:t>-ementa do Curso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541D868" id="Agrupar 6" o:spid="_x0000_s1027" style="position:absolute;margin-left:-7.05pt;margin-top:-22.65pt;width:298.5pt;height:39pt;z-index:251662336;mso-width-relative:margin;mso-height-relative:margin" coordorigin=",-762" coordsize="32956,5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top:-762;width:32956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" filled="f" stroked="f" strokeweight=".5pt">
                <v:textbox>
                  <w:txbxContent>
                    <w:p w14:paraId="57E27DD7" w14:textId="58F665AE" w:rsidR="00671DDF" w:rsidRPr="00671DDF" w:rsidRDefault="00E6122F" w:rsidP="00671DDF">
                      <w:pPr>
                        <w:rPr>
                          <w:rFonts w:ascii="Century Gothic" w:hAnsi="Century Gothic" w:cs="Times New Roman (Corpo CS)"/>
                          <w:b/>
                          <w:bCs/>
                          <w:color w:val="0D0D0D" w:themeColor="text1" w:themeTint="F2"/>
                          <w:spacing w:val="56"/>
                          <w:kern w:val="40"/>
                          <w:sz w:val="16"/>
                          <w:szCs w:val="20"/>
                        </w:rPr>
                      </w:pPr>
                      <w:r>
                        <w:rPr>
                          <w:rFonts w:ascii="Century Gothic" w:hAnsi="Century Gothic" w:cs="Times New Roman (Corpo CS)"/>
                          <w:b/>
                          <w:bCs/>
                          <w:color w:val="0D0D0D" w:themeColor="text1" w:themeTint="F2"/>
                          <w:spacing w:val="56"/>
                          <w:kern w:val="40"/>
                          <w:sz w:val="16"/>
                          <w:szCs w:val="20"/>
                        </w:rPr>
                        <w:t>Planejamento e Gestão de Obras Públicas</w:t>
                      </w:r>
                      <w:r w:rsidR="00671DDF" w:rsidRPr="00671DDF">
                        <w:rPr>
                          <w:rFonts w:ascii="Century Gothic" w:hAnsi="Century Gothic" w:cs="Times New Roman (Corpo CS)"/>
                          <w:b/>
                          <w:bCs/>
                          <w:color w:val="0D0D0D" w:themeColor="text1" w:themeTint="F2"/>
                          <w:spacing w:val="56"/>
                          <w:kern w:val="40"/>
                          <w:sz w:val="16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  <v:shape id="_x0000_s1029" type="#_x0000_t202" style="position:absolute;top:1278;width:32854;height:3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" filled="f" stroked="f" strokeweight=".5pt">
                <v:textbox>
                  <w:txbxContent>
                    <w:p w14:paraId="27F967A5" w14:textId="517888E4" w:rsidR="00671DDF" w:rsidRPr="00671DDF" w:rsidRDefault="003075CB" w:rsidP="00671DDF">
                      <w:pPr>
                        <w:rPr>
                          <w:rFonts w:ascii="Century Gothic" w:hAnsi="Century Gothic"/>
                          <w:b/>
                          <w:bCs/>
                          <w:color w:val="1F3864" w:themeColor="accent1" w:themeShade="80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1F3864" w:themeColor="accent1" w:themeShade="80"/>
                        </w:rPr>
                        <w:t xml:space="preserve">Framework – </w:t>
                      </w:r>
                      <w:proofErr w:type="spellStart"/>
                      <w:r>
                        <w:rPr>
                          <w:rFonts w:ascii="Century Gothic" w:hAnsi="Century Gothic"/>
                          <w:b/>
                          <w:bCs/>
                          <w:color w:val="1F3864" w:themeColor="accent1" w:themeShade="80"/>
                        </w:rPr>
                        <w:t>Pré</w:t>
                      </w:r>
                      <w:proofErr w:type="spellEnd"/>
                      <w:r>
                        <w:rPr>
                          <w:rFonts w:ascii="Century Gothic" w:hAnsi="Century Gothic"/>
                          <w:b/>
                          <w:bCs/>
                          <w:color w:val="1F3864" w:themeColor="accent1" w:themeShade="80"/>
                        </w:rPr>
                        <w:t>-ementa do Curso</w:t>
                      </w:r>
                    </w:p>
                  </w:txbxContent>
                </v:textbox>
              </v:shape>
            </v:group>
          </w:pict>
        </mc:Fallback>
      </mc:AlternateContent>
    </w:r>
    <w:r w:rsidR="006D0132">
      <w:rPr>
        <w:noProof/>
      </w:rPr>
      <w:drawing>
        <wp:anchor distT="0" distB="0" distL="114300" distR="114300" simplePos="0" relativeHeight="251660288" behindDoc="1" locked="0" layoutInCell="1" allowOverlap="1" wp14:anchorId="4C202773" wp14:editId="08963934">
          <wp:simplePos x="0" y="0"/>
          <wp:positionH relativeFrom="column">
            <wp:posOffset>-1080135</wp:posOffset>
          </wp:positionH>
          <wp:positionV relativeFrom="paragraph">
            <wp:posOffset>-446930</wp:posOffset>
          </wp:positionV>
          <wp:extent cx="7564457" cy="10686699"/>
          <wp:effectExtent l="0" t="0" r="5080" b="0"/>
          <wp:wrapNone/>
          <wp:docPr id="157906445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906445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4457" cy="106866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B6F7B" w14:textId="77777777" w:rsidR="00375ABB" w:rsidRDefault="00375ABB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61D2BE1" wp14:editId="2828FBC1">
          <wp:simplePos x="0" y="0"/>
          <wp:positionH relativeFrom="column">
            <wp:posOffset>-1075662</wp:posOffset>
          </wp:positionH>
          <wp:positionV relativeFrom="paragraph">
            <wp:posOffset>-449580</wp:posOffset>
          </wp:positionV>
          <wp:extent cx="7555510" cy="10692000"/>
          <wp:effectExtent l="0" t="0" r="1270" b="1905"/>
          <wp:wrapNone/>
          <wp:docPr id="1249579518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9579518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51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A6E02"/>
    <w:multiLevelType w:val="hybridMultilevel"/>
    <w:tmpl w:val="816EC7F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755A5"/>
    <w:multiLevelType w:val="multilevel"/>
    <w:tmpl w:val="9D92865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b w:val="0"/>
        <w:bCs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97D6D"/>
    <w:multiLevelType w:val="multilevel"/>
    <w:tmpl w:val="BA76BE40"/>
    <w:lvl w:ilvl="0">
      <w:start w:val="1"/>
      <w:numFmt w:val="bullet"/>
      <w:pStyle w:val="PargrafodaLista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3D1A41"/>
    <w:multiLevelType w:val="hybridMultilevel"/>
    <w:tmpl w:val="B288BF22"/>
    <w:lvl w:ilvl="0" w:tplc="25C6A8AC">
      <w:start w:val="1"/>
      <w:numFmt w:val="bullet"/>
      <w:lvlText w:val="•"/>
      <w:lvlJc w:val="left"/>
      <w:pPr>
        <w:ind w:left="504" w:hanging="259"/>
      </w:pPr>
    </w:lvl>
    <w:lvl w:ilvl="1" w:tplc="7EB6AC12">
      <w:start w:val="1"/>
      <w:numFmt w:val="bullet"/>
      <w:lvlText w:val="‒"/>
      <w:lvlJc w:val="left"/>
      <w:pPr>
        <w:ind w:left="1008" w:hanging="259"/>
      </w:pPr>
    </w:lvl>
    <w:lvl w:ilvl="2" w:tplc="D5A0EC2E">
      <w:numFmt w:val="decimal"/>
      <w:lvlText w:val=""/>
      <w:lvlJc w:val="left"/>
      <w:pPr>
        <w:ind w:left="0" w:firstLine="0"/>
      </w:pPr>
    </w:lvl>
    <w:lvl w:ilvl="3" w:tplc="216C7732">
      <w:numFmt w:val="decimal"/>
      <w:lvlText w:val=""/>
      <w:lvlJc w:val="left"/>
      <w:pPr>
        <w:ind w:left="0" w:firstLine="0"/>
      </w:pPr>
    </w:lvl>
    <w:lvl w:ilvl="4" w:tplc="59CA0E8C">
      <w:numFmt w:val="decimal"/>
      <w:lvlText w:val=""/>
      <w:lvlJc w:val="left"/>
      <w:pPr>
        <w:ind w:left="0" w:firstLine="0"/>
      </w:pPr>
    </w:lvl>
    <w:lvl w:ilvl="5" w:tplc="8BA85606">
      <w:numFmt w:val="decimal"/>
      <w:lvlText w:val=""/>
      <w:lvlJc w:val="left"/>
      <w:pPr>
        <w:ind w:left="0" w:firstLine="0"/>
      </w:pPr>
    </w:lvl>
    <w:lvl w:ilvl="6" w:tplc="9048C210">
      <w:numFmt w:val="decimal"/>
      <w:lvlText w:val=""/>
      <w:lvlJc w:val="left"/>
      <w:pPr>
        <w:ind w:left="0" w:firstLine="0"/>
      </w:pPr>
    </w:lvl>
    <w:lvl w:ilvl="7" w:tplc="6A26D4DA">
      <w:numFmt w:val="decimal"/>
      <w:lvlText w:val=""/>
      <w:lvlJc w:val="left"/>
      <w:pPr>
        <w:ind w:left="0" w:firstLine="0"/>
      </w:pPr>
    </w:lvl>
    <w:lvl w:ilvl="8" w:tplc="50BCC2A4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5764532A"/>
    <w:multiLevelType w:val="hybridMultilevel"/>
    <w:tmpl w:val="57780390"/>
    <w:lvl w:ilvl="0" w:tplc="2C4A838A">
      <w:start w:val="1"/>
      <w:numFmt w:val="bullet"/>
      <w:lvlText w:val="•"/>
      <w:lvlJc w:val="left"/>
      <w:pPr>
        <w:ind w:left="720" w:hanging="360"/>
      </w:pPr>
    </w:lvl>
    <w:lvl w:ilvl="1" w:tplc="ECE2219E">
      <w:numFmt w:val="decimal"/>
      <w:lvlText w:val=""/>
      <w:lvlJc w:val="left"/>
    </w:lvl>
    <w:lvl w:ilvl="2" w:tplc="F1F28D2A">
      <w:numFmt w:val="decimal"/>
      <w:lvlText w:val=""/>
      <w:lvlJc w:val="left"/>
    </w:lvl>
    <w:lvl w:ilvl="3" w:tplc="2968E4A4">
      <w:numFmt w:val="decimal"/>
      <w:lvlText w:val=""/>
      <w:lvlJc w:val="left"/>
    </w:lvl>
    <w:lvl w:ilvl="4" w:tplc="1C589F12">
      <w:numFmt w:val="decimal"/>
      <w:lvlText w:val=""/>
      <w:lvlJc w:val="left"/>
    </w:lvl>
    <w:lvl w:ilvl="5" w:tplc="F9026FFA">
      <w:numFmt w:val="decimal"/>
      <w:lvlText w:val=""/>
      <w:lvlJc w:val="left"/>
    </w:lvl>
    <w:lvl w:ilvl="6" w:tplc="39B8B604">
      <w:numFmt w:val="decimal"/>
      <w:lvlText w:val=""/>
      <w:lvlJc w:val="left"/>
    </w:lvl>
    <w:lvl w:ilvl="7" w:tplc="5BE03944">
      <w:numFmt w:val="decimal"/>
      <w:lvlText w:val=""/>
      <w:lvlJc w:val="left"/>
    </w:lvl>
    <w:lvl w:ilvl="8" w:tplc="37788546">
      <w:numFmt w:val="decimal"/>
      <w:lvlText w:val=""/>
      <w:lvlJc w:val="left"/>
    </w:lvl>
  </w:abstractNum>
  <w:abstractNum w:abstractNumId="5" w15:restartNumberingAfterBreak="0">
    <w:nsid w:val="5DE97085"/>
    <w:multiLevelType w:val="hybridMultilevel"/>
    <w:tmpl w:val="5686A37A"/>
    <w:lvl w:ilvl="0" w:tplc="E2182EC2">
      <w:start w:val="1"/>
      <w:numFmt w:val="bullet"/>
      <w:lvlText w:val="•"/>
      <w:lvlJc w:val="left"/>
      <w:pPr>
        <w:ind w:left="504" w:hanging="259"/>
      </w:pPr>
    </w:lvl>
    <w:lvl w:ilvl="1" w:tplc="365820C0">
      <w:start w:val="1"/>
      <w:numFmt w:val="bullet"/>
      <w:lvlText w:val="‒"/>
      <w:lvlJc w:val="left"/>
      <w:pPr>
        <w:ind w:left="1008" w:hanging="259"/>
      </w:pPr>
    </w:lvl>
    <w:lvl w:ilvl="2" w:tplc="DA384F52">
      <w:numFmt w:val="decimal"/>
      <w:lvlText w:val=""/>
      <w:lvlJc w:val="left"/>
    </w:lvl>
    <w:lvl w:ilvl="3" w:tplc="701E9D88">
      <w:numFmt w:val="decimal"/>
      <w:lvlText w:val=""/>
      <w:lvlJc w:val="left"/>
    </w:lvl>
    <w:lvl w:ilvl="4" w:tplc="FDC631A6">
      <w:numFmt w:val="decimal"/>
      <w:lvlText w:val=""/>
      <w:lvlJc w:val="left"/>
    </w:lvl>
    <w:lvl w:ilvl="5" w:tplc="1326F29A">
      <w:numFmt w:val="decimal"/>
      <w:lvlText w:val=""/>
      <w:lvlJc w:val="left"/>
    </w:lvl>
    <w:lvl w:ilvl="6" w:tplc="942012BE">
      <w:numFmt w:val="decimal"/>
      <w:lvlText w:val=""/>
      <w:lvlJc w:val="left"/>
    </w:lvl>
    <w:lvl w:ilvl="7" w:tplc="533A2DEC">
      <w:numFmt w:val="decimal"/>
      <w:lvlText w:val=""/>
      <w:lvlJc w:val="left"/>
    </w:lvl>
    <w:lvl w:ilvl="8" w:tplc="FDF43882">
      <w:numFmt w:val="decimal"/>
      <w:lvlText w:val=""/>
      <w:lvlJc w:val="left"/>
    </w:lvl>
  </w:abstractNum>
  <w:abstractNum w:abstractNumId="6" w15:restartNumberingAfterBreak="0">
    <w:nsid w:val="6C710B18"/>
    <w:multiLevelType w:val="hybridMultilevel"/>
    <w:tmpl w:val="AD60E29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0D1135"/>
    <w:multiLevelType w:val="hybridMultilevel"/>
    <w:tmpl w:val="6A34A6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AD14A6"/>
    <w:multiLevelType w:val="multilevel"/>
    <w:tmpl w:val="2B3E3DB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)"/>
      <w:lvlJc w:val="left"/>
      <w:pPr>
        <w:ind w:left="644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C4248"/>
    <w:multiLevelType w:val="hybridMultilevel"/>
    <w:tmpl w:val="65668AEE"/>
    <w:lvl w:ilvl="0" w:tplc="8DE06376">
      <w:start w:val="1"/>
      <w:numFmt w:val="bullet"/>
      <w:lvlText w:val="•"/>
      <w:lvlJc w:val="left"/>
      <w:pPr>
        <w:ind w:left="431" w:hanging="259"/>
      </w:pPr>
    </w:lvl>
    <w:lvl w:ilvl="1" w:tplc="0FCE8E8A">
      <w:start w:val="1"/>
      <w:numFmt w:val="bullet"/>
      <w:lvlText w:val="–"/>
      <w:lvlJc w:val="left"/>
      <w:pPr>
        <w:ind w:left="863" w:hanging="259"/>
      </w:pPr>
    </w:lvl>
    <w:lvl w:ilvl="2" w:tplc="CF6A96D6">
      <w:numFmt w:val="decimal"/>
      <w:lvlText w:val=""/>
      <w:lvlJc w:val="left"/>
    </w:lvl>
    <w:lvl w:ilvl="3" w:tplc="00D06F46">
      <w:numFmt w:val="decimal"/>
      <w:lvlText w:val=""/>
      <w:lvlJc w:val="left"/>
    </w:lvl>
    <w:lvl w:ilvl="4" w:tplc="3604C2C4">
      <w:numFmt w:val="decimal"/>
      <w:lvlText w:val=""/>
      <w:lvlJc w:val="left"/>
    </w:lvl>
    <w:lvl w:ilvl="5" w:tplc="5E24E082">
      <w:numFmt w:val="decimal"/>
      <w:lvlText w:val=""/>
      <w:lvlJc w:val="left"/>
    </w:lvl>
    <w:lvl w:ilvl="6" w:tplc="857EDC96">
      <w:numFmt w:val="decimal"/>
      <w:lvlText w:val=""/>
      <w:lvlJc w:val="left"/>
    </w:lvl>
    <w:lvl w:ilvl="7" w:tplc="144E6062">
      <w:numFmt w:val="decimal"/>
      <w:lvlText w:val=""/>
      <w:lvlJc w:val="left"/>
    </w:lvl>
    <w:lvl w:ilvl="8" w:tplc="19FC45D2">
      <w:numFmt w:val="decimal"/>
      <w:lvlText w:val=""/>
      <w:lvlJc w:val="left"/>
    </w:lvl>
  </w:abstractNum>
  <w:num w:numId="1" w16cid:durableId="165170013">
    <w:abstractNumId w:val="2"/>
  </w:num>
  <w:num w:numId="2" w16cid:durableId="853613510">
    <w:abstractNumId w:val="1"/>
  </w:num>
  <w:num w:numId="3" w16cid:durableId="1275940527">
    <w:abstractNumId w:val="8"/>
  </w:num>
  <w:num w:numId="4" w16cid:durableId="1258101030">
    <w:abstractNumId w:val="6"/>
  </w:num>
  <w:num w:numId="5" w16cid:durableId="290476805">
    <w:abstractNumId w:val="0"/>
  </w:num>
  <w:num w:numId="6" w16cid:durableId="119150718">
    <w:abstractNumId w:val="3"/>
  </w:num>
  <w:num w:numId="7" w16cid:durableId="344602410">
    <w:abstractNumId w:val="5"/>
  </w:num>
  <w:num w:numId="8" w16cid:durableId="1612978436">
    <w:abstractNumId w:val="5"/>
  </w:num>
  <w:num w:numId="9" w16cid:durableId="2102338170">
    <w:abstractNumId w:val="9"/>
  </w:num>
  <w:num w:numId="10" w16cid:durableId="653142428">
    <w:abstractNumId w:val="7"/>
  </w:num>
  <w:num w:numId="11" w16cid:durableId="359823504">
    <w:abstractNumId w:val="9"/>
  </w:num>
  <w:num w:numId="12" w16cid:durableId="1781021643">
    <w:abstractNumId w:val="4"/>
    <w:lvlOverride w:ilvl="0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ABB"/>
    <w:rsid w:val="00013F4D"/>
    <w:rsid w:val="00020D89"/>
    <w:rsid w:val="00034D0C"/>
    <w:rsid w:val="00036E05"/>
    <w:rsid w:val="000669CD"/>
    <w:rsid w:val="00066FEC"/>
    <w:rsid w:val="00077B3A"/>
    <w:rsid w:val="000939BD"/>
    <w:rsid w:val="000B1992"/>
    <w:rsid w:val="000B2401"/>
    <w:rsid w:val="000B6E59"/>
    <w:rsid w:val="000D64DE"/>
    <w:rsid w:val="000E39DB"/>
    <w:rsid w:val="000E52B0"/>
    <w:rsid w:val="000E599E"/>
    <w:rsid w:val="000E7D67"/>
    <w:rsid w:val="001105EE"/>
    <w:rsid w:val="00121689"/>
    <w:rsid w:val="00122617"/>
    <w:rsid w:val="00140986"/>
    <w:rsid w:val="001616F4"/>
    <w:rsid w:val="0017723C"/>
    <w:rsid w:val="00182D9B"/>
    <w:rsid w:val="001B15B1"/>
    <w:rsid w:val="001B54D7"/>
    <w:rsid w:val="001D3D3A"/>
    <w:rsid w:val="001E1C67"/>
    <w:rsid w:val="001E4237"/>
    <w:rsid w:val="001F6869"/>
    <w:rsid w:val="00215147"/>
    <w:rsid w:val="00223A34"/>
    <w:rsid w:val="002354B6"/>
    <w:rsid w:val="00241011"/>
    <w:rsid w:val="00280FBA"/>
    <w:rsid w:val="00286AA1"/>
    <w:rsid w:val="002974FB"/>
    <w:rsid w:val="002A29B6"/>
    <w:rsid w:val="002B7A50"/>
    <w:rsid w:val="002C2B73"/>
    <w:rsid w:val="002C3544"/>
    <w:rsid w:val="002C3AE0"/>
    <w:rsid w:val="002D1E9A"/>
    <w:rsid w:val="002D202C"/>
    <w:rsid w:val="002E62C4"/>
    <w:rsid w:val="002F486D"/>
    <w:rsid w:val="00307083"/>
    <w:rsid w:val="003075CB"/>
    <w:rsid w:val="0031281D"/>
    <w:rsid w:val="00314FDE"/>
    <w:rsid w:val="00317212"/>
    <w:rsid w:val="00333851"/>
    <w:rsid w:val="00333950"/>
    <w:rsid w:val="00337ECE"/>
    <w:rsid w:val="00340827"/>
    <w:rsid w:val="003408A1"/>
    <w:rsid w:val="00341809"/>
    <w:rsid w:val="00343912"/>
    <w:rsid w:val="003623B7"/>
    <w:rsid w:val="00371464"/>
    <w:rsid w:val="00372C52"/>
    <w:rsid w:val="00375ABB"/>
    <w:rsid w:val="00377CA0"/>
    <w:rsid w:val="00383235"/>
    <w:rsid w:val="00385428"/>
    <w:rsid w:val="00397042"/>
    <w:rsid w:val="003A55B0"/>
    <w:rsid w:val="003B4431"/>
    <w:rsid w:val="003C0285"/>
    <w:rsid w:val="003C46DD"/>
    <w:rsid w:val="003C4B54"/>
    <w:rsid w:val="003D0369"/>
    <w:rsid w:val="003E4F88"/>
    <w:rsid w:val="003F1481"/>
    <w:rsid w:val="00403057"/>
    <w:rsid w:val="00462FD1"/>
    <w:rsid w:val="00466766"/>
    <w:rsid w:val="004840F6"/>
    <w:rsid w:val="004A536C"/>
    <w:rsid w:val="004B4168"/>
    <w:rsid w:val="004B41BC"/>
    <w:rsid w:val="004D001A"/>
    <w:rsid w:val="004D2FFE"/>
    <w:rsid w:val="004D78D0"/>
    <w:rsid w:val="004F3BCB"/>
    <w:rsid w:val="005032BE"/>
    <w:rsid w:val="00506313"/>
    <w:rsid w:val="00506FD3"/>
    <w:rsid w:val="00514125"/>
    <w:rsid w:val="00525DFD"/>
    <w:rsid w:val="00532944"/>
    <w:rsid w:val="00532D8A"/>
    <w:rsid w:val="0053456A"/>
    <w:rsid w:val="00543C98"/>
    <w:rsid w:val="00544F6E"/>
    <w:rsid w:val="005451F5"/>
    <w:rsid w:val="00552D2F"/>
    <w:rsid w:val="00554B9C"/>
    <w:rsid w:val="00565F3A"/>
    <w:rsid w:val="00574AB9"/>
    <w:rsid w:val="00576457"/>
    <w:rsid w:val="005838D5"/>
    <w:rsid w:val="005848DA"/>
    <w:rsid w:val="0059752D"/>
    <w:rsid w:val="005A2BEB"/>
    <w:rsid w:val="005A61DD"/>
    <w:rsid w:val="005B0591"/>
    <w:rsid w:val="005F1D6F"/>
    <w:rsid w:val="006040CF"/>
    <w:rsid w:val="00612D10"/>
    <w:rsid w:val="00615E43"/>
    <w:rsid w:val="00624232"/>
    <w:rsid w:val="00625E07"/>
    <w:rsid w:val="0062626F"/>
    <w:rsid w:val="0063119C"/>
    <w:rsid w:val="0063485C"/>
    <w:rsid w:val="00637542"/>
    <w:rsid w:val="0064290B"/>
    <w:rsid w:val="00645FD7"/>
    <w:rsid w:val="0065783C"/>
    <w:rsid w:val="006615EC"/>
    <w:rsid w:val="00671DDF"/>
    <w:rsid w:val="0067347F"/>
    <w:rsid w:val="00674D77"/>
    <w:rsid w:val="006812CF"/>
    <w:rsid w:val="00687565"/>
    <w:rsid w:val="00693E07"/>
    <w:rsid w:val="006A02DD"/>
    <w:rsid w:val="006A32AB"/>
    <w:rsid w:val="006B5379"/>
    <w:rsid w:val="006D0132"/>
    <w:rsid w:val="006D4D3F"/>
    <w:rsid w:val="006D52FD"/>
    <w:rsid w:val="006E789B"/>
    <w:rsid w:val="006F2DFD"/>
    <w:rsid w:val="006F7615"/>
    <w:rsid w:val="00723160"/>
    <w:rsid w:val="0072653D"/>
    <w:rsid w:val="00726A09"/>
    <w:rsid w:val="007377ED"/>
    <w:rsid w:val="0075048E"/>
    <w:rsid w:val="00754462"/>
    <w:rsid w:val="007615F1"/>
    <w:rsid w:val="00784028"/>
    <w:rsid w:val="0079056A"/>
    <w:rsid w:val="00791837"/>
    <w:rsid w:val="00793FD9"/>
    <w:rsid w:val="0079764B"/>
    <w:rsid w:val="007A2650"/>
    <w:rsid w:val="007A3EEC"/>
    <w:rsid w:val="007B2B15"/>
    <w:rsid w:val="007C460B"/>
    <w:rsid w:val="007C68B7"/>
    <w:rsid w:val="007E077E"/>
    <w:rsid w:val="007E4105"/>
    <w:rsid w:val="00805256"/>
    <w:rsid w:val="00812DE7"/>
    <w:rsid w:val="00815174"/>
    <w:rsid w:val="00816370"/>
    <w:rsid w:val="008174F9"/>
    <w:rsid w:val="00826F3B"/>
    <w:rsid w:val="00830472"/>
    <w:rsid w:val="00842CDE"/>
    <w:rsid w:val="00846AF1"/>
    <w:rsid w:val="00851C9A"/>
    <w:rsid w:val="00861391"/>
    <w:rsid w:val="00884CCF"/>
    <w:rsid w:val="0088643D"/>
    <w:rsid w:val="008A013F"/>
    <w:rsid w:val="008B54FD"/>
    <w:rsid w:val="008E38DB"/>
    <w:rsid w:val="008E577E"/>
    <w:rsid w:val="008E6836"/>
    <w:rsid w:val="008F689D"/>
    <w:rsid w:val="009211FB"/>
    <w:rsid w:val="009448E2"/>
    <w:rsid w:val="00947F3F"/>
    <w:rsid w:val="00967B0F"/>
    <w:rsid w:val="00980B78"/>
    <w:rsid w:val="009A5CA6"/>
    <w:rsid w:val="009B3CD9"/>
    <w:rsid w:val="009C37CF"/>
    <w:rsid w:val="009C4149"/>
    <w:rsid w:val="009C7DB4"/>
    <w:rsid w:val="009D2552"/>
    <w:rsid w:val="009D4A43"/>
    <w:rsid w:val="009D59C8"/>
    <w:rsid w:val="009D5FE4"/>
    <w:rsid w:val="009E4485"/>
    <w:rsid w:val="009F3771"/>
    <w:rsid w:val="00A4044E"/>
    <w:rsid w:val="00A50DD8"/>
    <w:rsid w:val="00A548F1"/>
    <w:rsid w:val="00A55B8C"/>
    <w:rsid w:val="00A56FA5"/>
    <w:rsid w:val="00A61FBA"/>
    <w:rsid w:val="00A95C8D"/>
    <w:rsid w:val="00AA5B9A"/>
    <w:rsid w:val="00AA67F7"/>
    <w:rsid w:val="00AC7200"/>
    <w:rsid w:val="00AD29BA"/>
    <w:rsid w:val="00AD312D"/>
    <w:rsid w:val="00AD52BB"/>
    <w:rsid w:val="00AE28C8"/>
    <w:rsid w:val="00AF5105"/>
    <w:rsid w:val="00B0164F"/>
    <w:rsid w:val="00B04C4F"/>
    <w:rsid w:val="00B20CA5"/>
    <w:rsid w:val="00B22010"/>
    <w:rsid w:val="00B257E2"/>
    <w:rsid w:val="00B2744B"/>
    <w:rsid w:val="00B32EFF"/>
    <w:rsid w:val="00B402F9"/>
    <w:rsid w:val="00B45099"/>
    <w:rsid w:val="00B460FE"/>
    <w:rsid w:val="00B478F6"/>
    <w:rsid w:val="00B514AF"/>
    <w:rsid w:val="00B54D21"/>
    <w:rsid w:val="00B56899"/>
    <w:rsid w:val="00B65662"/>
    <w:rsid w:val="00B93596"/>
    <w:rsid w:val="00B9761D"/>
    <w:rsid w:val="00BA49FB"/>
    <w:rsid w:val="00BA74FD"/>
    <w:rsid w:val="00BA7B05"/>
    <w:rsid w:val="00BB57D9"/>
    <w:rsid w:val="00BB7812"/>
    <w:rsid w:val="00BC272B"/>
    <w:rsid w:val="00BC3BE4"/>
    <w:rsid w:val="00BD20AF"/>
    <w:rsid w:val="00BE2708"/>
    <w:rsid w:val="00BE3D21"/>
    <w:rsid w:val="00C079D0"/>
    <w:rsid w:val="00C11B2D"/>
    <w:rsid w:val="00C1485D"/>
    <w:rsid w:val="00C23613"/>
    <w:rsid w:val="00C314F6"/>
    <w:rsid w:val="00C317A3"/>
    <w:rsid w:val="00C5218C"/>
    <w:rsid w:val="00C56033"/>
    <w:rsid w:val="00C66EEF"/>
    <w:rsid w:val="00C74900"/>
    <w:rsid w:val="00C750D7"/>
    <w:rsid w:val="00C81963"/>
    <w:rsid w:val="00C84DA9"/>
    <w:rsid w:val="00C85178"/>
    <w:rsid w:val="00C96C10"/>
    <w:rsid w:val="00C97750"/>
    <w:rsid w:val="00C97B2A"/>
    <w:rsid w:val="00CA0460"/>
    <w:rsid w:val="00CA3834"/>
    <w:rsid w:val="00CA611B"/>
    <w:rsid w:val="00CC0CE1"/>
    <w:rsid w:val="00D04EF9"/>
    <w:rsid w:val="00D11A56"/>
    <w:rsid w:val="00D17532"/>
    <w:rsid w:val="00D23BBE"/>
    <w:rsid w:val="00D25B76"/>
    <w:rsid w:val="00D3197C"/>
    <w:rsid w:val="00D34B22"/>
    <w:rsid w:val="00D36C4F"/>
    <w:rsid w:val="00D4178E"/>
    <w:rsid w:val="00D4224C"/>
    <w:rsid w:val="00D47ED2"/>
    <w:rsid w:val="00D547DF"/>
    <w:rsid w:val="00D645A7"/>
    <w:rsid w:val="00DA013D"/>
    <w:rsid w:val="00DC19AD"/>
    <w:rsid w:val="00DC2831"/>
    <w:rsid w:val="00DC3C02"/>
    <w:rsid w:val="00DD0ABC"/>
    <w:rsid w:val="00DE6F78"/>
    <w:rsid w:val="00DF4B8F"/>
    <w:rsid w:val="00DF5624"/>
    <w:rsid w:val="00E00453"/>
    <w:rsid w:val="00E00FBC"/>
    <w:rsid w:val="00E032E4"/>
    <w:rsid w:val="00E07E7E"/>
    <w:rsid w:val="00E21991"/>
    <w:rsid w:val="00E41FCC"/>
    <w:rsid w:val="00E4715E"/>
    <w:rsid w:val="00E4718B"/>
    <w:rsid w:val="00E579A3"/>
    <w:rsid w:val="00E6122F"/>
    <w:rsid w:val="00E646A0"/>
    <w:rsid w:val="00E72CBA"/>
    <w:rsid w:val="00E75659"/>
    <w:rsid w:val="00E80F0E"/>
    <w:rsid w:val="00E81655"/>
    <w:rsid w:val="00E83F8A"/>
    <w:rsid w:val="00E93945"/>
    <w:rsid w:val="00EB6FFF"/>
    <w:rsid w:val="00EC6308"/>
    <w:rsid w:val="00EC65C2"/>
    <w:rsid w:val="00ED37CC"/>
    <w:rsid w:val="00EE3BFE"/>
    <w:rsid w:val="00EE5A2F"/>
    <w:rsid w:val="00EE5E08"/>
    <w:rsid w:val="00EF69DC"/>
    <w:rsid w:val="00F01AA5"/>
    <w:rsid w:val="00F4313F"/>
    <w:rsid w:val="00F65207"/>
    <w:rsid w:val="00F742C7"/>
    <w:rsid w:val="00F77599"/>
    <w:rsid w:val="00FA0511"/>
    <w:rsid w:val="00FA48A5"/>
    <w:rsid w:val="00FA4A46"/>
    <w:rsid w:val="00FC1FD4"/>
    <w:rsid w:val="00FE6628"/>
    <w:rsid w:val="00FF433E"/>
    <w:rsid w:val="22D5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45453B"/>
  <w15:chartTrackingRefBased/>
  <w15:docId w15:val="{214E6CAF-CD47-0849-8C69-650D3C7EA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C52"/>
  </w:style>
  <w:style w:type="paragraph" w:styleId="Ttulo1">
    <w:name w:val="heading 1"/>
    <w:basedOn w:val="Normal"/>
    <w:next w:val="Normal"/>
    <w:link w:val="Ttulo1Char"/>
    <w:uiPriority w:val="9"/>
    <w:qFormat/>
    <w:rsid w:val="00B257E2"/>
    <w:pPr>
      <w:spacing w:line="276" w:lineRule="auto"/>
      <w:jc w:val="both"/>
      <w:outlineLvl w:val="0"/>
    </w:pPr>
    <w:rPr>
      <w:rFonts w:ascii="Calibri Light" w:eastAsia="Gabriola" w:hAnsi="Calibri Light" w:cs="Calibri Light"/>
      <w:b/>
      <w:color w:val="366091"/>
      <w:kern w:val="0"/>
      <w:sz w:val="28"/>
      <w:szCs w:val="28"/>
      <w:lang w:eastAsia="pt-BR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257E2"/>
    <w:pPr>
      <w:spacing w:line="276" w:lineRule="auto"/>
      <w:outlineLvl w:val="1"/>
    </w:pPr>
    <w:rPr>
      <w:rFonts w:ascii="Corbel Light" w:eastAsia="Arial" w:hAnsi="Corbel Light" w:cs="Arial"/>
      <w:b/>
      <w:kern w:val="0"/>
      <w:sz w:val="22"/>
      <w:szCs w:val="22"/>
      <w:lang w:eastAsia="pt-BR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52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67F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565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75AB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75ABB"/>
  </w:style>
  <w:style w:type="paragraph" w:styleId="Rodap">
    <w:name w:val="footer"/>
    <w:basedOn w:val="Normal"/>
    <w:link w:val="RodapChar"/>
    <w:uiPriority w:val="99"/>
    <w:unhideWhenUsed/>
    <w:rsid w:val="00375AB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5ABB"/>
  </w:style>
  <w:style w:type="character" w:customStyle="1" w:styleId="Ttulo1Char">
    <w:name w:val="Título 1 Char"/>
    <w:basedOn w:val="Fontepargpadro"/>
    <w:link w:val="Ttulo1"/>
    <w:uiPriority w:val="9"/>
    <w:rsid w:val="00B257E2"/>
    <w:rPr>
      <w:rFonts w:ascii="Calibri Light" w:eastAsia="Gabriola" w:hAnsi="Calibri Light" w:cs="Calibri Light"/>
      <w:b/>
      <w:color w:val="366091"/>
      <w:kern w:val="0"/>
      <w:sz w:val="28"/>
      <w:szCs w:val="2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B257E2"/>
    <w:rPr>
      <w:rFonts w:ascii="Corbel Light" w:eastAsia="Arial" w:hAnsi="Corbel Light" w:cs="Arial"/>
      <w:b/>
      <w:kern w:val="0"/>
      <w:sz w:val="22"/>
      <w:szCs w:val="22"/>
      <w:lang w:eastAsia="pt-BR"/>
      <w14:ligatures w14:val="none"/>
    </w:rPr>
  </w:style>
  <w:style w:type="paragraph" w:styleId="PargrafodaLista">
    <w:name w:val="List Paragraph"/>
    <w:basedOn w:val="Normal"/>
    <w:qFormat/>
    <w:rsid w:val="00B257E2"/>
    <w:pPr>
      <w:numPr>
        <w:numId w:val="1"/>
      </w:numPr>
      <w:pBdr>
        <w:top w:val="nil"/>
        <w:left w:val="nil"/>
        <w:bottom w:val="nil"/>
        <w:right w:val="nil"/>
        <w:between w:val="nil"/>
      </w:pBdr>
      <w:spacing w:line="276" w:lineRule="auto"/>
      <w:contextualSpacing/>
      <w:jc w:val="both"/>
    </w:pPr>
    <w:rPr>
      <w:rFonts w:ascii="Corbel Light" w:eastAsia="Arial" w:hAnsi="Corbel Light" w:cs="Arial"/>
      <w:color w:val="000000"/>
      <w:kern w:val="0"/>
      <w:sz w:val="22"/>
      <w:szCs w:val="22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B257E2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semiHidden/>
    <w:unhideWhenUsed/>
    <w:rsid w:val="00333851"/>
  </w:style>
  <w:style w:type="character" w:styleId="Hyperlink">
    <w:name w:val="Hyperlink"/>
    <w:basedOn w:val="Fontepargpadro"/>
    <w:uiPriority w:val="99"/>
    <w:unhideWhenUsed/>
    <w:rsid w:val="00C5218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5218C"/>
    <w:rPr>
      <w:color w:val="605E5C"/>
      <w:shd w:val="clear" w:color="auto" w:fill="E1DFDD"/>
    </w:rPr>
  </w:style>
  <w:style w:type="character" w:styleId="TextodoEspaoReservado">
    <w:name w:val="Placeholder Text"/>
    <w:basedOn w:val="Fontepargpadro"/>
    <w:uiPriority w:val="99"/>
    <w:semiHidden/>
    <w:rsid w:val="00637542"/>
    <w:rPr>
      <w:color w:val="666666"/>
    </w:rPr>
  </w:style>
  <w:style w:type="character" w:styleId="Forte">
    <w:name w:val="Strong"/>
    <w:basedOn w:val="Fontepargpadro"/>
    <w:uiPriority w:val="22"/>
    <w:qFormat/>
    <w:rsid w:val="00D04EF9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67F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52BB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iperlinkVisitado">
    <w:name w:val="FollowedHyperlink"/>
    <w:basedOn w:val="Fontepargpadro"/>
    <w:uiPriority w:val="99"/>
    <w:semiHidden/>
    <w:unhideWhenUsed/>
    <w:rsid w:val="003623B7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A4A46"/>
    <w:rPr>
      <w:rFonts w:ascii="Times New Roman" w:hAnsi="Times New Roman" w:cs="Times New Roman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565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orpodetexto">
    <w:name w:val="Body Text"/>
    <w:basedOn w:val="Normal"/>
    <w:link w:val="CorpodetextoChar"/>
    <w:uiPriority w:val="1"/>
    <w:qFormat/>
    <w:rsid w:val="003075CB"/>
    <w:pPr>
      <w:widowControl w:val="0"/>
      <w:autoSpaceDE w:val="0"/>
      <w:autoSpaceDN w:val="0"/>
    </w:pPr>
    <w:rPr>
      <w:rFonts w:ascii="Verdana" w:eastAsia="Verdana" w:hAnsi="Verdana" w:cs="Verdana"/>
      <w:kern w:val="0"/>
      <w:sz w:val="28"/>
      <w:szCs w:val="28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3075CB"/>
    <w:rPr>
      <w:rFonts w:ascii="Verdana" w:eastAsia="Verdana" w:hAnsi="Verdana" w:cs="Verdana"/>
      <w:kern w:val="0"/>
      <w:sz w:val="28"/>
      <w:szCs w:val="28"/>
      <w:lang w:val="pt-PT"/>
      <w14:ligatures w14:val="none"/>
    </w:rPr>
  </w:style>
  <w:style w:type="table" w:styleId="TabeladeGrade1Clara-nfase1">
    <w:name w:val="Grid Table 1 Light Accent 1"/>
    <w:basedOn w:val="Tabelanormal"/>
    <w:uiPriority w:val="46"/>
    <w:rsid w:val="00506313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C332CA5E2EA94E9451CD9B831E0D15" ma:contentTypeVersion="15" ma:contentTypeDescription="Create a new document." ma:contentTypeScope="" ma:versionID="1394e2a682161d691b8d3f559552ada6">
  <xsd:schema xmlns:xsd="http://www.w3.org/2001/XMLSchema" xmlns:xs="http://www.w3.org/2001/XMLSchema" xmlns:p="http://schemas.microsoft.com/office/2006/metadata/properties" xmlns:ns2="9debfef7-64c7-425b-a409-9d7bdd85d841" xmlns:ns3="165c7bec-47c9-4a03-940c-7d2e9c469b81" targetNamespace="http://schemas.microsoft.com/office/2006/metadata/properties" ma:root="true" ma:fieldsID="d8e3bfed8da93717e1c56c215fb3d0aa" ns2:_="" ns3:_="">
    <xsd:import namespace="9debfef7-64c7-425b-a409-9d7bdd85d841"/>
    <xsd:import namespace="165c7bec-47c9-4a03-940c-7d2e9c469b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ebfef7-64c7-425b-a409-9d7bdd85d8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87a6fcb-4fff-466e-ae9c-74f821047a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5c7bec-47c9-4a03-940c-7d2e9c469b8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0f78a14-3792-4336-8466-f8be15b2b77f}" ma:internalName="TaxCatchAll" ma:showField="CatchAllData" ma:web="165c7bec-47c9-4a03-940c-7d2e9c469b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65c7bec-47c9-4a03-940c-7d2e9c469b81" xsi:nil="true"/>
    <lcf76f155ced4ddcb4097134ff3c332f xmlns="9debfef7-64c7-425b-a409-9d7bdd85d841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18FD53-3476-4591-9C25-2F29FE5C73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ebfef7-64c7-425b-a409-9d7bdd85d841"/>
    <ds:schemaRef ds:uri="165c7bec-47c9-4a03-940c-7d2e9c469b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3C1009-59B9-49ED-B350-846FB689BF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5AC6E2D-58DB-4CE8-A179-C5EC42FA2443}">
  <ds:schemaRefs>
    <ds:schemaRef ds:uri="http://schemas.microsoft.com/office/2006/metadata/properties"/>
    <ds:schemaRef ds:uri="http://schemas.microsoft.com/office/infopath/2007/PartnerControls"/>
    <ds:schemaRef ds:uri="165c7bec-47c9-4a03-940c-7d2e9c469b81"/>
    <ds:schemaRef ds:uri="9debfef7-64c7-425b-a409-9d7bdd85d841"/>
  </ds:schemaRefs>
</ds:datastoreItem>
</file>

<file path=customXml/itemProps4.xml><?xml version="1.0" encoding="utf-8"?>
<ds:datastoreItem xmlns:ds="http://schemas.openxmlformats.org/officeDocument/2006/customXml" ds:itemID="{3B2ECB4C-B04B-4939-86B9-F37836D6A5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4017</Words>
  <Characters>21695</Characters>
  <Application>Microsoft Office Word</Application>
  <DocSecurity>0</DocSecurity>
  <Lines>180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Tayelen Castro</dc:creator>
  <cp:keywords/>
  <dc:description/>
  <cp:lastModifiedBy>Jose Barreto</cp:lastModifiedBy>
  <cp:revision>2</cp:revision>
  <cp:lastPrinted>2024-05-30T17:11:00Z</cp:lastPrinted>
  <dcterms:created xsi:type="dcterms:W3CDTF">2026-08-06T17:31:00Z</dcterms:created>
  <dcterms:modified xsi:type="dcterms:W3CDTF">2026-08-06T17:31:00Z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0x010100C4C332CA5E2EA94E9451CD9B831E0D15</vt:lpwstr>
  </property>
  <property fmtid="{D5CDD505-2E9C-101B-9397-08002B2CF9AE}" pid="3" name="MediaServiceImageTags">
    <vt:lpwstr/>
  </property>
</Properties>
</file>