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/>
          <w:sz w:val="24"/>
        </w:rPr>
        <w:t>CONTROLADORIA-GERAL DA UNIÃO</w:t>
      </w:r>
    </w:p>
    <w:p>
      <w:pPr>
        <w:spacing w:after="240"/>
        <w:jc w:val="center"/>
      </w:pPr>
      <w:r>
        <w:rPr>
          <w:b/>
          <w:sz w:val="24"/>
        </w:rPr>
        <w:t>NOTA TÉCNICA Nº ____/2026/SIPRI</w:t>
      </w:r>
    </w:p>
    <w:p>
      <w:pPr>
        <w:spacing w:after="40"/>
      </w:pPr>
      <w:r>
        <w:rPr>
          <w:b/>
          <w:i w:val="0"/>
        </w:rPr>
        <w:t>PROCESSO DE REFERÊNCIA:</w:t>
      </w:r>
      <w:r>
        <w:rPr>
          <w:b w:val="0"/>
          <w:i w:val="0"/>
        </w:rPr>
        <w:t xml:space="preserve"> PAR nº 00190.105349/2020-07 (pedido de reabilitação: SEI 4250406)</w:t>
      </w:r>
    </w:p>
    <w:p>
      <w:pPr>
        <w:spacing w:after="40"/>
      </w:pPr>
      <w:r>
        <w:rPr>
          <w:b/>
          <w:i w:val="0"/>
        </w:rPr>
        <w:t>INTERESSADO:</w:t>
      </w:r>
      <w:r>
        <w:rPr>
          <w:b w:val="0"/>
          <w:i w:val="0"/>
        </w:rPr>
        <w:t xml:space="preserve"> DECAL BRASIL LTDA., CNPJ nº 03.973.894/0001-94</w:t>
      </w:r>
    </w:p>
    <w:p>
      <w:pPr>
        <w:keepNext/>
        <w:spacing w:before="200" w:after="80"/>
      </w:pPr>
      <w:r>
        <w:rPr>
          <w:b/>
        </w:rPr>
        <w:t>1.</w:t>
        <w:tab/>
        <w:t>ASSUNTO</w:t>
      </w:r>
    </w:p>
    <w:p>
      <w:pPr>
        <w:tabs>
          <w:tab w:pos="709" w:val="left"/>
        </w:tabs>
        <w:ind w:firstLine="0"/>
        <w:jc w:val="both"/>
      </w:pPr>
      <w:r>
        <w:t>1.1.</w:t>
        <w:tab/>
      </w:r>
      <w:r>
        <w:rPr>
          <w:b w:val="0"/>
          <w:i w:val="0"/>
        </w:rPr>
        <w:t>Análise do requisito de ressarcimento integral dos prejuízos causados à Administração Pública (art. 2º, inciso II, da Portaria CGU nº 1.214/2020) no pedido de reabilitação formulado pela DECAL BRASIL LTDA.</w:t>
      </w:r>
    </w:p>
    <w:p>
      <w:pPr>
        <w:keepNext/>
        <w:spacing w:before="200" w:after="80"/>
      </w:pPr>
      <w:r>
        <w:rPr>
          <w:b/>
        </w:rPr>
        <w:t>2.</w:t>
        <w:tab/>
        <w:t>REFERÊNCIAS</w:t>
      </w:r>
    </w:p>
    <w:p>
      <w:pPr>
        <w:tabs>
          <w:tab w:pos="709" w:val="left"/>
        </w:tabs>
        <w:ind w:firstLine="0"/>
        <w:jc w:val="left"/>
      </w:pPr>
      <w:r>
        <w:t>2.1.</w:t>
        <w:tab/>
      </w:r>
      <w:r>
        <w:rPr>
          <w:b w:val="0"/>
          <w:i w:val="0"/>
        </w:rPr>
        <w:t>Lei nº 8.666, de 21 de junho de 1993 (art. 87, inciso IV e § 3º);</w:t>
      </w:r>
    </w:p>
    <w:p>
      <w:pPr>
        <w:tabs>
          <w:tab w:pos="709" w:val="left"/>
        </w:tabs>
        <w:ind w:firstLine="0"/>
        <w:jc w:val="left"/>
      </w:pPr>
      <w:r>
        <w:t>2.2.</w:t>
        <w:tab/>
      </w:r>
      <w:r>
        <w:rPr>
          <w:b w:val="0"/>
          <w:i w:val="0"/>
        </w:rPr>
        <w:t>Lei nº 12.846, de 1º de agosto de 2013 (art. 6º, § 3º, e art. 13);</w:t>
      </w:r>
    </w:p>
    <w:p>
      <w:pPr>
        <w:tabs>
          <w:tab w:pos="709" w:val="left"/>
        </w:tabs>
        <w:ind w:firstLine="0"/>
        <w:jc w:val="left"/>
      </w:pPr>
      <w:r>
        <w:t>2.3.</w:t>
        <w:tab/>
      </w:r>
      <w:r>
        <w:rPr>
          <w:b w:val="0"/>
          <w:i w:val="0"/>
        </w:rPr>
        <w:t>Decreto nº 8.420, de 18 de março de 2015 (art. 18, inciso II), e Decreto nº 11.129, de 11 de julho de 2022 (art. 37, § 2º);</w:t>
      </w:r>
    </w:p>
    <w:p>
      <w:pPr>
        <w:tabs>
          <w:tab w:pos="709" w:val="left"/>
        </w:tabs>
        <w:ind w:firstLine="0"/>
        <w:jc w:val="left"/>
      </w:pPr>
      <w:r>
        <w:t>2.4.</w:t>
        <w:tab/>
      </w:r>
      <w:r>
        <w:rPr>
          <w:b w:val="0"/>
          <w:i w:val="0"/>
        </w:rPr>
        <w:t>Portaria CGU nº 1.214, de 8 de junho de 2020, com as alterações da Portaria Normativa CGU nº 54, de 14 de fevereiro de 2023;</w:t>
      </w:r>
    </w:p>
    <w:p>
      <w:pPr>
        <w:tabs>
          <w:tab w:pos="709" w:val="left"/>
        </w:tabs>
        <w:ind w:firstLine="0"/>
        <w:jc w:val="left"/>
      </w:pPr>
      <w:r>
        <w:t>2.5.</w:t>
        <w:tab/>
      </w:r>
      <w:r>
        <w:rPr>
          <w:b w:val="0"/>
          <w:i w:val="0"/>
        </w:rPr>
        <w:t>Portaria Normativa SE/CGU nº 226, de 9 de setembro de 2025, e Portaria Normativa Interministerial CGU/AGU nº 1, de 19 de dezembro de 2025;</w:t>
      </w:r>
    </w:p>
    <w:p>
      <w:pPr>
        <w:tabs>
          <w:tab w:pos="709" w:val="left"/>
        </w:tabs>
        <w:ind w:firstLine="0"/>
        <w:jc w:val="left"/>
      </w:pPr>
      <w:r>
        <w:t>2.6.</w:t>
        <w:tab/>
      </w:r>
      <w:r>
        <w:rPr>
          <w:b w:val="0"/>
          <w:i w:val="0"/>
        </w:rPr>
        <w:t>Relatório Final da CPAR (SEI 1843086); Parecer nº 00199/2021/CONJUR-CGU/CGU/AGU, aprovado pelos Despachos nº 00651/2022 e nº 00890/2022/CONJUR-CGU/CGU/AGU; Decisões nº 9/2023 (SEI 2646749) e nº 347/2023 (SEI 2991463);</w:t>
      </w:r>
    </w:p>
    <w:p>
      <w:pPr>
        <w:tabs>
          <w:tab w:pos="709" w:val="left"/>
        </w:tabs>
        <w:ind w:firstLine="0"/>
        <w:jc w:val="left"/>
      </w:pPr>
      <w:r>
        <w:t>2.7.</w:t>
        <w:tab/>
      </w:r>
      <w:r>
        <w:rPr>
          <w:b w:val="0"/>
          <w:i w:val="0"/>
        </w:rPr>
        <w:t>Nota Técnica nº 1193/2021/COREP/CRG (SEI 1944272);</w:t>
      </w:r>
    </w:p>
    <w:p>
      <w:pPr>
        <w:tabs>
          <w:tab w:pos="709" w:val="left"/>
        </w:tabs>
        <w:ind w:firstLine="0"/>
        <w:jc w:val="left"/>
      </w:pPr>
      <w:r>
        <w:t>2.8.</w:t>
        <w:tab/>
      </w:r>
      <w:r>
        <w:rPr>
          <w:b w:val="0"/>
          <w:i w:val="0"/>
        </w:rPr>
        <w:t>Pedido de reabilitação (SEI 4250406) e petição de 14/10/2026, com sentença, parecer do MPF e acórdão do TRF da 4ª Região na Ação Penal nº 5000553-66.2017.4.04.7000; comprovante de depósito judicial da multa (Doc. 4);</w:t>
      </w:r>
    </w:p>
    <w:p>
      <w:pPr>
        <w:tabs>
          <w:tab w:pos="709" w:val="left"/>
        </w:tabs>
        <w:ind w:firstLine="0"/>
        <w:jc w:val="left"/>
      </w:pPr>
      <w:r>
        <w:t>2.9.</w:t>
        <w:tab/>
      </w:r>
      <w:r>
        <w:rPr>
          <w:b w:val="0"/>
          <w:i w:val="0"/>
        </w:rPr>
        <w:t>Nota Técnica nº 676/2026/SIPRI (SEI 3980745), Processo nº 00190.110692/2025-70.</w:t>
      </w:r>
    </w:p>
    <w:p>
      <w:pPr>
        <w:keepNext/>
        <w:spacing w:before="200" w:after="80"/>
      </w:pPr>
      <w:r>
        <w:rPr>
          <w:b/>
        </w:rPr>
        <w:t>3.</w:t>
        <w:tab/>
        <w:t>SUMÁRIO EXECUTIVO</w:t>
      </w:r>
    </w:p>
    <w:p>
      <w:pPr>
        <w:tabs>
          <w:tab w:pos="709" w:val="left"/>
        </w:tabs>
        <w:ind w:firstLine="0"/>
        <w:jc w:val="both"/>
      </w:pPr>
      <w:r>
        <w:t>3.1.</w:t>
        <w:tab/>
      </w:r>
      <w:r>
        <w:rPr>
          <w:b w:val="0"/>
          <w:i w:val="0"/>
        </w:rPr>
        <w:t>A DECAL BRASIL LTDA. respondeu ao PAR nº 00190.105349/2020-07 porque seu representante nas negociações com a Petrobras, Mariano Marcondes Ferraz, pagou US$ 868.450,00 em vantagens indevidas ao então Diretor de Abastecimento da estatal, Paulo Roberto Costa. Os pagamentos ocorreram entre 19/05/2011 e 21/02/2014 e visavam facilitar a renovação do contrato de armazenagem de granéis líquidos no Porto de Suape, celebrada em 01/05/2012 no valor de R$ 280.013.236,00 (Relatório Final, §§ 2 a 5).</w:t>
      </w:r>
    </w:p>
    <w:p>
      <w:pPr>
        <w:tabs>
          <w:tab w:pos="709" w:val="left"/>
        </w:tabs>
        <w:ind w:firstLine="0"/>
        <w:jc w:val="both"/>
      </w:pPr>
      <w:r>
        <w:t>3.2.</w:t>
        <w:tab/>
      </w:r>
      <w:r>
        <w:rPr>
          <w:b w:val="0"/>
          <w:i w:val="0"/>
        </w:rPr>
        <w:t>Pela Decisão nº 9, publicada em 10/02/2023, o Ministro de Estado da CGU aplicou à empresa declaração de inidoneidade (art. 87, IV, da Lei nº 8.666/1993), multa de R$ 3.905.734,97 e publicação extraordinária da decisão. A decisão adotou, em parte, o Relatório Final e o Parecer nº 00199/2021/CONJUR-CGU/CGU/AGU. As sanções foram mantidas pela Decisão nº 347, publicada no DOU de 27/10/2023.</w:t>
      </w:r>
    </w:p>
    <w:p>
      <w:pPr>
        <w:tabs>
          <w:tab w:pos="709" w:val="left"/>
        </w:tabs>
        <w:ind w:firstLine="0"/>
        <w:jc w:val="both"/>
      </w:pPr>
      <w:r>
        <w:t>3.3.</w:t>
        <w:tab/>
      </w:r>
      <w:r>
        <w:rPr>
          <w:b w:val="0"/>
          <w:i w:val="0"/>
        </w:rPr>
        <w:t>Em 21/09/2026 a empresa requereu a reabilitação. Quanto ao requisito aqui examinado, sustenta que não há prejuízo a ressarcir: o único dano mencionado no PAR teria vindo da sentença criminal contra Mariano Marcondes Ferraz, e esse ponto da sentença foi reformado pelo TRF da 4ª Região.</w:t>
      </w:r>
    </w:p>
    <w:p>
      <w:pPr>
        <w:tabs>
          <w:tab w:pos="709" w:val="left"/>
        </w:tabs>
        <w:ind w:firstLine="0"/>
        <w:jc w:val="both"/>
      </w:pPr>
      <w:r>
        <w:t>3.4.</w:t>
        <w:tab/>
      </w:r>
      <w:r>
        <w:rPr>
          <w:b w:val="0"/>
          <w:i w:val="0"/>
        </w:rPr>
        <w:t xml:space="preserve">A análise conclui que o requisito pode ser considerado </w:t>
      </w:r>
      <w:r>
        <w:rPr>
          <w:b/>
          <w:i w:val="0"/>
        </w:rPr>
        <w:t>atendido</w:t>
      </w:r>
      <w:r>
        <w:rPr>
          <w:b w:val="0"/>
          <w:i w:val="0"/>
        </w:rPr>
        <w:t>, por três razões: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a) o PAR não teve por objeto apurar dano ao erário, como registrou a própria Comissão;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b) a única referência a dano apoiava-se na indenização mínima fixada na sentença criminal, afastada pelo TRF4 antes mesmo da elaboração do Relatório Final;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c) na fase de julgamento, a própria CGU afastou o dano. A Nota Técnica nº 1193/2021/COREP considerou a decisão do TRF4 e a inexistência de outros danos e concedeu o atenuante de ressarcimento dos danos (art. 18, II, do Decreto nº 8.420/2015). Esse entendimento foi acolhido pela CONJUR e pela Decisão nº 9, que aplicou a multa assim reduzida.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Dois argumentos da empresa não procedem: a força vinculante da decisão criminal (art. 935 do Código Civil) e o depósito judicial da multa. Nenhum deles, porém, é necessário à conclusão. Recomenda-se apenas confirmar, junto à Petrobras e à AGU, que não sobreveio decisão definitiva fixando dano.</w:t>
      </w:r>
    </w:p>
    <w:p>
      <w:pPr>
        <w:keepNext/>
        <w:spacing w:before="200" w:after="80"/>
      </w:pPr>
      <w:r>
        <w:rPr>
          <w:b/>
        </w:rPr>
        <w:t>4.</w:t>
        <w:tab/>
        <w:t>ANÁLISE</w:t>
      </w:r>
    </w:p>
    <w:p>
      <w:pPr>
        <w:keepNext/>
        <w:spacing w:before="120" w:after="80"/>
        <w:ind w:left="567"/>
      </w:pPr>
      <w:r>
        <w:rPr>
          <w:b/>
          <w:i/>
        </w:rPr>
        <w:t>4.1. O que o requisito exige</w:t>
      </w:r>
    </w:p>
    <w:p>
      <w:pPr>
        <w:tabs>
          <w:tab w:pos="709" w:val="left"/>
        </w:tabs>
        <w:ind w:firstLine="0"/>
        <w:jc w:val="both"/>
      </w:pPr>
      <w:r>
        <w:t>4.1.1.</w:t>
        <w:tab/>
      </w:r>
      <w:r>
        <w:rPr>
          <w:b w:val="0"/>
          <w:i w:val="0"/>
        </w:rPr>
        <w:t>A obrigação de ressarcir decorre da própria lei. O art. 87, inciso IV, da Lei nº 8.666/1993, aplicável à sanção imposta com base nele, condiciona a reabilitação ao ressarcimento: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  <w:sz w:val="20"/>
        </w:rPr>
        <w:t xml:space="preserve">IV - declaração de inidoneidade para licitar ou contratar com a Administração Pública enquanto perdurarem os motivos determinantes da punição ou até que seja promovida a reabilitação perante a própria autoridade que aplicou a penalidade, que será concedida </w:t>
      </w:r>
      <w:r>
        <w:rPr>
          <w:b/>
          <w:i w:val="0"/>
          <w:sz w:val="20"/>
        </w:rPr>
        <w:t>sempre que o contratado ressarcir a Administração pelos prejuízos resultantes</w:t>
      </w:r>
      <w:r>
        <w:rPr>
          <w:b w:val="0"/>
          <w:i w:val="0"/>
          <w:sz w:val="20"/>
        </w:rPr>
        <w:t xml:space="preserve"> e após decorrido o prazo da sanção aplicada com base no inciso anterior. (grifei)</w:t>
      </w:r>
    </w:p>
    <w:p>
      <w:pPr>
        <w:tabs>
          <w:tab w:pos="709" w:val="left"/>
        </w:tabs>
        <w:ind w:firstLine="0"/>
        <w:jc w:val="both"/>
      </w:pPr>
      <w:r>
        <w:t>4.1.2.</w:t>
        <w:tab/>
      </w:r>
      <w:r>
        <w:rPr>
          <w:b w:val="0"/>
          <w:i w:val="0"/>
        </w:rPr>
        <w:t>A Portaria CGU nº 1.214/2020 regulamentou o tema e delimitou a exigência: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  <w:sz w:val="20"/>
        </w:rPr>
        <w:t xml:space="preserve">Art. 2º São requisitos cumulativos para a concessão da reabilitação: (...) II - o ressarcimento integral dos prejuízos causados pela pessoa física ou jurídica, </w:t>
      </w:r>
      <w:r>
        <w:rPr>
          <w:b/>
          <w:i w:val="0"/>
          <w:sz w:val="20"/>
        </w:rPr>
        <w:t>quando apontados pela Administração Pública, em decorrência dos atos que justificaram a aplicação da sanção</w:t>
      </w:r>
      <w:r>
        <w:rPr>
          <w:b w:val="0"/>
          <w:i w:val="0"/>
          <w:sz w:val="20"/>
        </w:rPr>
        <w:t xml:space="preserve"> de declaração de inidoneidade; (grifei)</w:t>
      </w:r>
    </w:p>
    <w:p>
      <w:pPr>
        <w:tabs>
          <w:tab w:pos="709" w:val="left"/>
        </w:tabs>
        <w:ind w:firstLine="0"/>
        <w:jc w:val="both"/>
      </w:pPr>
      <w:r>
        <w:t>4.1.3.</w:t>
        <w:tab/>
      </w:r>
      <w:r>
        <w:rPr>
          <w:b w:val="0"/>
          <w:i w:val="0"/>
        </w:rPr>
        <w:t>Como a exigência vem da lei, perde relevância para este requisito a tese da empresa de que a Portaria nº 1.214/2020 seria ilegal ou irretroativa (pedido, §§ 23 a 42). A própria DECAL reconhece o ressarcimento como requisito legal (pedido, § 21). Aquela discussão diz respeito ao programa de integridade (inciso III), que não é objeto desta Nota. Pela mesma razão, a Portaria Normativa SE/CGU nº 226/2025 não interfere aqui: ela trata da metodologia de avaliação de programas de integridade e não altera o requisito de ressarcimento das sanções aplicadas com base na Lei nº 8.666/1993.</w:t>
      </w:r>
    </w:p>
    <w:p>
      <w:pPr>
        <w:tabs>
          <w:tab w:pos="709" w:val="left"/>
        </w:tabs>
        <w:ind w:firstLine="0"/>
        <w:jc w:val="both"/>
      </w:pPr>
      <w:r>
        <w:t>4.1.4.</w:t>
        <w:tab/>
      </w:r>
      <w:r>
        <w:rPr>
          <w:b w:val="0"/>
          <w:i w:val="0"/>
        </w:rPr>
        <w:t xml:space="preserve">O § 1º do art. 2º remetia a definição dos valores à Instrução Normativa CGU/AGU nº 2/2018. Essa IN foi revogada pelo art. 60 da Portaria Normativa Interministerial CGU/AGU nº 1/2025, antes do pedido. Desde então, a CGU adota o conceito de </w:t>
      </w:r>
      <w:r>
        <w:rPr>
          <w:b/>
          <w:i w:val="0"/>
        </w:rPr>
        <w:t>dano incontroverso</w:t>
      </w:r>
      <w:r>
        <w:rPr>
          <w:b w:val="0"/>
          <w:i w:val="0"/>
        </w:rPr>
        <w:t>: o dano admitido pela pessoa jurídica ou o decorrente de decisão definitiva em processo administrativo ou judicial (art. 37, § 2º, do Decreto nº 11.129/2022; art. 33 da PNI nº 1/2025). A Nota Técnica nº 676/2026/SIPRI aplicou esse critério a caso idêntico de sanção da Lei nº 8.666/1993: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  <w:sz w:val="20"/>
        </w:rPr>
        <w:t xml:space="preserve">4.48. A superação do segundo requisito (art. 2º, inciso II) ocorre apenas em razão da não verificação, até o momento, de </w:t>
      </w:r>
      <w:r>
        <w:rPr>
          <w:b/>
          <w:i w:val="0"/>
          <w:sz w:val="20"/>
        </w:rPr>
        <w:t>decisão administrativa ou judicial definitiva que tenha identificado e quantificado o dano, bem como estabelecido o nexo de causalidade</w:t>
      </w:r>
      <w:r>
        <w:rPr>
          <w:b w:val="0"/>
          <w:i w:val="0"/>
          <w:sz w:val="20"/>
        </w:rPr>
        <w:t xml:space="preserve"> desse dano com a conduta pela qual a empresa foi condenada. (grifei)</w:t>
      </w:r>
    </w:p>
    <w:p>
      <w:pPr>
        <w:tabs>
          <w:tab w:pos="709" w:val="left"/>
        </w:tabs>
        <w:ind w:firstLine="0"/>
        <w:jc w:val="both"/>
      </w:pPr>
      <w:r>
        <w:t>4.1.5.</w:t>
        <w:tab/>
      </w:r>
      <w:r>
        <w:rPr>
          <w:b w:val="0"/>
          <w:i w:val="0"/>
        </w:rPr>
        <w:t>A mesma Nota admite que o valor da propina sirva de indicador do dano mínimo "quando o tipo específico de ilícito praticado assim indicar" (item 4.17). O fundamento é a presunção de que a empresa embutiu o custo da propina no preço cobrado. O teste a aplicar, portanto, tem duas perguntas: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a) Existe prejuízo identificado e quantificado pela Administração, por decisão definitiva, ligado ao pagamento de vantagem indevida que motivou a sanção?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b) Se existe, foi integralmente ressarcido?</w:t>
      </w:r>
    </w:p>
    <w:p>
      <w:pPr>
        <w:keepNext/>
        <w:spacing w:before="120" w:after="80"/>
        <w:ind w:left="567"/>
      </w:pPr>
      <w:r>
        <w:rPr>
          <w:b/>
          <w:i/>
        </w:rPr>
        <w:t>4.2. O prejuízo mencionado no PAR</w:t>
      </w:r>
    </w:p>
    <w:p>
      <w:pPr>
        <w:tabs>
          <w:tab w:pos="709" w:val="left"/>
        </w:tabs>
        <w:ind w:firstLine="0"/>
        <w:jc w:val="both"/>
      </w:pPr>
      <w:r>
        <w:t>4.2.1.</w:t>
        <w:tab/>
      </w:r>
      <w:r>
        <w:rPr>
          <w:b w:val="0"/>
          <w:i w:val="0"/>
        </w:rPr>
        <w:t>A apuração de dano ficou expressamente fora do PAR. Ao responder à alegação de inexistência de prejuízo, a Comissão registrou: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  <w:sz w:val="20"/>
        </w:rPr>
        <w:t xml:space="preserve">58. </w:t>
      </w:r>
      <w:r>
        <w:rPr>
          <w:b/>
          <w:i w:val="0"/>
          <w:sz w:val="20"/>
        </w:rPr>
        <w:t>Não se encontra no escopo de apuração deste processo a existência de dano ao erário</w:t>
      </w:r>
      <w:r>
        <w:rPr>
          <w:b w:val="0"/>
          <w:i w:val="0"/>
          <w:sz w:val="20"/>
        </w:rPr>
        <w:t xml:space="preserve"> em virtude das contratações firmadas entre a Decal e a Petrobras. 59. Apesar disso, cabe ressaltar que o juízo criminal, em sua sentença, estabeleceu um dano mínimo para indenização, equivalente ao montante pago a título de vantagem indevida ao agente público, de US$ 868.450,00 (SEI 1569432). (Relatório Final; grifei)</w:t>
      </w:r>
    </w:p>
    <w:p>
      <w:pPr>
        <w:tabs>
          <w:tab w:pos="709" w:val="left"/>
        </w:tabs>
        <w:ind w:firstLine="0"/>
        <w:jc w:val="both"/>
      </w:pPr>
      <w:r>
        <w:t>4.2.2.</w:t>
        <w:tab/>
      </w:r>
      <w:r>
        <w:rPr>
          <w:b w:val="0"/>
          <w:i w:val="0"/>
        </w:rPr>
        <w:t>A referência ao dano tem, portanto, um único fundamento: a sentença criminal. Ela se repete no § 73 e no cálculo da multa. Ao negar o atenuante de ressarcimento, a Comissão afirmou que "evidenciou-se a ocorrência de dano de, no mínimo, o montante pago a título de vantagem indevida (...). Nesse sentido se manifestou o juízo criminal ao prolatar a sentença" (§ 95). Na conclusão, a Comissão registrou como "valor do dano à Administração" US$ 868.450,00 (R$ 4.704.914,72 em 24/02/2021). O registro foi feito para os encaminhamentos do Capítulo VI da Lei nº 12.846/2013, ou seja, para que o Ministério Público e a AGU avaliassem eventual responsabilização judicial. Não constituiu crédito de ressarcimento. Não houve o processo específico de reparação previsto no art. 13 daquela lei.</w:t>
      </w:r>
    </w:p>
    <w:p>
      <w:pPr>
        <w:tabs>
          <w:tab w:pos="709" w:val="left"/>
        </w:tabs>
        <w:ind w:firstLine="0"/>
        <w:jc w:val="both"/>
      </w:pPr>
      <w:r>
        <w:t>4.2.3.</w:t>
        <w:tab/>
      </w:r>
      <w:r>
        <w:rPr>
          <w:b w:val="0"/>
          <w:i w:val="0"/>
        </w:rPr>
        <w:t>Na fase de julgamento, esse entendimento foi revisto. A Nota Técnica nº 1193/2021/COREP (SEI 1944272), de 26/05/2021, examinou a alegação de inexistência de dano. Transcreveu o voto do TRF4 e concluiu: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  <w:sz w:val="20"/>
        </w:rPr>
        <w:t xml:space="preserve">60. </w:t>
      </w:r>
      <w:r>
        <w:rPr>
          <w:b/>
          <w:i w:val="0"/>
          <w:sz w:val="20"/>
        </w:rPr>
        <w:t>Em que pese o entendimento firmado por este órgão, de que o dano engloba o valor referente ao pagamento de propina, há de se levar em conta, no caso concreto, a referida decisão proferida pelo Poder Judiciário.</w:t>
      </w:r>
      <w:r>
        <w:rPr>
          <w:b w:val="0"/>
          <w:i w:val="0"/>
          <w:sz w:val="20"/>
        </w:rPr>
        <w:t xml:space="preserve"> 61. No momento da avaliação das atenuantes, a Comissão atribuiu 0% no caso de ressarcimento dos danos, levando em conta a fixação de dano mínimo pelo juízo criminal de primeira instância. Contudo, houve o afastamento dessa fixação, mantendo-se apenas o confisco sobre o montante da vantagem indevida paga ao agente público. 62. Tal fato, portanto, deve ser levado em consideração no cálculo da multa, bem como </w:t>
      </w:r>
      <w:r>
        <w:rPr>
          <w:b/>
          <w:i w:val="0"/>
          <w:sz w:val="20"/>
        </w:rPr>
        <w:t>por não haver outros danos verificados até o momento</w:t>
      </w:r>
      <w:r>
        <w:rPr>
          <w:b w:val="0"/>
          <w:i w:val="0"/>
          <w:sz w:val="20"/>
        </w:rPr>
        <w:t>. 63. Dessa forma, sugere-se a concessão da atenuante, elevando-se o seu percentual a 1,5%. (grifei)</w:t>
      </w:r>
    </w:p>
    <w:p>
      <w:pPr>
        <w:tabs>
          <w:tab w:pos="709" w:val="left"/>
        </w:tabs>
        <w:ind w:firstLine="0"/>
        <w:jc w:val="both"/>
      </w:pPr>
      <w:r>
        <w:t>4.2.4.</w:t>
        <w:tab/>
      </w:r>
      <w:r>
        <w:rPr>
          <w:b w:val="0"/>
          <w:i w:val="0"/>
        </w:rPr>
        <w:t>A COREP recomendou acolher o Relatório Final "com a ressalva feita no tocante ao dano (parágrafos 57 a 63), que repercutiu no valor da multa" (§ 124). O Parecer nº 00199/2021/CONJUR adotou essa ressalva (§§ 8 e 72), e os Despachos nº 00651/2022 e nº 00890/2022 o aprovaram "com as adequações da Nota Técnica nº 1193/2021/COREP". O efeito é verificável na própria multa aplicada: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a) o atenuante do art. 18, II, do Decreto nº 8.420/2015 ("comprovação de ressarcimento [...] dos danos") passou de 0% para 1,5%, e a alíquota caiu de 7,5% para 6%;</w:t>
      </w:r>
    </w:p>
    <w:p>
      <w:pPr>
        <w:tabs>
          <w:tab w:pos="709" w:val="left"/>
        </w:tabs>
        <w:ind w:firstLine="0"/>
        <w:jc w:val="both"/>
      </w:pPr>
      <w:r>
        <w:tab/>
      </w:r>
      <w:r>
        <w:rPr>
          <w:b w:val="0"/>
          <w:i w:val="0"/>
        </w:rPr>
        <w:t>b) a multa caiu de R$ 4.882.168,71 para R$ 3.905.734,97, exatamente 6% da base de cálculo de R$ 65.095.582,89. Esse é o valor aplicado pela Decisão nº 9.</w:t>
      </w:r>
    </w:p>
    <w:p>
      <w:pPr>
        <w:tabs>
          <w:tab w:pos="709" w:val="left"/>
        </w:tabs>
        <w:ind w:firstLine="0"/>
        <w:jc w:val="both"/>
      </w:pPr>
      <w:r>
        <w:t>4.2.5.</w:t>
        <w:tab/>
      </w:r>
      <w:r>
        <w:rPr>
          <w:b w:val="0"/>
          <w:i w:val="0"/>
        </w:rPr>
        <w:t>Em síntese, a autoridade julgadora não manteve dano pendente contra a DECAL. Fez isso com fundamento expresso: o afastamento judicial da indenização e a inexistência de outros danos verificados. O Parecer da CONJUR ainda transcreve, no § 66, a frase da Comissão sobre o dano mínimo. A transcrição está no rol de fatores do art. 7º da Lei nº 12.846/2013 e é superada pelo cálculo efetivamente adotado nos §§ 72 e 73. Coerentemente, a Decisão nº 9 não quantifica dano nem condiciona a reabilitação a qualquer pagamento. Nisso difere da decisão examinada na NT nº 676/2026, que fixava expressamente tais condições.</w:t>
      </w:r>
    </w:p>
    <w:p>
      <w:pPr>
        <w:keepNext/>
        <w:spacing w:before="120" w:after="80"/>
        <w:ind w:left="567"/>
      </w:pPr>
      <w:r>
        <w:rPr>
          <w:b/>
          <w:i/>
        </w:rPr>
        <w:t>4.3. O que os documentos da empresa demonstram</w:t>
      </w:r>
    </w:p>
    <w:p>
      <w:pPr>
        <w:tabs>
          <w:tab w:pos="709" w:val="left"/>
        </w:tabs>
        <w:ind w:firstLine="0"/>
        <w:jc w:val="both"/>
      </w:pPr>
      <w:r>
        <w:t>4.3.1.</w:t>
        <w:tab/>
      </w:r>
      <w:r>
        <w:rPr>
          <w:b w:val="0"/>
          <w:i w:val="0"/>
        </w:rPr>
        <w:t>A sentença de 05/03/2018 fixou a indenização mínima à Petrobras no valor da propina, com base no art. 387, IV, do CPP. Também decretou o confisco da fiança prestada por Mariano Marcondes Ferraz até esse mesmo valor (§§ 222 a 226). Em 10/04/2019, o TRF da 4ª Região afastou a indenização e manteve o confisco, acolhendo o parecer do MPF:</w:t>
      </w:r>
    </w:p>
    <w:p>
      <w:pPr>
        <w:spacing w:after="160" w:line="240" w:lineRule="auto"/>
        <w:ind w:left="2268"/>
        <w:jc w:val="both"/>
      </w:pPr>
      <w:r>
        <w:rPr>
          <w:b w:val="0"/>
          <w:i w:val="0"/>
          <w:sz w:val="20"/>
        </w:rPr>
        <w:t xml:space="preserve">No presente caso, entretanto, </w:t>
      </w:r>
      <w:r>
        <w:rPr>
          <w:b/>
          <w:i w:val="0"/>
          <w:sz w:val="20"/>
        </w:rPr>
        <w:t>não houve mínima demonstração da transmissão deste custo à PETROBRAS</w:t>
      </w:r>
      <w:r>
        <w:rPr>
          <w:b w:val="0"/>
          <w:i w:val="0"/>
          <w:sz w:val="20"/>
        </w:rPr>
        <w:t xml:space="preserve">. (...) Como não se sabe do envolvimento dos controladores da empresa DECAL no pagamento da propina, o que permitiria identificar a absorção e transferência dos custos da propina para o contrato firmado entre DECAL e PETROBRAS, </w:t>
      </w:r>
      <w:r>
        <w:rPr>
          <w:b/>
          <w:i w:val="0"/>
          <w:sz w:val="20"/>
        </w:rPr>
        <w:t>a única conclusão possível é que MARIANO MARCONDES arcou com o custo das vantagens indevidas</w:t>
      </w:r>
      <w:r>
        <w:rPr>
          <w:b w:val="0"/>
          <w:i w:val="0"/>
          <w:sz w:val="20"/>
        </w:rPr>
        <w:t>, diminuindo o seu próprio ganho. (Ementa, item 13: "Não comprovado a transferência de custo à Petrobras, impõe-se o afastamento da fixação de valor mínimo indenizatório"; grifei)</w:t>
      </w:r>
    </w:p>
    <w:p>
      <w:pPr>
        <w:tabs>
          <w:tab w:pos="709" w:val="left"/>
        </w:tabs>
        <w:ind w:firstLine="0"/>
        <w:jc w:val="both"/>
      </w:pPr>
      <w:r>
        <w:t>4.3.2.</w:t>
        <w:tab/>
      </w:r>
      <w:r>
        <w:rPr>
          <w:b w:val="0"/>
          <w:i w:val="0"/>
        </w:rPr>
        <w:t>O acórdão é anterior ao Relatório Final (24/02/2021), que não o menciona. Quando a Comissão citou a sentença como base do dano mínimo, esse ponto já havia sido retirado pelo tribunal. A falha foi corrigida pela COREP (item 4.2.3).</w:t>
      </w:r>
    </w:p>
    <w:p>
      <w:pPr>
        <w:tabs>
          <w:tab w:pos="709" w:val="left"/>
        </w:tabs>
        <w:ind w:firstLine="0"/>
        <w:jc w:val="both"/>
      </w:pPr>
      <w:r>
        <w:t>4.3.3.</w:t>
        <w:tab/>
      </w:r>
      <w:r>
        <w:rPr>
          <w:b w:val="0"/>
          <w:i w:val="0"/>
        </w:rPr>
        <w:t>Outros elementos convergem: Paulo Roberto Costa declarou que o preço foi fixado pela área técnica, sem sua interferência, e o representante da Petrobras na contratação negou ingerência indevida (Parecer, §§ 46 e 47; sentença, §§ 184 a 186). A Petrobras informou que, nesse tipo de contratação, os preços são fixados por comparação com o mercado, sem planilha de formação de custos (Relatório Final, § 97). Não há nos autos indício de sobrepreço que permita supor que a propina foi repassada à estatal.</w:t>
      </w:r>
    </w:p>
    <w:p>
      <w:pPr>
        <w:tabs>
          <w:tab w:pos="709" w:val="left"/>
        </w:tabs>
        <w:ind w:firstLine="0"/>
        <w:jc w:val="both"/>
      </w:pPr>
      <w:r>
        <w:t>4.3.4.</w:t>
        <w:tab/>
      </w:r>
      <w:r>
        <w:rPr>
          <w:b w:val="0"/>
          <w:i w:val="0"/>
        </w:rPr>
        <w:t>Por fim, o acórdão do TRF da 5ª Região que manteve as sanções (AI nº 0809667-58.2024.4.05.0000, 05/02/2025) registrou que a alegada ausência de dano não afasta a responsabilização, "mas tão somente [serve] para impedir a condenação pelo dano". Reconheceu, assim, a pertinência da questão exatamente para o tema aqui examinado.</w:t>
      </w:r>
    </w:p>
    <w:p>
      <w:pPr>
        <w:keepNext/>
        <w:spacing w:before="120" w:after="80"/>
        <w:ind w:left="567"/>
      </w:pPr>
      <w:r>
        <w:rPr>
          <w:b/>
          <w:i/>
        </w:rPr>
        <w:t>4.4. Os argumentos da empresa</w:t>
      </w:r>
    </w:p>
    <w:p>
      <w:pPr>
        <w:tabs>
          <w:tab w:pos="709" w:val="left"/>
        </w:tabs>
        <w:ind w:firstLine="0"/>
        <w:jc w:val="both"/>
      </w:pPr>
      <w:r>
        <w:t>4.4.1.</w:t>
        <w:tab/>
      </w:r>
      <w:r>
        <w:rPr>
          <w:b/>
          <w:i w:val="0"/>
        </w:rPr>
        <w:t>Inexistência de prejuízo.</w:t>
      </w:r>
      <w:r>
        <w:rPr>
          <w:b w:val="0"/>
          <w:i w:val="0"/>
        </w:rPr>
        <w:t xml:space="preserve"> Procede, com fundamento mais amplo que o apresentado. Além da reforma da sentença, pesa o fato de que a própria decisão sancionadora, ao adotar a ressalva da COREP, não manteve dano pendente contra a empresa (itens 4.2.3 a 4.2.5). A empresa não alegou esse ponto.</w:t>
      </w:r>
    </w:p>
    <w:p>
      <w:pPr>
        <w:tabs>
          <w:tab w:pos="709" w:val="left"/>
        </w:tabs>
        <w:ind w:firstLine="0"/>
        <w:jc w:val="both"/>
      </w:pPr>
      <w:r>
        <w:t>4.4.2.</w:t>
        <w:tab/>
      </w:r>
      <w:r>
        <w:rPr>
          <w:b/>
          <w:i w:val="0"/>
        </w:rPr>
        <w:t>Força vinculante da decisão criminal (art. 935 do Código Civil).</w:t>
      </w:r>
      <w:r>
        <w:rPr>
          <w:b w:val="0"/>
          <w:i w:val="0"/>
        </w:rPr>
        <w:t xml:space="preserve"> Não procede. A DECAL não foi parte na ação penal, e a CGU já rejeitou essa tese no PAR (Relatório Final, § 44; Parecer, § 50). Além disso, o art. 935 impede rediscutir a existência do fato e a autoria, e não o valor do dano. O TRF4 não declarou que o dano é inexistente; constatou que não estava provado no processo criminal. O acórdão vale aqui como prova relevante, e não como decisão que vincula a Administração. A conclusão desta Nota não depende dessa tese.</w:t>
      </w:r>
    </w:p>
    <w:p>
      <w:pPr>
        <w:tabs>
          <w:tab w:pos="709" w:val="left"/>
        </w:tabs>
        <w:ind w:firstLine="0"/>
        <w:jc w:val="both"/>
      </w:pPr>
      <w:r>
        <w:t>4.4.3.</w:t>
        <w:tab/>
      </w:r>
      <w:r>
        <w:rPr>
          <w:b/>
          <w:i w:val="0"/>
        </w:rPr>
        <w:t>Pagamento ou depósito da multa.</w:t>
      </w:r>
      <w:r>
        <w:rPr>
          <w:b w:val="0"/>
          <w:i w:val="0"/>
        </w:rPr>
        <w:t xml:space="preserve"> É irrelevante para o inciso II. O Doc. 4 comprova o depósito judicial de R$ 3.905.734,97, valor nominal da multa, em 12/05/2025, por guia DJE da Caixa, nos autos da ação anulatória nº 0823992-04.2023.4.05.8300 (2ª Vara Federal/PE). A multa, porém, é sanção e não se confunde com reparação do dano (art. 6º, § 3º, da Lei nº 12.846/2013). Além disso, o depósito não é pagamento: apenas suspende a exigibilidade da multa, por decisão precária do TRF5, e as próprias demonstrações financeiras da empresa registram que ele não liquida o passivo (DFs 2025, nota 2.6). A quitação da multa é requisito de reabilitação apenas no regime da Lei nº 14.133/2021 (art. 163, II), e não no art. 87, IV, da Lei nº 8.666/1993.</w:t>
      </w:r>
    </w:p>
    <w:p>
      <w:pPr>
        <w:tabs>
          <w:tab w:pos="709" w:val="left"/>
        </w:tabs>
        <w:ind w:firstLine="0"/>
        <w:jc w:val="both"/>
      </w:pPr>
      <w:r>
        <w:t>4.4.4.</w:t>
        <w:tab/>
      </w:r>
      <w:r>
        <w:rPr>
          <w:b/>
          <w:i w:val="0"/>
        </w:rPr>
        <w:t>Consequências práticas, LINDB e interesse da Petrobras.</w:t>
      </w:r>
      <w:r>
        <w:rPr>
          <w:b w:val="0"/>
          <w:i w:val="0"/>
        </w:rPr>
        <w:t xml:space="preserve"> Não decidem o requisito, que é legal e objetivo, e não precisam ser ponderados aqui, dado o resultado alcançado.</w:t>
      </w:r>
    </w:p>
    <w:p>
      <w:pPr>
        <w:keepNext/>
        <w:spacing w:before="120" w:after="80"/>
        <w:ind w:left="567"/>
      </w:pPr>
      <w:r>
        <w:rPr>
          <w:b/>
          <w:i/>
        </w:rPr>
        <w:t>4.5. Contrapontos considerados</w:t>
      </w:r>
    </w:p>
    <w:p>
      <w:pPr>
        <w:tabs>
          <w:tab w:pos="709" w:val="left"/>
        </w:tabs>
        <w:ind w:firstLine="0"/>
        <w:jc w:val="both"/>
      </w:pPr>
      <w:r>
        <w:t>4.5.1.</w:t>
        <w:tab/>
      </w:r>
      <w:r>
        <w:rPr>
          <w:b/>
          <w:i w:val="0"/>
        </w:rPr>
        <w:t>Propina como dano mínimo.</w:t>
      </w:r>
      <w:r>
        <w:rPr>
          <w:b w:val="0"/>
          <w:i w:val="0"/>
        </w:rPr>
        <w:t xml:space="preserve"> A presunção de que a propina foi embutida no preço cede diante de prova específica em contrário: a conclusão do TRF4, os depoimentos sobre a formação do preço e a informação da Petrobras (item 4.3.3). A COREP registrou expressamente que, apesar do entendimento geral da CGU, a decisão judicial devia prevalecer no caso concreto (item 4.2.3).</w:t>
      </w:r>
    </w:p>
    <w:p>
      <w:pPr>
        <w:tabs>
          <w:tab w:pos="709" w:val="left"/>
        </w:tabs>
        <w:ind w:firstLine="0"/>
        <w:jc w:val="both"/>
      </w:pPr>
      <w:r>
        <w:t>4.5.2.</w:t>
        <w:tab/>
      </w:r>
      <w:r>
        <w:rPr>
          <w:b/>
          <w:i w:val="0"/>
        </w:rPr>
        <w:t>Valor do dano registrado na conclusão do Relatório Final.</w:t>
      </w:r>
      <w:r>
        <w:rPr>
          <w:b w:val="0"/>
          <w:i w:val="0"/>
        </w:rPr>
        <w:t xml:space="preserve"> O registro destinava-se à comunicação ao Ministério Público e à AGU para eventual ação judicial. Se dessa comunicação, ou de iniciativa da Petrobras, tiver resultado decisão definitiva fixando dano, o quadro muda. Nada nos autos indica isso, mas o art. 4º, § 2º, da Portaria nº 1.214/2020 permite confirmá-lo, como se fez na NT nº 676/2026.</w:t>
      </w:r>
    </w:p>
    <w:p>
      <w:pPr>
        <w:tabs>
          <w:tab w:pos="709" w:val="left"/>
        </w:tabs>
        <w:ind w:firstLine="0"/>
        <w:jc w:val="both"/>
      </w:pPr>
      <w:r>
        <w:t>4.5.3.</w:t>
        <w:tab/>
      </w:r>
      <w:r>
        <w:rPr>
          <w:b/>
          <w:i w:val="0"/>
        </w:rPr>
        <w:t>Alcance desta conclusão.</w:t>
      </w:r>
      <w:r>
        <w:rPr>
          <w:b w:val="0"/>
          <w:i w:val="0"/>
        </w:rPr>
        <w:t xml:space="preserve"> Considerar o requisito atendido não equivale a declarar que não houve prejuízo, nem impede apurações futuras, nos mesmos termos da ressalva feita na NT nº 676/2026 (itens 4.47 e 4.48).</w:t>
      </w:r>
    </w:p>
    <w:p>
      <w:pPr>
        <w:keepNext/>
        <w:spacing w:before="200" w:after="80"/>
      </w:pPr>
      <w:r>
        <w:rPr>
          <w:b/>
        </w:rPr>
        <w:t>5.</w:t>
        <w:tab/>
        <w:t>CONCLUSÃO</w:t>
      </w:r>
    </w:p>
    <w:p>
      <w:pPr>
        <w:tabs>
          <w:tab w:pos="709" w:val="left"/>
        </w:tabs>
        <w:ind w:firstLine="0"/>
        <w:jc w:val="both"/>
      </w:pPr>
      <w:r>
        <w:t>5.1.</w:t>
        <w:tab/>
      </w:r>
      <w:r>
        <w:rPr>
          <w:b w:val="0"/>
          <w:i w:val="0"/>
        </w:rPr>
        <w:t xml:space="preserve">Os documentos e argumentos apresentados pela DECAL BRASIL LTDA., examinados em conjunto com o Relatório Final, a Nota Técnica nº 1193/2021/COREP, o Parecer nº 00199/2021/CONJUR-CGU/CGU/AGU e a Decisão nº 9/2023, são suficientes para considerar </w:t>
      </w:r>
      <w:r>
        <w:rPr>
          <w:b/>
          <w:i w:val="0"/>
        </w:rPr>
        <w:t>atendido o requisito do art. 2º, inciso II, da Portaria CGU nº 1.214/2020</w:t>
      </w:r>
      <w:r>
        <w:rPr>
          <w:b w:val="0"/>
          <w:i w:val="0"/>
        </w:rPr>
        <w:t>. Não há prejuízo identificado e quantificado pela Administração, por decisão definitiva, pendente de ressarcimento em decorrência dos atos que justificaram a declaração de inidoneidade.</w:t>
      </w:r>
    </w:p>
    <w:p>
      <w:pPr>
        <w:tabs>
          <w:tab w:pos="709" w:val="left"/>
        </w:tabs>
        <w:ind w:firstLine="0"/>
        <w:jc w:val="both"/>
      </w:pPr>
      <w:r>
        <w:t>5.2.</w:t>
        <w:tab/>
      </w:r>
      <w:r>
        <w:rPr>
          <w:b w:val="0"/>
          <w:i w:val="0"/>
        </w:rPr>
        <w:t>Recomenda-se, antes da decisão final e com fundamento no art. 4º, § 2º, da Portaria nº 1.214/2020, oficiar à Petrobras e à Advocacia-Geral da União, com cópia ao Ministério Público Federal, a quem o Relatório Final propôs comunicar os fatos. O objetivo é confirmar a inexistência de decisão administrativa ou judicial definitiva, posterior ao PAR, que tenha fixado dano à estatal pelos mesmos fatos. Resposta em sentido contrário imporá o reexame deste requisito.</w:t>
      </w:r>
    </w:p>
    <w:p>
      <w:pPr>
        <w:tabs>
          <w:tab w:pos="709" w:val="left"/>
        </w:tabs>
        <w:ind w:firstLine="0"/>
        <w:jc w:val="both"/>
      </w:pPr>
      <w:r>
        <w:t>5.3.</w:t>
        <w:tab/>
      </w:r>
      <w:r>
        <w:rPr>
          <w:b w:val="0"/>
          <w:i w:val="0"/>
        </w:rPr>
        <w:t>A reabilitação depende ainda do atendimento dos requisitos dos incisos I (prazo) e III (superação dos motivos determinantes, incluído o programa de integridade) do art. 2º da Portaria nº 1.214/2020. Esses requisitos são examinados em manifestações próprias e não integram esta Nota.</w:t>
      </w:r>
    </w:p>
    <w:p>
      <w:pPr>
        <w:tabs>
          <w:tab w:pos="709" w:val="left"/>
        </w:tabs>
        <w:ind w:firstLine="0"/>
        <w:jc w:val="both"/>
      </w:pPr>
      <w:r>
        <w:t>5.4.</w:t>
        <w:tab/>
      </w:r>
      <w:r>
        <w:rPr>
          <w:b w:val="0"/>
          <w:i w:val="0"/>
        </w:rPr>
        <w:t>À consideração superior.</w:t>
      </w:r>
    </w:p>
    <w:p>
      <w:pPr>
        <w:spacing w:before="360"/>
        <w:jc w:val="center"/>
      </w:pPr>
      <w:r>
        <w:rPr>
          <w:i/>
        </w:rPr>
        <w:t>[Nome]</w:t>
        <w:br/>
        <w:t>[Cargo] — [Unidade]</w:t>
      </w:r>
    </w:p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