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360" w:lineRule="auto"/>
        <w:jc w:val="center"/>
      </w:pPr>
      <w:r>
        <w:rPr>
          <w:b/>
          <w:bCs/>
          <w:sz w:val="28"/>
          <w:szCs w:val="28"/>
        </w:rPr>
        <w:t xml:space="preserve">Referencial Teórico — Matriz de Literatura e Fichamento</w:t>
      </w:r>
    </w:p>
    <w:p>
      <w:pPr>
        <w:spacing w:after="60" w:line="360" w:lineRule="auto"/>
        <w:jc w:val="center"/>
      </w:pPr>
      <w:r>
        <w:rPr>
          <w:i/>
          <w:iCs/>
          <w:sz w:val="22"/>
          <w:szCs w:val="22"/>
        </w:rPr>
        <w:t xml:space="preserve">Framework de Auditoria Preventiva Baseado em Inteligência Artificial para Detecção de Assimetria de Informação em Anteprojetos de Grandes Obras Públicas (Contratações Integradas)</w:t>
      </w:r>
    </w:p>
    <w:p>
      <w:pPr>
        <w:spacing w:after="200" w:line="360" w:lineRule="auto"/>
        <w:jc w:val="center"/>
      </w:pPr>
      <w:r>
        <w:rPr>
          <w:sz w:val="22"/>
          <w:szCs w:val="22"/>
        </w:rPr>
        <w:t xml:space="preserve">José de Castro Barreto Junior — Controladoria-Geral da União (CGU)</w:t>
      </w:r>
    </w:p>
    <w:p>
      <w:pPr>
        <w:spacing w:after="120" w:before="0" w:line="360" w:lineRule="auto"/>
        <w:jc w:val="both"/>
      </w:pPr>
      <w:r>
        <w:t xml:space="preserve">Eixos do referencial: </w:t>
      </w:r>
      <w:r>
        <w:rPr>
          <w:b/>
          <w:bCs/>
        </w:rPr>
        <w:t xml:space="preserve">(1)</w:t>
      </w:r>
      <w:r>
        <w:t xml:space="preserve"> Controle governamental, accountability e auditoria preventiva; </w:t>
      </w:r>
      <w:r>
        <w:rPr>
          <w:b/>
          <w:bCs/>
        </w:rPr>
        <w:t xml:space="preserve">(2)</w:t>
      </w:r>
      <w:r>
        <w:t xml:space="preserve"> Assimetria de informação e economia dos contratos; </w:t>
      </w:r>
      <w:r>
        <w:rPr>
          <w:b/>
          <w:bCs/>
        </w:rPr>
        <w:t xml:space="preserve">(3)</w:t>
      </w:r>
      <w:r>
        <w:t xml:space="preserve"> Contratação integrada e grandes obras; </w:t>
      </w:r>
      <w:r>
        <w:rPr>
          <w:b/>
          <w:bCs/>
        </w:rPr>
        <w:t xml:space="preserve">(4)</w:t>
      </w:r>
      <w:r>
        <w:t xml:space="preserve"> IA, PLN e Design Science Research aplicados ao controle. As cinco fontes abaixo distribuem-se pelos quatro eixos.</w:t>
      </w:r>
    </w:p>
    <w:p>
      <w:pPr>
        <w:spacing w:after="160" w:before="320" w:line="360" w:lineRule="auto"/>
      </w:pPr>
      <w:r>
        <w:rPr>
          <w:b/>
          <w:bCs/>
          <w:sz w:val="26"/>
          <w:szCs w:val="26"/>
        </w:rPr>
        <w:t xml:space="preserve">1 Matriz de literatura (5 fontes)</w:t>
      </w:r>
    </w:p>
    <w:p>
      <w:pPr>
        <w:spacing w:after="100" w:before="260" w:line="360" w:lineRule="auto"/>
      </w:pPr>
      <w:r>
        <w:rPr>
          <w:b/>
          <w:bCs/>
        </w:rPr>
        <w:t xml:space="preserve">1.1) NÓBREGA, Marcos. A contratação integrada no RDC: inadequação da teoria da imprevisão como critério para o reequilíbrio econômico-financeiro — Eixo 3 (ponte ao Eixo 2).</w:t>
      </w:r>
    </w:p>
    <w:p>
      <w:pPr>
        <w:spacing w:after="120" w:before="0" w:line="360" w:lineRule="auto"/>
        <w:jc w:val="both"/>
      </w:pPr>
      <w:r>
        <w:rPr>
          <w:b/>
          <w:bCs/>
        </w:rPr>
        <w:t xml:space="preserve">Pergunta/objetivo. </w:t>
      </w:r>
      <w:r>
        <w:t xml:space="preserve">Analisar vantagens e desvantagens da contratação integrada (contrato design-build/DBTO) no RDC e demonstrar que a teoria da imprevisão é critério inadequado para fundamentar o reequilíbrio econômico-financeiro (REF).</w:t>
      </w:r>
    </w:p>
    <w:p>
      <w:pPr>
        <w:spacing w:after="120" w:before="0" w:line="360" w:lineRule="auto"/>
        <w:jc w:val="both"/>
      </w:pPr>
      <w:r>
        <w:rPr>
          <w:b/>
          <w:bCs/>
        </w:rPr>
        <w:t xml:space="preserve">Base teórica/conceitos. </w:t>
      </w:r>
      <w:r>
        <w:t xml:space="preserve">Economia dos contratos: assimetria de informação, seleção adversa, custos de transação e hold-up; contraste entre teoria da imprevisão e teoria da base do negócio.</w:t>
      </w:r>
    </w:p>
    <w:p>
      <w:pPr>
        <w:spacing w:after="120" w:before="0" w:line="360" w:lineRule="auto"/>
        <w:jc w:val="both"/>
      </w:pPr>
      <w:r>
        <w:rPr>
          <w:b/>
          <w:bCs/>
        </w:rPr>
        <w:t xml:space="preserve">Método. </w:t>
      </w:r>
      <w:r>
        <w:t xml:space="preserve">Ensaio teórico-doutrinário (análise jurídico-econômica normativa), sem tratamento empírico.</w:t>
      </w:r>
    </w:p>
    <w:p>
      <w:pPr>
        <w:spacing w:after="120" w:before="0" w:line="360" w:lineRule="auto"/>
        <w:jc w:val="both"/>
      </w:pPr>
      <w:r>
        <w:rPr>
          <w:b/>
          <w:bCs/>
        </w:rPr>
        <w:t xml:space="preserve">Achados principais. </w:t>
      </w:r>
      <w:r>
        <w:t xml:space="preserve">Sob forte assimetria, ancorar o REF na teoria da imprevisão é equivocado e aumenta o risco de seleção adversa; quando a parte usa vantagem informacional para auferir renda já na assinatura, há seleção adversa, não imprevisão. Propõe migrar para a teoria da base do negócio.</w:t>
      </w:r>
    </w:p>
    <w:p>
      <w:pPr>
        <w:spacing w:after="120" w:before="0" w:line="360" w:lineRule="auto"/>
        <w:jc w:val="both"/>
      </w:pPr>
      <w:r>
        <w:rPr>
          <w:b/>
          <w:bCs/>
        </w:rPr>
        <w:t xml:space="preserve">Limitações. </w:t>
      </w:r>
      <w:r>
        <w:t xml:space="preserve">Recorte teórico centrado no RDC (Lei 12.462/2011), anterior às Leis 13.303/2016 e 14.133/2021 e à jurisprudência recente do TCU; sem validação empírica.</w:t>
      </w:r>
    </w:p>
    <w:p>
      <w:pPr>
        <w:spacing w:after="120" w:before="0" w:line="360" w:lineRule="auto"/>
        <w:jc w:val="both"/>
      </w:pPr>
      <w:r>
        <w:rPr>
          <w:b/>
          <w:bCs/>
        </w:rPr>
        <w:t xml:space="preserve">Contribuição para o projeto. </w:t>
      </w:r>
      <w:r>
        <w:t xml:space="preserve">Fundamenta o núcleo do problema (anteprojeto → assimetria → seleção adversa → pleitos de REF) e a distinção imprevisão × seleção adversa, que dá lastro para separar o erro substancial nas condições de contorno (Ac. 2.429/2024) do risco ordinário do particular.</w:t>
      </w:r>
    </w:p>
    <w:p>
      <w:pPr>
        <w:spacing w:after="100" w:before="260" w:line="360" w:lineRule="auto"/>
      </w:pPr>
      <w:r>
        <w:rPr>
          <w:b/>
          <w:bCs/>
        </w:rPr>
        <w:t xml:space="preserve">1.2) ABEN, T.; VAN DER VALK, W.; ROEHRICH, J.; SELVIARIDIS, K. Managing information asymmetry in public–private relationships undergoing a digital transformation — Eixo 2.</w:t>
      </w:r>
    </w:p>
    <w:p>
      <w:pPr>
        <w:spacing w:after="120" w:before="0" w:line="360" w:lineRule="auto"/>
        <w:jc w:val="both"/>
      </w:pPr>
      <w:r>
        <w:rPr>
          <w:b/>
          <w:bCs/>
        </w:rPr>
        <w:t xml:space="preserve">Pergunta/objetivo. </w:t>
      </w:r>
      <w:r>
        <w:t xml:space="preserve">Investigar, teórica e empiricamente, como mecanismos de governança contratual e relacional endereçam a assimetria de informação (incerteza e equivocidade) ao capturar, compartilhar e interpretar dados gerados por tecnologias digitais em relações público-privadas.</w:t>
      </w:r>
    </w:p>
    <w:p>
      <w:pPr>
        <w:spacing w:after="120" w:before="0" w:line="360" w:lineRule="auto"/>
        <w:jc w:val="both"/>
      </w:pPr>
      <w:r>
        <w:rPr>
          <w:b/>
          <w:bCs/>
        </w:rPr>
        <w:t xml:space="preserve">Base teórica/conceitos. </w:t>
      </w:r>
      <w:r>
        <w:t xml:space="preserve">Information Processing Theory (IPT); governança contratual × relacional; assimetria decomposta em incerteza e equivocidade; parcerias público-privadas.</w:t>
      </w:r>
    </w:p>
    <w:p>
      <w:pPr>
        <w:spacing w:after="120" w:before="0" w:line="360" w:lineRule="auto"/>
        <w:jc w:val="both"/>
      </w:pPr>
      <w:r>
        <w:rPr>
          <w:b/>
          <w:bCs/>
        </w:rPr>
        <w:t xml:space="preserve">Método. </w:t>
      </w:r>
      <w:r>
        <w:t xml:space="preserve">Estudo de casos múltiplos — quatro relações público-privadas no setor de infraestrutura holandês em transformação digital; abordagem qualitativa.</w:t>
      </w:r>
    </w:p>
    <w:p>
      <w:pPr>
        <w:spacing w:after="120" w:before="0" w:line="360" w:lineRule="auto"/>
        <w:jc w:val="both"/>
      </w:pPr>
      <w:r>
        <w:rPr>
          <w:b/>
          <w:bCs/>
        </w:rPr>
        <w:t xml:space="preserve">Achados principais. </w:t>
      </w:r>
      <w:r>
        <w:t xml:space="preserve">Coleta/compartilhamento de informação reduzem incerteza e podem ser estipulados em contrato; a transformação/interpretação depende de mecanismos relacionais (confiança, flexibilidade, resolução conjunta) para lidar com a equivocidade; é preciso primeiro organizar a aquisição de dados para então tratar a sua interpretação.</w:t>
      </w:r>
    </w:p>
    <w:p>
      <w:pPr>
        <w:spacing w:after="120" w:before="0" w:line="360" w:lineRule="auto"/>
        <w:jc w:val="both"/>
      </w:pPr>
      <w:r>
        <w:rPr>
          <w:b/>
          <w:bCs/>
        </w:rPr>
        <w:t xml:space="preserve">Limitações. </w:t>
      </w:r>
      <w:r>
        <w:t xml:space="preserve">Quatro casos em um único setor/país (generalização limitada); foco na governança, não em ferramenta tecnológica; contexto de PPP, não de contratação integrada.</w:t>
      </w:r>
    </w:p>
    <w:p>
      <w:pPr>
        <w:spacing w:after="120" w:before="0" w:line="360" w:lineRule="auto"/>
        <w:jc w:val="both"/>
      </w:pPr>
      <w:r>
        <w:rPr>
          <w:b/>
          <w:bCs/>
        </w:rPr>
        <w:t xml:space="preserve">Contribuição para o projeto. </w:t>
      </w:r>
      <w:r>
        <w:t xml:space="preserve">Base teórica internacional que conecta assimetria ↔ tecnologia digital ↔ governança; a dicotomia incerteza/equivocidade ajuda a delimitar o que a IA resolve (dados) e o que exige juízo humano (interpretação), sustentando as salvaguardas de explicabilidade e humano no circuito.</w:t>
      </w:r>
    </w:p>
    <w:p>
      <w:pPr>
        <w:spacing w:after="100" w:before="260" w:line="360" w:lineRule="auto"/>
      </w:pPr>
      <w:r>
        <w:rPr>
          <w:b/>
          <w:bCs/>
        </w:rPr>
        <w:t xml:space="preserve">1.3) LOPES, P. H. C. AED e contratações públicas: o performance bond como instrumento para mitigar a assimetria de informações (Dissertação, FGV Direito Rio, 2019) — Eixo 2–3.</w:t>
      </w:r>
    </w:p>
    <w:p>
      <w:pPr>
        <w:spacing w:after="120" w:before="0" w:line="360" w:lineRule="auto"/>
        <w:jc w:val="both"/>
      </w:pPr>
      <w:r>
        <w:rPr>
          <w:b/>
          <w:bCs/>
        </w:rPr>
        <w:t xml:space="preserve">Pergunta/objetivo. </w:t>
      </w:r>
      <w:r>
        <w:t xml:space="preserve">Compreender, pela análise econômica do direito, as causas do elevado percentual de obras públicas paralisadas/abandonadas e avaliar o performance bond (seguro-garantia de cumprimento) como instrumento para mitigar a assimetria de informações.</w:t>
      </w:r>
    </w:p>
    <w:p>
      <w:pPr>
        <w:spacing w:after="120" w:before="0" w:line="360" w:lineRule="auto"/>
        <w:jc w:val="both"/>
      </w:pPr>
      <w:r>
        <w:rPr>
          <w:b/>
          <w:bCs/>
        </w:rPr>
        <w:t xml:space="preserve">Base teórica/conceitos. </w:t>
      </w:r>
      <w:r>
        <w:t xml:space="preserve">Análise Econômica do Direito (AED); assimetria de informação, seleção adversa e risco moral; garantias contratuais e eficiência; direito comparado (experiência norte-americana).</w:t>
      </w:r>
    </w:p>
    <w:p>
      <w:pPr>
        <w:spacing w:after="120" w:before="0" w:line="360" w:lineRule="auto"/>
        <w:jc w:val="both"/>
      </w:pPr>
      <w:r>
        <w:rPr>
          <w:b/>
          <w:bCs/>
        </w:rPr>
        <w:t xml:space="preserve">Método. </w:t>
      </w:r>
      <w:r>
        <w:t xml:space="preserve">AED como método (aplicação do instrumental econômico ao direito), em abordagem dogmático-normativa e comparada; inclui análise do PL 1.292/1995 (futura Lei 14.133/2021).</w:t>
      </w:r>
    </w:p>
    <w:p>
      <w:pPr>
        <w:spacing w:after="120" w:before="0" w:line="360" w:lineRule="auto"/>
        <w:jc w:val="both"/>
      </w:pPr>
      <w:r>
        <w:rPr>
          <w:b/>
          <w:bCs/>
        </w:rPr>
        <w:t xml:space="preserve">Achados principais. </w:t>
      </w:r>
      <w:r>
        <w:t xml:space="preserve">O performance bond, ao interpor um garantidor que seleciona e monitora o contratado, funciona como screening e incentivo que mitiga seleção adversa e risco moral, endereçando a paralisação de obras melhor que as garantias tradicionais — ressalvadas dificuldades de implantação.</w:t>
      </w:r>
    </w:p>
    <w:p>
      <w:pPr>
        <w:spacing w:after="120" w:before="0" w:line="360" w:lineRule="auto"/>
        <w:jc w:val="both"/>
      </w:pPr>
      <w:r>
        <w:rPr>
          <w:b/>
          <w:bCs/>
        </w:rPr>
        <w:t xml:space="preserve">Limitações. </w:t>
      </w:r>
      <w:r>
        <w:t xml:space="preserve">Trabalho teórico-normativo (sem validação empírica); centrado em um instrumento (garantia), não no anteprojeto; anterior à Lei 14.133/2021.</w:t>
      </w:r>
    </w:p>
    <w:p>
      <w:pPr>
        <w:spacing w:after="120" w:before="0" w:line="360" w:lineRule="auto"/>
        <w:jc w:val="both"/>
      </w:pPr>
      <w:r>
        <w:rPr>
          <w:b/>
          <w:bCs/>
        </w:rPr>
        <w:t xml:space="preserve">Contribuição para o projeto. </w:t>
      </w:r>
      <w:r>
        <w:t xml:space="preserve">Modelo estrutural de dissertação em Direito/AED aplicada a obras; demonstra a lógica “instrumento que mitiga assimetria” (a IA no lugar do bond); adensa o arcabouço seleção adversa/risco moral aplicado a obras públicas.</w:t>
      </w:r>
    </w:p>
    <w:p>
      <w:pPr>
        <w:spacing w:after="100" w:before="260" w:line="360" w:lineRule="auto"/>
      </w:pPr>
      <w:r>
        <w:rPr>
          <w:b/>
          <w:bCs/>
        </w:rPr>
        <w:t xml:space="preserve">1.4) GARBACCIO, G. L.; COSTA, P. J. N. da; REGO NETO, B. K. B. A influência da inteligência artificial no controle prévio das contratações públicas no Brasil e em Portugal — Eixo 1–4.</w:t>
      </w:r>
    </w:p>
    <w:p>
      <w:pPr>
        <w:spacing w:after="120" w:before="0" w:line="360" w:lineRule="auto"/>
        <w:jc w:val="both"/>
      </w:pPr>
      <w:r>
        <w:rPr>
          <w:b/>
          <w:bCs/>
        </w:rPr>
        <w:t xml:space="preserve">Pergunta/objetivo. </w:t>
      </w:r>
      <w:r>
        <w:t xml:space="preserve">Analisar a influência da IA no controle prévio das contratações públicas nas atividades de fiscalização do TCU (Brasil) e do Tribunal de Contas de Portugal, para gerir riscos e prevenir fraudes.</w:t>
      </w:r>
    </w:p>
    <w:p>
      <w:pPr>
        <w:spacing w:after="120" w:before="0" w:line="360" w:lineRule="auto"/>
        <w:jc w:val="both"/>
      </w:pPr>
      <w:r>
        <w:rPr>
          <w:b/>
          <w:bCs/>
        </w:rPr>
        <w:t xml:space="preserve">Base teórica/conceitos. </w:t>
      </w:r>
      <w:r>
        <w:t xml:space="preserve">Controle prévio/preventivo; IA aplicada à fiscalização; gestão de risco e prevenção à fraude; direito comparado Brasil–Portugal.</w:t>
      </w:r>
    </w:p>
    <w:p>
      <w:pPr>
        <w:spacing w:after="120" w:before="0" w:line="360" w:lineRule="auto"/>
        <w:jc w:val="both"/>
      </w:pPr>
      <w:r>
        <w:rPr>
          <w:b/>
          <w:bCs/>
        </w:rPr>
        <w:t xml:space="preserve">Método. </w:t>
      </w:r>
      <w:r>
        <w:t xml:space="preserve">Qualitativo — estudo bibliográfico e análise documental (publicações institucionais do TCU e do TC de Portugal); caráter comparativo.</w:t>
      </w:r>
    </w:p>
    <w:p>
      <w:pPr>
        <w:spacing w:after="120" w:before="0" w:line="360" w:lineRule="auto"/>
        <w:jc w:val="both"/>
      </w:pPr>
      <w:r>
        <w:rPr>
          <w:b/>
          <w:bCs/>
        </w:rPr>
        <w:t xml:space="preserve">Achados principais. </w:t>
      </w:r>
      <w:r>
        <w:t xml:space="preserve">O uso de IA no controle prévio está em desenvolvimento nos dois tribunais, com avanço maior no TCU (robôs Alice, Mônica, Adele, Sofia, Ágata e Carina) e potencial impacto positivo na fiscalização, sem eliminar por completo a fraude.</w:t>
      </w:r>
    </w:p>
    <w:p>
      <w:pPr>
        <w:spacing w:after="120" w:before="0" w:line="360" w:lineRule="auto"/>
        <w:jc w:val="both"/>
      </w:pPr>
      <w:r>
        <w:rPr>
          <w:b/>
          <w:bCs/>
        </w:rPr>
        <w:t xml:space="preserve">Limitações. </w:t>
      </w:r>
      <w:r>
        <w:t xml:space="preserve">Estudo descritivo/documental, sem métricas de eficácia nem validação empírica; sem detalhamento da arquitetura técnica das soluções.</w:t>
      </w:r>
    </w:p>
    <w:p>
      <w:pPr>
        <w:spacing w:after="120" w:before="0" w:line="360" w:lineRule="auto"/>
        <w:jc w:val="both"/>
      </w:pPr>
      <w:r>
        <w:rPr>
          <w:b/>
          <w:bCs/>
        </w:rPr>
        <w:t xml:space="preserve">Contribuição para o projeto. </w:t>
      </w:r>
      <w:r>
        <w:t xml:space="preserve">É a fonte mais próxima do recorte “IA no controle prévio (pré-decisório)”; ancora o argumento de que o controle preventivo por IA é caminho institucional em curso e fornece o mapa dos robôs do TCU, útil para posicionar o framework, que atua antes da licitação, sobre o anteprojeto.</w:t>
      </w:r>
    </w:p>
    <w:p>
      <w:pPr>
        <w:spacing w:after="100" w:before="260" w:line="360" w:lineRule="auto"/>
      </w:pPr>
      <w:r>
        <w:rPr>
          <w:b/>
          <w:bCs/>
        </w:rPr>
        <w:t xml:space="preserve">1.5) MENEZES, A. P. V. C.; RESENDE, C. C. de. Inteligência artificial para identificação de indícios de fraude e corrupção em compras públicas no TCU (RBGP, v. 1, n. 1, 2022) — Eixo 4.</w:t>
      </w:r>
    </w:p>
    <w:p>
      <w:pPr>
        <w:spacing w:after="120" w:before="0" w:line="360" w:lineRule="auto"/>
        <w:jc w:val="both"/>
      </w:pPr>
      <w:r>
        <w:rPr>
          <w:b/>
          <w:bCs/>
        </w:rPr>
        <w:t xml:space="preserve">Pergunta/objetivo. </w:t>
      </w:r>
      <w:r>
        <w:t xml:space="preserve">Avaliar a pertinência do uso de IA no controle das contas públicas e testar a eficácia da solução ALICE no combate à fraude e à corrupção nas licitações.</w:t>
      </w:r>
    </w:p>
    <w:p>
      <w:pPr>
        <w:spacing w:after="120" w:before="0" w:line="360" w:lineRule="auto"/>
        <w:jc w:val="both"/>
      </w:pPr>
      <w:r>
        <w:rPr>
          <w:b/>
          <w:bCs/>
        </w:rPr>
        <w:t xml:space="preserve">Base teórica/conceitos. </w:t>
      </w:r>
      <w:r>
        <w:t xml:space="preserve">IA e controle externo; análise automatizada de dados; dados abertos e transparência; tipologias de irregularidade.</w:t>
      </w:r>
    </w:p>
    <w:p>
      <w:pPr>
        <w:spacing w:after="120" w:before="0" w:line="360" w:lineRule="auto"/>
        <w:jc w:val="both"/>
      </w:pPr>
      <w:r>
        <w:rPr>
          <w:b/>
          <w:bCs/>
        </w:rPr>
        <w:t xml:space="preserve">Método. </w:t>
      </w:r>
      <w:r>
        <w:t xml:space="preserve">Estudo de caso do ALICE, com coleta qualitativa por estudo bibliográfico e análise documental (processos, acórdãos, relatórios do TCU), no período 2017–2020.</w:t>
      </w:r>
    </w:p>
    <w:p>
      <w:pPr>
        <w:spacing w:after="120" w:before="0" w:line="360" w:lineRule="auto"/>
        <w:jc w:val="both"/>
      </w:pPr>
      <w:r>
        <w:rPr>
          <w:b/>
          <w:bCs/>
        </w:rPr>
        <w:t xml:space="preserve">Achados principais. </w:t>
      </w:r>
      <w:r>
        <w:t xml:space="preserve">O ALICE — cooperação TCU–CGU — coleta diariamente editais e atas e testa tipologias de inconsistência; associou-se à proteção de gastos da ordem de R$ 291,4 milhões; registrou-se, porém, baixa incidência de responsabilização a partir de seus insumos.</w:t>
      </w:r>
    </w:p>
    <w:p>
      <w:pPr>
        <w:spacing w:after="120" w:before="0" w:line="360" w:lineRule="auto"/>
        <w:jc w:val="both"/>
      </w:pPr>
      <w:r>
        <w:rPr>
          <w:b/>
          <w:bCs/>
        </w:rPr>
        <w:t xml:space="preserve">Limitações. </w:t>
      </w:r>
      <w:r>
        <w:t xml:space="preserve">Estudo de caso único e descritivo; efetividade medida de forma indireta; a ferramenta opera sobre editais/atas (fase de licitação), com resultado sancionatório limitado — não atua sobre o anteprojeto pré-licitatório.</w:t>
      </w:r>
    </w:p>
    <w:p>
      <w:pPr>
        <w:spacing w:after="120" w:before="0" w:line="360" w:lineRule="auto"/>
        <w:jc w:val="both"/>
      </w:pPr>
      <w:r>
        <w:rPr>
          <w:b/>
          <w:bCs/>
        </w:rPr>
        <w:t xml:space="preserve">Contribuição para o projeto. </w:t>
      </w:r>
      <w:r>
        <w:t xml:space="preserve">Evidência institucional (CGU/TCU) da viabilidade da IA no controle e, criticamente, da lacuna que a pesquisa preenche: o ALICE age tarde (sobre o edital), enquanto o framework propõe agir antes, sobre o anteprojeto, evitando o periculum in mora reverso.</w:t>
      </w:r>
    </w:p>
    <w:p>
      <w:pPr>
        <w:spacing w:after="160" w:before="320" w:line="360" w:lineRule="auto"/>
      </w:pPr>
      <w:r>
        <w:rPr>
          <w:b/>
          <w:bCs/>
          <w:sz w:val="26"/>
          <w:szCs w:val="26"/>
        </w:rPr>
        <w:t xml:space="preserve">2 Fichamento — NÓBREGA (contratação integrada e reequilíbrio)</w:t>
      </w:r>
    </w:p>
    <w:p>
      <w:pPr>
        <w:spacing w:after="100" w:before="260" w:line="360" w:lineRule="auto"/>
      </w:pPr>
      <w:r>
        <w:rPr>
          <w:b/>
          <w:bCs/>
        </w:rPr>
        <w:t xml:space="preserve">2.1 Referência completa</w:t>
      </w:r>
    </w:p>
    <w:p>
      <w:pPr>
        <w:spacing w:after="120" w:before="0" w:line="360" w:lineRule="auto"/>
        <w:jc w:val="both"/>
      </w:pPr>
      <w:r>
        <w:t xml:space="preserve">NÓBREGA, Marcos. </w:t>
      </w:r>
      <w:r>
        <w:rPr>
          <w:b/>
          <w:bCs/>
        </w:rPr>
        <w:t xml:space="preserve">A contratação integrada no Regime Diferenciado de Contratação: inadequação da teoria da imprevisão como critério para o reequilíbrio econômico-financeiro do contrato. </w:t>
      </w:r>
      <w:r>
        <w:t xml:space="preserve">Revista Digital do MPC (Ministério Público de Contas), n. 12, seção Doutrina, p. 62 e ss. [ano a confirmar — c. 2013/2014; número/paginação final a conferir na cópia].</w:t>
      </w:r>
    </w:p>
    <w:p>
      <w:pPr>
        <w:spacing w:after="100" w:before="260" w:line="360" w:lineRule="auto"/>
      </w:pPr>
      <w:r>
        <w:rPr>
          <w:b/>
          <w:bCs/>
        </w:rPr>
        <w:t xml:space="preserve">2.2 Síntese das principais ideias, argumentos e achados</w:t>
      </w:r>
    </w:p>
    <w:p>
      <w:pPr>
        <w:spacing w:after="120" w:before="0" w:line="360" w:lineRule="auto"/>
        <w:jc w:val="both"/>
      </w:pPr>
      <w:r>
        <w:t xml:space="preserve">O artigo lê a contratação integrada do RDC (Lei 12.462/2011) — contrato do tipo design-build (DBTO), no qual o particular elabora o anteprojeto/projeto e executa a obra para atingir níveis de desempenho fixados pelo Governo — pela lente da economia dos contratos. Após situar a execução indireta de obras e conceituar o instituto, o autor sistematiza vantagens (concentração de responsabilidade; economia de tempo pela sobreposição de projeto e obra; potencial redução do preço final) e desvantagens (difícil comparação de propostas heterogêneas; risco de redução do número de licitantes).</w:t>
      </w:r>
    </w:p>
    <w:p>
      <w:pPr>
        <w:spacing w:after="120" w:before="0" w:line="360" w:lineRule="auto"/>
        <w:jc w:val="both"/>
      </w:pPr>
      <w:r>
        <w:t xml:space="preserve">A desvantagem mais relevante é o “risco do design down”: o incentivo do contratado a reduzir a complexidade do projeto básico para ganhar liberdade na execução e diminuir sua responsabilidade. Nóbrega adverte que os seguros usuais cobrem defeitos de execução, mas não o “desenho inadequado”, e antecipa que “haverá muitas” ações de reequilíbrio (REF). No núcleo teórico, sustenta que os contratos de infraestrutura são intrinsecamente incompletos (Araújo; Brousseau) — impossível prever todas as contingências e a completude tem custos de transação proibitivos. Daí o achado central: sob forte assimetria, invocar a teoria da imprevisão (de substrato volitivo) para o REF é equivocado, pois apenas amplia o risco de seleção adversa; quando a parte usa a vantagem informacional para auferir renda já na assinatura, há seleção adversa — não imprevisão. Conclui que as restrições do RDC ao REF são “inócuas” e propõe migrar para a teoria da base do negócio.</w:t>
      </w:r>
    </w:p>
    <w:p>
      <w:pPr>
        <w:spacing w:after="100" w:before="260" w:line="360" w:lineRule="auto"/>
      </w:pPr>
      <w:r>
        <w:rPr>
          <w:b/>
          <w:bCs/>
        </w:rPr>
        <w:t xml:space="preserve">2.3 Análise crítica (pontos fortes e limitações)</w:t>
      </w:r>
    </w:p>
    <w:p>
      <w:pPr>
        <w:spacing w:after="120" w:before="0" w:line="360" w:lineRule="auto"/>
        <w:jc w:val="both"/>
      </w:pPr>
      <w:r>
        <w:rPr>
          <w:b/>
          <w:bCs/>
        </w:rPr>
        <w:t xml:space="preserve">Pontos fortes. </w:t>
      </w:r>
      <w:r>
        <w:t xml:space="preserve">(i) Densidade e pioneirismo ao aplicar economia dos contratos — assimetria, custos de transação, incompletude e hold-up — a um tema geralmente tratado de modo dogmático; (ii) o conceito de design down nomeia com precisão o mecanismo de oportunismo do contratado sobre o anteprojeto; (iii) a distinção imprevisão × seleção adversa é analiticamente fértil e ganha peso pela reputação do autor.</w:t>
      </w:r>
    </w:p>
    <w:p>
      <w:pPr>
        <w:spacing w:after="120" w:before="0" w:line="360" w:lineRule="auto"/>
        <w:jc w:val="both"/>
      </w:pPr>
      <w:r>
        <w:rPr>
          <w:b/>
          <w:bCs/>
        </w:rPr>
        <w:t xml:space="preserve">Limitações. </w:t>
      </w:r>
      <w:r>
        <w:t xml:space="preserve">(i) É ensaio teórico-doutrinário, sem evidência empírica ou jurimetria; (ii) baseia-se no RDC (2011), anterior às Leis 13.303/2016 e 14.133/2021 e à jurisprudência recente do TCU; (iii) a alternativa proposta (teoria da base do negócio; seguro contra desenho inadequado) é apenas indicada, não operacionalizada; (iv) foca o remédio ex post (o critério do REF), sem enfrentar a prevenção pré-licitatória — justamente a lacuna que a pesquisa ocupa.</w:t>
      </w:r>
    </w:p>
    <w:p>
      <w:pPr>
        <w:spacing w:after="100" w:before="260" w:line="360" w:lineRule="auto"/>
      </w:pPr>
      <w:r>
        <w:rPr>
          <w:b/>
          <w:bCs/>
        </w:rPr>
        <w:t xml:space="preserve">2.4 Conexão com o projeto de pesquisa</w:t>
      </w:r>
    </w:p>
    <w:p>
      <w:pPr>
        <w:spacing w:after="120" w:before="0" w:line="360" w:lineRule="auto"/>
        <w:jc w:val="both"/>
      </w:pPr>
      <w:r>
        <w:t xml:space="preserve">O texto fornece o mecanismo causal da tese: anteprojeto de baixa precisão + design-build → assimetria e incompletude contratual → oportunismo (design down) → pleitos de REF. É a âncora teórica do Eixo 3, com ponte ao Eixo 2. Três desdobramentos:</w:t>
      </w:r>
    </w:p>
    <w:p>
      <w:pPr>
        <w:spacing w:after="120" w:before="0" w:line="360" w:lineRule="auto"/>
        <w:jc w:val="both"/>
      </w:pPr>
      <w:r>
        <w:rPr>
          <w:b/>
          <w:bCs/>
        </w:rPr>
        <w:t xml:space="preserve">(1) </w:t>
      </w:r>
      <w:r>
        <w:t xml:space="preserve">a distinção imprevisão × seleção adversa oferece critério para separar o “erro substancial nas condições de contorno” (indenizável — Ac. 2.429/2024) do risco ordinário do particular, e reforça por que o controle preventivo importa: se a assimetria já vicia a vontade na assinatura, o remédio ex post é insuficiente — o que corrobora a hipótese de agir antes da licitação.</w:t>
      </w:r>
    </w:p>
    <w:p>
      <w:pPr>
        <w:spacing w:after="120" w:before="0" w:line="360" w:lineRule="auto"/>
        <w:jc w:val="both"/>
      </w:pPr>
      <w:r>
        <w:rPr>
          <w:b/>
          <w:bCs/>
        </w:rPr>
        <w:t xml:space="preserve">(2) </w:t>
      </w:r>
      <w:r>
        <w:t xml:space="preserve">o design down e a incompletude contratual sustentam a taxonomia dos indutores de assimetria (lacunas de projeto, subdimensionamento de insumos, especificações deficientes), convertendo o alerta de Nóbrega (“haverá muitas ações de REF”) em objeto verificável por IA.</w:t>
      </w:r>
    </w:p>
    <w:p>
      <w:pPr>
        <w:spacing w:after="120" w:before="0" w:line="360" w:lineRule="auto"/>
        <w:jc w:val="both"/>
      </w:pPr>
      <w:r>
        <w:rPr>
          <w:b/>
          <w:bCs/>
        </w:rPr>
        <w:t xml:space="preserve">(3) </w:t>
      </w:r>
      <w:r>
        <w:t xml:space="preserve">ressalva metodológica: por ser anterior à Lei 14.133 e ao TCU recente, o texto deve ser usado como fundamento teórico — não como retrato normativo atual —, atualizando-o com as Leis 13.303/14.133 e os Acórdãos 686/2026, 2.429/2024 e 3.646/2026.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2026-09-15T21:38:24.660Z</dcterms:created>
  <dcterms:modified xsi:type="dcterms:W3CDTF">2026-09-15T21:38:24.673Z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