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 w:line="360" w:lineRule="auto"/>
        <w:ind w:firstLine="0"/>
        <w:jc w:val="center"/>
      </w:pPr>
      <w:r>
        <w:rPr>
          <w:rFonts w:ascii="Times New Roman" w:hAnsi="Times New Roman"/>
          <w:b/>
          <w:sz w:val="24"/>
        </w:rPr>
        <w:t>Autonomia capturada pela interinidade: a governança das agências reguladoras como objeto da auditoria operacional de controle</w:t>
      </w:r>
    </w:p>
    <w:p>
      <w:r>
        <w:t>A regulação de setores de infraestrutura por autarquias dotadas de autonomia reforçada constitui uma das mais expressivas inovações institucionais do Estado brasileiro pós-1988. Delegar a normatização, a fiscalização e a arbitragem de mercados sensíveis — energia, telecomunicações, transportes, petróleo, gás — a entes tecnicamente qualificados e blindados contra a oscilação político-partidária pressupõe que a qualidade da decisão regulatória depende, antes de tudo, de sua independência. É justamente essa premissa que o Acórdão 240/2015-TCU-Plenário (TC 031.996/2013-2) coloca à prova. O ponto que proponho examinar é preciso: a vacância e a interinidade prolongadas nos colegiados das agências operam como uma forma silenciosa de captura — uma captura por omissão — que corrói a autonomia decisória sem violar formalmente a legalidade, e que só se torna visível quando o controle abandona a lente da conformidade e adota a da auditoria operacional de governança.</w:t>
      </w:r>
    </w:p>
    <w:p>
      <w:r>
        <w:t>O modelo das agências foi concebido para subtrair certas decisões ao ciclo eleitoral. Como registra o próprio relatório de auditoria, trata-se de “ente administrativo técnico, altamente especializado e sobretudo impermeável às injunções e oscilações típicas do processo político” (GOMES, 2005 apud BRASIL, 2015). A autonomia decisória, financeira e administrativa não é privilégio corporativo, mas instrumento: destina-se a conferir previsibilidade regulatória e a proteger investimentos de longa maturação contra o oportunismo do governo de ocasião. A investidura a termo dos dirigentes, a vedação à exoneração ad nutum e a sabatina pelo Senado compõem o arranjo que confere credibilidade ao regulador perante o mercado e a sociedade.</w:t>
      </w:r>
    </w:p>
    <w:p>
      <w:r>
        <w:t>O que a auditoria revela, contudo, é que esse arranjo pode ser esvaziado sem que norma alguma seja formalmente descumprida. Entre 2010 e 2013, três das cinco cadeiras da diretoria da Agência Nacional de Transportes Terrestres permaneceram ocupadas de forma ininterrupta por interinos indicados pelo Executivo e não sabatinados pelo Senado durante 649 dias; na Agência Nacional de Transportes Aquaviários, duas das três vagas por 384 dias. Interinos não gozam das garantias do cargo — mandato fixo e vedação à demissão ad nutum — e podem ser destituídos a qualquer tempo por quem os nomeou, bastando não mais atenderem às expectativas de quem os colocou. O Tribunal foi categórico: a nomeação direta de interinos por prazo indeterminado, subtraindo do Legislativo o crivo sobre os dirigentes, configura “burla ao sistema de indicação e nomeação”. Aqui está o núcleo do argumento: a demora deliberada em prover os cargos titulares converte a exceção — a interinidade — em regra e transfere ao Executivo um poder de fato sobre decisões que a lei quis autônomas.</w:t>
      </w:r>
    </w:p>
    <w:p>
      <w:r>
        <w:t>Esse achado seria invisível a um controle estritamente legalista. Não há desvio de recursos, não há ato nulo, não há descumprimento pontual de dispositivo; cada nomeação de interino é, isoladamente, lícita. O que se degrada é a governança — a capacidade sistêmica de a organização decidir de modo técnico e imune a ingerências. A auditoria operacional, orientada por referenciais de boas práticas como o Referencial Básico de Governança do TCU e as diretrizes da Organização para a Cooperação e Desenvolvimento Econômico (OCDE, 2013 apud BRASIL, 2015), permite avaliar não a legalidade do ato, mas a maturidade das condições que sustentam a decisão. Não por acaso, o mesmo trabalho constatou que apenas uma das seis agências dispunha de planejamento estratégico vigente, que nenhuma possuía política institucionalizada de gestão de riscos e que a Análise de Impacto Regulatório era incipiente. São falhas de desempenho e de governança, não de legalidade — e é essa a fronteira que distingue o controle contemporâneo do controle de contas tradicional.</w:t>
      </w:r>
    </w:p>
    <w:p>
      <w:r>
        <w:t>A relevância prática do diagnóstico confirma-se na resposta institucional que ele ajudou a catalisar. A Lei nº 13.848/2019, quatro anos posterior ao Acórdão, incorporou boa parte dessa agenda: mandatos fixos e não coincidentes, exigência de Análise de Impacto Regulatório (art. 6º), gestão de riscos e programa de integridade (art. 3º, § 3º), planejamento estratégico quadrienal e agenda regulatória (arts. 17 a 21) e prestação de contas ao Congresso com auxílio do TCU (art. 14). Mais do que isso, fixou no art. 4º um princípio que sintetiza o espírito do controle de governança: a agência deve observar “a devida adequação entre meios e fins, vedada a imposição de obrigações, restrições e sanções em medida superior àquela necessária ao atendimento do interesse público”. A proporcionalidade deixou de ser diretriz doutrinária para tornar-se dever legal — e, note-se, um dever que vincula o regulador tanto quanto deveria vincular o próprio controlador.</w:t>
      </w:r>
    </w:p>
    <w:p>
      <w:r>
        <w:t>Para o auditor federal de finanças e controle e para a Controladoria-Geral da União, o caso encerra uma lição sobre a natureza do controle. A intervenção do TCU, no episódio, não reduziu a autonomia das agências: protegeu-a. O controle atuou como garantia das condições de decisão técnica contra a captura política — exatamente o papel que O’Donnell (1999) atribui às instituições de accountability horizontal no que denomina Estado que se autolimita. É um controle que fortalece a capacidade estatal, e não que a constrange. A distinção é decisiva para a CGU, cuja atuação avança da verificação de conformidade para a avaliação de governança e integridade: o valor entregue pelo controle não está em multiplicar exigências, mas em identificar as condições institucionais cuja ausência compromete o interesse público — e em recomendá-las na medida exata de sua necessidade.</w:t>
      </w:r>
    </w:p>
    <w:p>
      <w:r>
        <w:t>Concluo que a interinidade prolongada nas agências reguladoras é mais do que uma disfunção administrativa: é um teste sobre o que o controle é capaz de enxergar e sobre o que é capaz de proteger. Enxergá-la exigiu auditoria operacional; enfrentá-la exigiu recomendações de governança, não autos de infração. A agenda que daí decorre para o auditor é dupla: deslocar o foco da legalidade do ato para a sustentabilidade das condições de decisão e exercer esse controle com a mesma proporcionalidade que hoje se exige do regulador. Controlar, nesse registro, é assegurar que a decisão administrativa permaneça técnica, impessoal e imune à captura — o que faz do controle, quando bem calibrado, não um limite à boa administração, mas sua condição de possibilidade.</w:t>
      </w:r>
    </w:p>
    <w:p>
      <w:pPr>
        <w:spacing w:before="360" w:after="120" w:line="360" w:lineRule="auto"/>
        <w:ind w:firstLine="0"/>
        <w:jc w:val="left"/>
      </w:pPr>
      <w:r>
        <w:rPr>
          <w:b/>
        </w:rPr>
        <w:t>REFERÊNCIAS</w:t>
      </w:r>
    </w:p>
    <w:p>
      <w:pPr>
        <w:spacing w:line="240" w:lineRule="auto" w:after="120"/>
        <w:ind w:firstLine="0"/>
        <w:jc w:val="left"/>
      </w:pPr>
      <w:r>
        <w:t>BRASIL. Lei nº 13.848, de 25 de junho de 2019. Dispõe sobre a gestão, a organização, o processo decisório e o controle social das agências reguladoras. Diário Oficial da União, Brasília, DF, 26 jun. 2019.</w:t>
      </w:r>
    </w:p>
    <w:p>
      <w:pPr>
        <w:spacing w:line="240" w:lineRule="auto" w:after="120"/>
        <w:ind w:firstLine="0"/>
        <w:jc w:val="left"/>
      </w:pPr>
      <w:r>
        <w:t>BRASIL. Tribunal de Contas da União. Acórdão nº 240/2015 – Plenário. Relatório de Auditoria Operacional. Avaliação da governança das agências reguladoras de infraestrutura (TC 031.996/2013-2). Relator: Ministro Raimundo Carreiro. Brasília: TCU, sessão de 11 fev. 2015.</w:t>
      </w:r>
    </w:p>
    <w:p>
      <w:pPr>
        <w:spacing w:line="240" w:lineRule="auto" w:after="120"/>
        <w:ind w:firstLine="0"/>
        <w:jc w:val="left"/>
      </w:pPr>
      <w:r>
        <w:t>BRASIL. Tribunal de Contas da União. Referencial básico de governança aplicável a órgãos e entidades da administração pública. Brasília: TCU, 2013.</w:t>
      </w:r>
    </w:p>
    <w:p>
      <w:pPr>
        <w:spacing w:line="240" w:lineRule="auto" w:after="120"/>
        <w:ind w:firstLine="0"/>
        <w:jc w:val="left"/>
      </w:pPr>
      <w:r>
        <w:t>GOMES, J. 2005 apud BRASIL. Tribunal de Contas da União. Acórdão nº 240/2015 – Plenário. Brasília: TCU, 2015.</w:t>
      </w:r>
    </w:p>
    <w:p>
      <w:pPr>
        <w:spacing w:line="240" w:lineRule="auto" w:after="120"/>
        <w:ind w:firstLine="0"/>
        <w:jc w:val="left"/>
      </w:pPr>
      <w:r>
        <w:t>O’DONNELL, Guillermo. Horizontal accountability in new democracies. In: SCHEDLER, Andreas; DIAMOND, Larry; PLATTNER, Marc F. (Eds.). The self-restraining state: power and accountability in new democracies. Boulder: Lynne Rienner Publishers, 1999. p. 29-51.</w:t>
      </w:r>
    </w:p>
    <w:p>
      <w:pPr>
        <w:spacing w:line="240" w:lineRule="auto" w:after="120"/>
        <w:ind w:firstLine="0"/>
        <w:jc w:val="left"/>
      </w:pPr>
      <w:r>
        <w:t>ORGANIZAÇÃO PARA A COOPERAÇÃO E DESENVOLVIMENTO ECONÔMICO. The governance of regulators. Paris: OECD Publishing, 2013.</w:t>
      </w:r>
    </w:p>
    <w:sectPr w:rsidR="00FC693F" w:rsidRPr="0006063C" w:rsidSect="00034616">
      <w:pgSz w:w="11906" w:h="16838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652"/>
      <w:jc w:val="both"/>
    </w:pPr>
    <w:rPr>
      <w:rFonts w:ascii="Times New Roman" w:hAnsi="Times New Roman" w:cs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