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36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Ilhas de excelência e o custo do controle: por uma análise de impacto da própria atividade de controle na CGU</w:t>
      </w:r>
    </w:p>
    <w:p>
      <w:r>
        <w:t>Fernando Filgueiras propõe uma imagem tão incômoda quanto precisa para descrever o controle da administração pública no Brasil: não há uma burocracia do controle, mas uma “ecologia de burocracias” — um sistema de organizações interdependentes que, no núcleo federal, reúne o Tribunal de Contas da União, o Ministério Público, a Polícia Federal e a Controladoria-Geral da União. O ponto que desejo desenvolver parte de um paradoxo dessa ecologia: as instituições de accountability brasileiras fortaleceram-se de modo notável em suas dimensões interna e externa — carreiras, orçamento, autonomia, competências —, sem que se desenvolvesse a dimensão sistêmica que as tornaria um sistema de fato. O resultado é um controle robusto em cada nó e frágil no conjunto, cujo custo raramente é medido. Sustento que a saída para esse impasse passa por uma exigência reflexiva: submeter a própria atividade de controle à mesma racionalidade de proporcionalidade e de análise de impacto que o controle impõe à Administração.</w:t>
      </w:r>
    </w:p>
    <w:p>
      <w:r>
        <w:t>A análise de Filgueiras (2018) distingue três motores da mudança institucional: fatores exógenos — a Constituição de 1988, a Lei de Responsabilidade Fiscal, os escândalos de corrupção —, fatores endógenos — a estruturação de carreiras de elite e a expansão orçamentária — e fatores sistêmicos, relativos à interação entre as instituições do arranjo. Os dois primeiros avançaram; o terceiro, não. Cada organização tornou-se uma “ilha de excelência”, autônoma e altamente capacitada, mas voltada à disputa por reconhecimento perante a opinião pública e à retenção estratégica da informação. Falta o que o autor chama de sequenciamento: a coordenação e a cooperação que converteriam competências sobrepostas em ação integrada.</w:t>
      </w:r>
    </w:p>
    <w:p>
      <w:r>
        <w:t>O episódio dos acordos de leniência ilustra o custo dessa descoordenação. A Lei nº 12.846/2013 criou o instrumento, mas a disputa entre CGU, TCU, Ministério Público Federal e Polícia Federal sobre quem teria a prerrogativa de conduzi-lo — cada instituição reivindicando protagonismo — esvaziou, na prática, a segurança jurídica de que o mecanismo dependia. Empresas dispostas a colaborar defrontavam-se com o risco de acordos firmados com um órgão e desconsiderados por outro. A sobreposição de competências, que no papel deveria reforçar o controle, produziu incerteza e paralisia. O que falhou não foi a capacidade de cada instituição, mas a ausência de um sistema que as articulasse.</w:t>
      </w:r>
    </w:p>
    <w:p>
      <w:r>
        <w:t>Essa dinâmica tem um preço que o próprio Filgueiras (2018) aponta, apoiado em Anechiarico (2010): o excesso de controle, somado à fragilidade das burocracias finalísticas, reduz a discricionariedade do gestor, amplia os custos de transação e cria constrangimentos ao investimento e à inovação. Ao interpretar normas, fixar entendimentos e antecipar-se ao processo decisório, o controlador desloca-se do papel de fiscalizador para o de coautor da política — sem, contudo, responder por seus resultados. Instala-se aquilo que a literatura da gestão pública tem chamado de administração do medo: o gestor honesto que, diante da imprevisibilidade do controle, opta pela inação defensiva. O controle que se propunha a proteger o interesse público passa, no limite, a onerá-lo.</w:t>
      </w:r>
    </w:p>
    <w:p>
      <w:r>
        <w:t>Daí a proposição central deste insight. Se o controle exige da Administração — e, no caso das agências reguladoras, exige por força do art. 4º da Lei nº 13.848/2019 — a adequação entre meios e fins e a realização de Análise de Impacto Regulatório antes de impor obrigações, é coerente que submeta a si próprio exigência análoga. Chamo-a de análise de impacto do controle: a avaliação, ex ante, dos custos de transação, dos efeitos sobre a discricionariedade legítima e dos riscos de recuo defensivo que uma recomendação, uma determinação ou uma sanção pode provocar. A exigência não é estranha ao ordenamento: a Lei nº 13.655/2018, ao alterar a Lei de Introdução às Normas do Direito Brasileiro, já determina que o controlador considere as consequências práticas de suas decisões (art. 20) e as circunstâncias reais do gestor (art. 22), vedando a invalidação de atos com base em valores abstratos sem a ponderação de seus efeitos concretos. A auditoria baseada em risco, que a CGU vem adotando, caminha na mesma direção: concentrar o esforço de controle onde o impacto é maior, poupando a Administração de exigências desproporcionais.</w:t>
      </w:r>
    </w:p>
    <w:p>
      <w:r>
        <w:t>Há, por fim, uma dimensão democrática nessa autolimitação. Filgueiras, na esteira de Rosanvallon (2006), adverte que instituições de controle empoderadas e movidas pela desconfiança podem deslocar a legitimidade do sistema representativo para uma lógica contramajoritária, na qual o controlador se apresenta como guardião de um interesse público difuso. Um controle que não mede o próprio impacto tende a esse excesso. Ao contrário, o controle que se autolimita — que se submete à proporcionalidade e à evidência — reencontra o sentido que O’Donnell (1999) atribuiu à accountability horizontal: o de um Estado que se autolimita para fortalecer, e não para substituir, a decisão democrática.</w:t>
      </w:r>
    </w:p>
    <w:p>
      <w:r>
        <w:t>O velho dilema com que Filgueiras encerra seu texto — quem controla o controlador? — não se resolve criando mais uma instância de controle sobre as existentes, o que apenas estenderia a ecologia de ilhas. Resolve-se, a meu ver, por dentro: fazendo o controlador incorporar, na própria atuação, a racionalidade que cobra dos outros. Para a CGU e para o auditor federal de finanças e controle, isso significa medir o custo do que se recomenda, coordenar-se com os demais nós do sistema e reservar a força do controle para onde ela gera mais valor público. O controle se legitima menos por sua intensidade do que por sua proporcionalidade — e é essa, talvez, a resposta profissional mais honesta ao dilema de quem controla o controlador.</w:t>
      </w:r>
    </w:p>
    <w:p>
      <w:pPr>
        <w:spacing w:before="360" w:after="120" w:line="360" w:lineRule="auto"/>
        <w:ind w:firstLine="0"/>
        <w:jc w:val="left"/>
      </w:pPr>
      <w:r>
        <w:rPr>
          <w:b/>
        </w:rPr>
        <w:t>REFERÊNCIAS</w:t>
      </w:r>
    </w:p>
    <w:p>
      <w:pPr>
        <w:spacing w:line="240" w:lineRule="auto" w:after="120"/>
        <w:ind w:firstLine="0"/>
        <w:jc w:val="left"/>
      </w:pPr>
      <w:r>
        <w:t>ANECHIARICO, Frank. La corrupción y el control de la corrupción como impedimentos para la competitividad económica. Gestión y Política Pública, México, v. 19, n. 2, p. 239-261, 2010.</w:t>
      </w:r>
    </w:p>
    <w:p>
      <w:pPr>
        <w:spacing w:line="240" w:lineRule="auto" w:after="120"/>
        <w:ind w:firstLine="0"/>
        <w:jc w:val="left"/>
      </w:pPr>
      <w:r>
        <w:t>BRASIL. Lei nº 12.846, de 1º de agosto de 2013. Dispõe sobre a responsabilização administrativa e civil de pessoas jurídicas pela prática de atos contra a administração pública. Diário Oficial da União, Brasília, DF, 2 ago. 2013.</w:t>
      </w:r>
    </w:p>
    <w:p>
      <w:pPr>
        <w:spacing w:line="240" w:lineRule="auto" w:after="120"/>
        <w:ind w:firstLine="0"/>
        <w:jc w:val="left"/>
      </w:pPr>
      <w:r>
        <w:t>BRASIL. Lei nº 13.655, de 25 de abril de 2018. Inclui no Decreto-Lei nº 4.657/1942 (LINDB) disposições sobre segurança jurídica e eficiência na criação e na aplicação do direito público. Diário Oficial da União, Brasília, DF, 26 abr. 2018.</w:t>
      </w:r>
    </w:p>
    <w:p>
      <w:pPr>
        <w:spacing w:line="240" w:lineRule="auto" w:after="120"/>
        <w:ind w:firstLine="0"/>
        <w:jc w:val="left"/>
      </w:pPr>
      <w:r>
        <w:t>BRASIL. Lei nº 13.848, de 25 de junho de 2019. Dispõe sobre a gestão, a organização, o processo decisório e o controle social das agências reguladoras. Diário Oficial da União, Brasília, DF, 26 jun. 2019.</w:t>
      </w:r>
    </w:p>
    <w:p>
      <w:pPr>
        <w:spacing w:line="240" w:lineRule="auto" w:after="120"/>
        <w:ind w:firstLine="0"/>
        <w:jc w:val="left"/>
      </w:pPr>
      <w:r>
        <w:t>FILGUEIRAS, Fernando. Burocracias do controle, controle da burocracia e accountability no Brasil. In: PIRES, Roberto; LOTTA, Gabriela; OLIVEIRA, Vanessa Elias de (Orgs.). Burocracia e políticas públicas no Brasil: interseções analíticas. Brasília: Ipea; Enap, 2018. p. 355-381.</w:t>
      </w:r>
    </w:p>
    <w:p>
      <w:pPr>
        <w:spacing w:line="240" w:lineRule="auto" w:after="120"/>
        <w:ind w:firstLine="0"/>
        <w:jc w:val="left"/>
      </w:pPr>
      <w:r>
        <w:t>O’DONNELL, Guillermo. Horizontal accountability in new democracies. In: SCHEDLER, Andreas; DIAMOND, Larry; PLATTNER, Marc F. (Eds.). The self-restraining state: power and accountability in new democracies. Boulder: Lynne Rienner Publishers, 1999. p. 29-51.</w:t>
      </w:r>
    </w:p>
    <w:p>
      <w:pPr>
        <w:spacing w:line="240" w:lineRule="auto" w:after="120"/>
        <w:ind w:firstLine="0"/>
        <w:jc w:val="left"/>
      </w:pPr>
      <w:r>
        <w:t>ROSANVALLON, Pierre. La contre-démocratie: la politique à l’âge de la défiance. Paris: Seuil, 2006.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652"/>
      <w:jc w:val="both"/>
    </w:pPr>
    <w:rPr>
      <w:rFonts w:ascii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