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b/>
        </w:rPr>
        <w:t>CONTROLADORIA-GERAL DA UNIÃO</w:t>
      </w:r>
    </w:p>
    <w:p>
      <w:pPr>
        <w:spacing w:after="240"/>
        <w:jc w:val="center"/>
      </w:pPr>
      <w:r>
        <w:rPr>
          <w:b/>
        </w:rPr>
        <w:t>NOTA TÉCNICA Nº ____/2026/SIPRI</w:t>
      </w:r>
    </w:p>
    <w:p>
      <w:pPr>
        <w:spacing w:after="40"/>
      </w:pPr>
      <w:r>
        <w:rPr>
          <w:b/>
        </w:rPr>
        <w:t>PROCESSO Nº</w:t>
      </w:r>
      <w:r>
        <w:t xml:space="preserve"> </w:t>
      </w:r>
      <w:r>
        <w:rPr>
          <w:highlight w:val="yellow"/>
        </w:rPr>
        <w:t>[número do processo de reabilitação; se o pedido tramita nos autos do PAR, 00190.105349/2020-07]</w:t>
      </w:r>
    </w:p>
    <w:p>
      <w:pPr>
        <w:spacing w:after="40"/>
      </w:pPr>
      <w:r>
        <w:rPr>
          <w:b/>
        </w:rPr>
        <w:t>INTERESSADO:</w:t>
      </w:r>
      <w:r>
        <w:t xml:space="preserve"> DECAL BRASIL LTDA., CNPJ nº 03.973.894/0001-94.</w:t>
      </w:r>
    </w:p>
    <w:p>
      <w:pPr>
        <w:keepNext/>
        <w:spacing w:before="200"/>
      </w:pPr>
      <w:r>
        <w:rPr>
          <w:b/>
        </w:rPr>
        <w:t>1.</w:t>
        <w:tab/>
        <w:t>ASSUNTO</w:t>
      </w:r>
    </w:p>
    <w:p>
      <w:pPr>
        <w:tabs>
          <w:tab w:pos="709" w:val="left"/>
        </w:tabs>
        <w:jc w:val="both"/>
      </w:pPr>
      <w:r>
        <w:t>1.1.</w:t>
        <w:tab/>
      </w:r>
      <w:r>
        <w:t>Análise de pedido de reabilitação formulado pela pessoa jurídica DECAL BRASIL LTDA., CNPJ nº 03.973.894/0001-94.</w:t>
      </w:r>
    </w:p>
    <w:p>
      <w:pPr>
        <w:keepNext/>
        <w:spacing w:before="200"/>
      </w:pPr>
      <w:r>
        <w:rPr>
          <w:b/>
        </w:rPr>
        <w:t>2.</w:t>
        <w:tab/>
        <w:t>REFERÊNCIAS</w:t>
      </w:r>
    </w:p>
    <w:p>
      <w:pPr>
        <w:tabs>
          <w:tab w:pos="709" w:val="left"/>
        </w:tabs>
        <w:jc w:val="left"/>
      </w:pPr>
      <w:r>
        <w:t>2.1.</w:t>
        <w:tab/>
      </w:r>
      <w:r>
        <w:t>Lei nº 8.666, de 21 de junho de 1993;</w:t>
      </w:r>
    </w:p>
    <w:p>
      <w:pPr>
        <w:tabs>
          <w:tab w:pos="709" w:val="left"/>
        </w:tabs>
        <w:jc w:val="left"/>
      </w:pPr>
      <w:r>
        <w:t>2.2.</w:t>
        <w:tab/>
      </w:r>
      <w:r>
        <w:t>Lei nº 12.846, de 1º de agosto de 2013;</w:t>
      </w:r>
    </w:p>
    <w:p>
      <w:pPr>
        <w:tabs>
          <w:tab w:pos="709" w:val="left"/>
        </w:tabs>
        <w:jc w:val="left"/>
      </w:pPr>
      <w:r>
        <w:t>2.3.</w:t>
        <w:tab/>
      </w:r>
      <w:r>
        <w:t>Decreto nº 8.420, de 18 de março de 2015, e Decreto nº 11.129, de 11 de julho de 2022;</w:t>
      </w:r>
    </w:p>
    <w:p>
      <w:pPr>
        <w:tabs>
          <w:tab w:pos="709" w:val="left"/>
        </w:tabs>
        <w:jc w:val="left"/>
      </w:pPr>
      <w:r>
        <w:t>2.4.</w:t>
        <w:tab/>
      </w:r>
      <w:r>
        <w:t>Portaria CGU nº 1.214, de 8 de junho de 2020;</w:t>
      </w:r>
    </w:p>
    <w:p>
      <w:pPr>
        <w:tabs>
          <w:tab w:pos="709" w:val="left"/>
        </w:tabs>
        <w:jc w:val="left"/>
      </w:pPr>
      <w:r>
        <w:t>2.5.</w:t>
        <w:tab/>
      </w:r>
      <w:r>
        <w:t>Portaria Normativa CGU nº 54, de 14 de fevereiro de 2023;</w:t>
      </w:r>
    </w:p>
    <w:p>
      <w:pPr>
        <w:tabs>
          <w:tab w:pos="709" w:val="left"/>
        </w:tabs>
        <w:jc w:val="left"/>
      </w:pPr>
      <w:r>
        <w:t>2.6.</w:t>
        <w:tab/>
      </w:r>
      <w:r>
        <w:t>Portaria Normativa SE/CGU nº 226, de 9 de setembro de 2025;</w:t>
      </w:r>
    </w:p>
    <w:p>
      <w:pPr>
        <w:tabs>
          <w:tab w:pos="709" w:val="left"/>
        </w:tabs>
        <w:jc w:val="left"/>
      </w:pPr>
      <w:r>
        <w:t>2.7.</w:t>
        <w:tab/>
      </w:r>
      <w:r>
        <w:t>Portaria Normativa Interministerial CGU/AGU nº 1, de 19 de dezembro de 2025.</w:t>
      </w:r>
    </w:p>
    <w:p>
      <w:pPr>
        <w:tabs>
          <w:tab w:pos="709" w:val="left"/>
        </w:tabs>
        <w:jc w:val="left"/>
      </w:pPr>
      <w:r>
        <w:t>2.8.</w:t>
        <w:tab/>
      </w:r>
      <w:r>
        <w:rPr>
          <w:highlight w:val="yellow"/>
        </w:rPr>
        <w:t>[inserir outras referências utilizadas nos tópicos dos incisos I e III, se houver]</w:t>
      </w:r>
    </w:p>
    <w:p>
      <w:pPr>
        <w:keepNext/>
        <w:spacing w:before="200"/>
      </w:pPr>
      <w:r>
        <w:rPr>
          <w:b/>
        </w:rPr>
        <w:t>3.</w:t>
        <w:tab/>
        <w:t>SUMÁRIO EXECUTIVO</w:t>
      </w:r>
    </w:p>
    <w:p>
      <w:pPr>
        <w:tabs>
          <w:tab w:pos="709" w:val="left"/>
        </w:tabs>
        <w:jc w:val="both"/>
      </w:pPr>
      <w:r>
        <w:t>3.1.</w:t>
        <w:tab/>
      </w:r>
      <w:r>
        <w:t>Trata-se de pedido de reabilitação formulado pela pessoa jurídica DECAL BRASIL LTDA., CNPJ nº 03.973.894/0001-94.</w:t>
      </w:r>
    </w:p>
    <w:p>
      <w:pPr>
        <w:tabs>
          <w:tab w:pos="709" w:val="left"/>
        </w:tabs>
        <w:jc w:val="both"/>
      </w:pPr>
      <w:r>
        <w:t>3.2.</w:t>
        <w:tab/>
      </w:r>
      <w:r>
        <w:t>Em síntese, a empresa respondeu ao Processo Administrativo de Responsabilização (PAR) nº 00190.105349/2020-07, no âmbito desta Controladoria-Geral da União, em razão do pagamento de US$ 868.450,00 em vantagens indevidas por seu representante nas negociações com a Petrobras, Mariano Marcondes Ferraz, ao então Diretor de Abastecimento da estatal, Paulo Roberto Costa. Os pagamentos ocorreram entre 19/05/2011 e 21/02/2014 e visavam facilitar a renovação do contrato de armazenagem de granéis líquidos no Porto de Suape, celebrada em 01/05/2012 no valor de R$ 280.013.236,00 (Relatório Final, SEI 1843086, §§ 2 a 5).</w:t>
      </w:r>
    </w:p>
    <w:p>
      <w:pPr>
        <w:tabs>
          <w:tab w:pos="709" w:val="left"/>
        </w:tabs>
        <w:jc w:val="both"/>
      </w:pPr>
      <w:r>
        <w:t>3.3.</w:t>
        <w:tab/>
      </w:r>
      <w:r>
        <w:t>O PAR culminou com a Decisão nº 9, assinada em 09/02/2023 e publicada em 10/02/2023 (SEI 2646749). Por meio dela, o Exmo. Sr. Ministro de Estado da CGU aplicou à pessoa jurídica as penalidades de declaração de inidoneidade para licitar ou contratar com a Administração Pública (art. 87, IV, da Lei nº 8.666/1993), multa de R$ 3.905.734,97 e publicação extraordinária da decisão (art. 6º, I e II, da Lei nº 12.846/2013). A sanção decorreu da prática dos atos lesivos tipificados no art. 88, III, da Lei nº 8.666/1993 e no art. 5º, I e IV, "d", da Lei nº 12.846/2013. A decisão adotou como fundamento, em parte, o Relatório Final da Comissão de PAR e, ainda, o Parecer nº 00199/2021/CONJUR-CGU/CGU/AGU.</w:t>
      </w:r>
    </w:p>
    <w:p>
      <w:pPr>
        <w:tabs>
          <w:tab w:pos="709" w:val="left"/>
        </w:tabs>
        <w:jc w:val="both"/>
      </w:pPr>
      <w:r>
        <w:t>3.4.</w:t>
        <w:tab/>
      </w:r>
      <w:r>
        <w:t>O pedido de reconsideração da empresa foi indeferido pela Decisão nº 347 (SEI 2991463), publicada no DOU de 27/10/2023.</w:t>
      </w:r>
    </w:p>
    <w:p>
      <w:pPr>
        <w:tabs>
          <w:tab w:pos="709" w:val="left"/>
        </w:tabs>
        <w:jc w:val="both"/>
      </w:pPr>
      <w:r>
        <w:t>3.5.</w:t>
        <w:tab/>
      </w:r>
      <w:r>
        <w:rPr>
          <w:highlight w:val="yellow"/>
        </w:rPr>
        <w:t>[inserir: início dos efeitos da sanção e períodos de suspensão por decisões judiciais (AI nº 0815236-74.2023.4.05.0000 e AI nº 0809667-58.2024.4.05.0000), conforme o tópico do primeiro requisito]</w:t>
      </w:r>
    </w:p>
    <w:p>
      <w:pPr>
        <w:tabs>
          <w:tab w:pos="709" w:val="left"/>
        </w:tabs>
        <w:jc w:val="both"/>
      </w:pPr>
      <w:r>
        <w:t>3.6.</w:t>
        <w:tab/>
      </w:r>
      <w:r>
        <w:t xml:space="preserve">Em 21/09/2026, a pessoa jurídica apresentou pedido de reabilitação (SEI 4250406), com fundamento no art. 87, IV e § 3º, da Lei nº 8.666/1993, e em 14/10/2026 juntou novos documentos. </w:t>
      </w:r>
      <w:r>
        <w:rPr>
          <w:highlight w:val="yellow"/>
        </w:rPr>
        <w:t>[conferir e completar: petições SEI 4187435, de 03/08/2026, e SEI 4250362, de 21/09/2026]</w:t>
      </w:r>
    </w:p>
    <w:p>
      <w:pPr>
        <w:keepNext/>
        <w:spacing w:before="200"/>
      </w:pPr>
      <w:r>
        <w:rPr>
          <w:b/>
        </w:rPr>
        <w:t>4.</w:t>
        <w:tab/>
        <w:t>ANÁLISE</w:t>
      </w:r>
    </w:p>
    <w:p>
      <w:pPr>
        <w:tabs>
          <w:tab w:pos="709" w:val="left"/>
        </w:tabs>
        <w:jc w:val="both"/>
      </w:pPr>
      <w:r>
        <w:t>4.1.</w:t>
        <w:tab/>
      </w:r>
      <w:r>
        <w:t>Conforme o art. 87, inciso IV e § 3º, da Lei nº 8.666/1993, vigente à época da aplicação da sanção, a reabilitação da pessoa jurídica declarada inidônea é promovida perante a própria autoridade que aplicou a penalidade e pode ser requerida após dois anos de sua aplicação:</w:t>
      </w:r>
    </w:p>
    <w:p>
      <w:pPr>
        <w:spacing w:after="160" w:line="240" w:lineRule="auto"/>
        <w:ind w:left="2268"/>
        <w:jc w:val="both"/>
      </w:pPr>
      <w:r>
        <w:rPr>
          <w:sz w:val="20"/>
        </w:rPr>
        <w:t xml:space="preserve">IV - declaração de inidoneidade para licitar ou contratar com a Administração Pública enquanto perdurarem os motivos determinantes da punição ou até que seja promovida a reabilitação perante a própria autoridade que aplicou a penalidade, que será concedida </w:t>
      </w:r>
      <w:r>
        <w:rPr>
          <w:b/>
          <w:sz w:val="20"/>
        </w:rPr>
        <w:t>sempre que o contratado ressarcir a Administração pelos prejuízos resultantes</w:t>
      </w:r>
      <w:r>
        <w:rPr>
          <w:sz w:val="20"/>
        </w:rPr>
        <w:t xml:space="preserve"> e após decorrido o prazo da sanção aplicada com base no inciso anterior. (grifei)</w:t>
      </w:r>
    </w:p>
    <w:p>
      <w:pPr>
        <w:tabs>
          <w:tab w:pos="709" w:val="left"/>
        </w:tabs>
        <w:jc w:val="both"/>
      </w:pPr>
      <w:r>
        <w:t>4.2.</w:t>
        <w:tab/>
      </w:r>
      <w:r>
        <w:t>Esses requisitos foram regulamentados, no âmbito da Controladoria-Geral da União, pela Portaria CGU nº 1.214, de 8 de junho de 2020, posteriormente alterada pela Portaria Normativa CGU nº 54, de 14 de fevereiro de 2023:</w:t>
      </w:r>
    </w:p>
    <w:p>
      <w:pPr>
        <w:spacing w:after="160" w:line="240" w:lineRule="auto"/>
        <w:ind w:left="2268"/>
        <w:jc w:val="both"/>
      </w:pPr>
      <w:r>
        <w:rPr>
          <w:sz w:val="20"/>
        </w:rPr>
        <w:t>Art. 2º São requisitos cumulativos para a concessão da reabilitação: I - o transcurso do prazo de dois anos sem licitar ou contratar com a Administração Pública a contar da data de publicação do ato que aplicou a sanção de declaração de inidoneidade; II - o ressarcimento integral dos prejuízos causados pela pessoa física ou jurídica, quando apontados pela Administração Pública, em decorrência dos atos que justificaram a aplicação da sanção de declaração de inidoneidade; e III - a adoção de medidas que demonstrem a superação dos motivos determinantes da punição, o que inclui a implementação e a aplicação de programa de integridade (...).</w:t>
      </w:r>
    </w:p>
    <w:p>
      <w:pPr>
        <w:tabs>
          <w:tab w:pos="709" w:val="left"/>
        </w:tabs>
        <w:jc w:val="both"/>
      </w:pPr>
      <w:r>
        <w:t>4.3.</w:t>
        <w:tab/>
      </w:r>
      <w:r>
        <w:t>No tocante ao procedimento, o pedido de reabilitação é processado pela Secretaria de Integridade Privada (SIPRI), por intermédio da Diretoria de Promoção e Avaliação de Integridade Privada (DPI). Cabe à DPI solicitar informações aos entes lesados e órgãos públicos competentes para a aferição do ressarcimento integral dos prejuízos (art. 4º, § 2º) e avaliar o programa de integridade (art. 4º, § 3º), nos termos da redação dada pela Portaria Normativa CGU nº 54/2023.</w:t>
      </w:r>
    </w:p>
    <w:p>
      <w:pPr>
        <w:tabs>
          <w:tab w:pos="709" w:val="left"/>
        </w:tabs>
        <w:jc w:val="both"/>
      </w:pPr>
      <w:r>
        <w:t>4.4.</w:t>
        <w:tab/>
      </w:r>
      <w:r>
        <w:rPr>
          <w:highlight w:val="yellow"/>
        </w:rPr>
        <w:t>[inserir, se for o caso: exame da preliminar da empresa sobre as normas aplicáveis ao pedido (pedido, §§ 19 a 42) e eventual Nota de Instrução preliminar]</w:t>
      </w:r>
    </w:p>
    <w:p>
      <w:pPr>
        <w:tabs>
          <w:tab w:pos="709" w:val="left"/>
        </w:tabs>
        <w:jc w:val="both"/>
      </w:pPr>
      <w:r>
        <w:t>4.5.</w:t>
        <w:tab/>
      </w:r>
      <w:r>
        <w:t>A presente Nota Técnica analisará o cumprimento dos requisitos acima arrolados.</w:t>
      </w:r>
    </w:p>
    <w:p>
      <w:pPr>
        <w:keepNext/>
        <w:spacing w:before="160"/>
        <w:ind w:left="850"/>
      </w:pPr>
      <w:r>
        <w:rPr>
          <w:b/>
        </w:rPr>
        <w:t>Primeiro requisito (art. 2º, inciso I)</w:t>
      </w:r>
    </w:p>
    <w:p>
      <w:pPr>
        <w:tabs>
          <w:tab w:pos="709" w:val="left"/>
        </w:tabs>
        <w:jc w:val="both"/>
      </w:pPr>
      <w:r>
        <w:t>4.6.</w:t>
        <w:tab/>
      </w:r>
      <w:r>
        <w:rPr>
          <w:highlight w:val="yellow"/>
        </w:rPr>
        <w:t>[inserir a análise do primeiro requisito]</w:t>
      </w:r>
    </w:p>
    <w:p>
      <w:pPr>
        <w:keepNext/>
        <w:spacing w:before="160"/>
        <w:ind w:left="850"/>
      </w:pPr>
      <w:r>
        <w:rPr>
          <w:b/>
        </w:rPr>
        <w:t>Segundo requisito (art. 2º, inciso II)</w:t>
      </w:r>
    </w:p>
    <w:p>
      <w:pPr>
        <w:tabs>
          <w:tab w:pos="709" w:val="left"/>
        </w:tabs>
        <w:jc w:val="both"/>
      </w:pPr>
      <w:r>
        <w:t>4.7.</w:t>
        <w:tab/>
      </w:r>
      <w:r>
        <w:t>O segundo requisito exigido é o ressarcimento integral dos prejuízos causados pela pessoa jurídica, quando apontados pela Administração Pública, em decorrência dos atos que justificaram a aplicação da sanção de declaração de inidoneidade.</w:t>
      </w:r>
    </w:p>
    <w:p>
      <w:pPr>
        <w:tabs>
          <w:tab w:pos="709" w:val="left"/>
        </w:tabs>
        <w:jc w:val="both"/>
      </w:pPr>
      <w:r>
        <w:t>4.8.</w:t>
        <w:tab/>
      </w:r>
      <w:r>
        <w:t>A exigência decorre da própria Lei nº 8.666/1993, cujo art. 87, IV, condiciona a reabilitação a que o contratado "ressarcir a Administração pelos prejuízos resultantes". A própria empresa a reconhece como requisito legal (pedido, § 21). Por essa razão, a preliminar da empresa sobre a aplicabilidade da Portaria CGU nº 1.214/2020 e da Portaria Normativa SE/CGU nº 226/2025 (pedido, §§ 19 a 42) não interfere no exame deste requisito, qualquer que seja a solução adotada a seu respeito.</w:t>
      </w:r>
    </w:p>
    <w:p>
      <w:pPr>
        <w:tabs>
          <w:tab w:pos="709" w:val="left"/>
        </w:tabs>
        <w:jc w:val="both"/>
      </w:pPr>
      <w:r>
        <w:t>4.9.</w:t>
        <w:tab/>
      </w:r>
      <w:r>
        <w:t>O § 1º do art. 2º da Portaria CGU nº 1.214/2020 indica como se mede o prejuízo a ser ressarcido:</w:t>
      </w:r>
    </w:p>
    <w:p>
      <w:pPr>
        <w:spacing w:after="160" w:line="240" w:lineRule="auto"/>
        <w:ind w:left="2268"/>
        <w:jc w:val="both"/>
      </w:pPr>
      <w:r>
        <w:rPr>
          <w:sz w:val="20"/>
        </w:rPr>
        <w:t>§ 1º Para fins de comprovação do disposto no inciso II, serão adotadas as definições e a metodologia constantes da Instrução Normativa CGU/AGU nº 2, de 16 de maio de 2018.</w:t>
      </w:r>
    </w:p>
    <w:p>
      <w:pPr>
        <w:tabs>
          <w:tab w:pos="709" w:val="left"/>
        </w:tabs>
        <w:jc w:val="both"/>
      </w:pPr>
      <w:r>
        <w:t>4.10.</w:t>
        <w:tab/>
      </w:r>
      <w:r>
        <w:t xml:space="preserve">Essa Instrução Normativa, que disciplinava os cálculos dos acordos de leniência, foi revogada pelo art. 60 da Portaria Normativa Interministerial CGU/AGU nº 1/2025, publicada em 23/12/2025, antes do pedido de reabilitação. Diante disso, a SIPRI, na Nota Técnica nº 676/2026/SIPRI (SEI 3980745), passou a adotar, por analogia, o conceito de </w:t>
      </w:r>
      <w:r>
        <w:rPr>
          <w:b/>
        </w:rPr>
        <w:t>dano incontroverso</w:t>
      </w:r>
      <w:r>
        <w:t xml:space="preserve"> das normas que a substituíram: o dano admitido pela própria pessoa jurídica ou o fixado em decisão definitiva, administrativa ou judicial (art. 37, § 2º, do Decreto nº 11.129/2022; art. 33 da PNI nº 1/2025). Em termos práticos, só se exige ressarcir o dano que a empresa reconheceu ou que uma decisão definitiva fixou. Aquela Nota aplicou o critério a outro caso de inidoneidade aplicada com base na Lei nº 8.666/1993:</w:t>
      </w:r>
    </w:p>
    <w:p>
      <w:pPr>
        <w:spacing w:after="160" w:line="240" w:lineRule="auto"/>
        <w:ind w:left="2268"/>
        <w:jc w:val="both"/>
      </w:pPr>
      <w:r>
        <w:rPr>
          <w:sz w:val="20"/>
        </w:rPr>
        <w:t xml:space="preserve">4.48. A superação do segundo requisito (art. 2º, inciso II) ocorre apenas em razão da não verificação, até o momento, de </w:t>
      </w:r>
      <w:r>
        <w:rPr>
          <w:b/>
          <w:sz w:val="20"/>
        </w:rPr>
        <w:t>decisão administrativa ou judicial definitiva que tenha identificado e quantificado o dano, bem como estabelecido o nexo de causalidade</w:t>
      </w:r>
      <w:r>
        <w:rPr>
          <w:sz w:val="20"/>
        </w:rPr>
        <w:t xml:space="preserve"> desse dano com a conduta pela qual a empresa foi condenada. (grifei)</w:t>
      </w:r>
    </w:p>
    <w:p>
      <w:pPr>
        <w:tabs>
          <w:tab w:pos="709" w:val="left"/>
        </w:tabs>
        <w:jc w:val="both"/>
      </w:pPr>
      <w:r>
        <w:t>4.11.</w:t>
        <w:tab/>
      </w:r>
      <w:r>
        <w:t>A mesma Nota admite que o valor da propina sirva de indicador do dano mínimo "quando o tipo específico de ilícito praticado assim indicar" (item 4.17), com base na presunção de que a empresa embutiu o custo da propina no preço cobrado (item 4.16). Seguindo aquela Nota, examinam-se a seguir (i) os danos identificados em decorrência dos atos que levaram à declaração de inidoneidade e (ii) os valores pagos a título de vantagem indevida.</w:t>
      </w:r>
    </w:p>
    <w:p>
      <w:pPr>
        <w:keepNext/>
        <w:spacing w:before="80"/>
        <w:ind w:left="850"/>
      </w:pPr>
      <w:r>
        <w:rPr>
          <w:b/>
          <w:i/>
        </w:rPr>
        <w:t>Item 1: danos identificados em decorrência dos atos que levaram à declaração de inidoneidade</w:t>
      </w:r>
    </w:p>
    <w:p>
      <w:pPr>
        <w:tabs>
          <w:tab w:pos="709" w:val="left"/>
        </w:tabs>
        <w:jc w:val="both"/>
      </w:pPr>
      <w:r>
        <w:t>4.12.</w:t>
        <w:tab/>
      </w:r>
      <w:r>
        <w:t>A apuração de dano ficou expressamente fora do PAR. Ao responder à alegação de inexistência de prejuízo, a Comissão registrou:</w:t>
      </w:r>
    </w:p>
    <w:p>
      <w:pPr>
        <w:spacing w:after="160" w:line="240" w:lineRule="auto"/>
        <w:ind w:left="2268"/>
        <w:jc w:val="both"/>
      </w:pPr>
      <w:r>
        <w:rPr>
          <w:sz w:val="20"/>
        </w:rPr>
        <w:t xml:space="preserve">58. </w:t>
      </w:r>
      <w:r>
        <w:rPr>
          <w:b/>
          <w:sz w:val="20"/>
        </w:rPr>
        <w:t>Não se encontra no escopo de apuração deste processo a existência de dano ao erário</w:t>
      </w:r>
      <w:r>
        <w:rPr>
          <w:sz w:val="20"/>
        </w:rPr>
        <w:t xml:space="preserve"> em virtude das contratações firmadas entre a Decal e a Petrobras. 59. Apesar disso, cabe ressaltar que o juízo criminal, em sua sentença, estabeleceu um dano mínimo para indenização, equivalente ao montante pago a título de vantagem indevida ao agente público, de US$ 868.450,00 (SEI 1569432). (Relatório Final; grifei)</w:t>
      </w:r>
    </w:p>
    <w:p>
      <w:pPr>
        <w:tabs>
          <w:tab w:pos="709" w:val="left"/>
        </w:tabs>
        <w:jc w:val="both"/>
      </w:pPr>
      <w:r>
        <w:t>4.13.</w:t>
        <w:tab/>
      </w:r>
      <w:r>
        <w:t>A referência ao dano tem, portanto, um único fundamento: a sentença criminal. Ela se repete no § 73 e no cálculo da multa, quando a Comissão negou o atenuante de ressarcimento por entender que "evidenciou-se a ocorrência de dano de, no mínimo, o montante pago a título de vantagem indevida (...). Nesse sentido se manifestou o juízo criminal ao prolatar a sentença" (§ 95). Na conclusão, a Comissão registrou como "valor do dano à Administração" US$ 868.450,00 (R$ 4.704.914,72 em 24/02/2021), "para os fins dos encaminhamentos previstos no Cap. VI da Lei nº 12.846/2013 e também considerando a previsão constante em seu §3º, do artigo 6º", e propôs comunicar os fatos ao Ministério Público e à Advocacia-Geral da União. Trata-se de verdadeiro apontamento de dano pela Comissão, apoiado unicamente na sentença e sujeito ao julgamento. Ele não constituiu crédito de ressarcimento, e não há notícia, nos documentos examinados, de processo específico de reparação (art. 13 da Lei nº 12.846/2013).</w:t>
      </w:r>
    </w:p>
    <w:p>
      <w:pPr>
        <w:tabs>
          <w:tab w:pos="709" w:val="left"/>
        </w:tabs>
        <w:jc w:val="both"/>
      </w:pPr>
      <w:r>
        <w:t>4.14.</w:t>
        <w:tab/>
      </w:r>
      <w:r>
        <w:t>O ponto da sentença em que se apoiou a Comissão já não subsistia. A sentença de 05/03/2018 fixara a indenização mínima à Petrobras no valor da propina (art. 387, IV, do CPP) e decretara o confisco da fiança prestada por Mariano Marcondes Ferraz até esse mesmo valor (§§ 222 a 226). Em 10/04/2019, contudo, o TRF da 4ª Região afastou a indenização e manteve o confisco, acolhendo o parecer do MPF:</w:t>
      </w:r>
    </w:p>
    <w:p>
      <w:pPr>
        <w:spacing w:after="160" w:line="240" w:lineRule="auto"/>
        <w:ind w:left="2268"/>
        <w:jc w:val="both"/>
      </w:pPr>
      <w:r>
        <w:rPr>
          <w:sz w:val="20"/>
        </w:rPr>
        <w:t xml:space="preserve">No presente caso, entretanto, </w:t>
      </w:r>
      <w:r>
        <w:rPr>
          <w:b/>
          <w:sz w:val="20"/>
        </w:rPr>
        <w:t>não houve mínima demonstração da transmissão deste custo à PETROBRAS</w:t>
      </w:r>
      <w:r>
        <w:rPr>
          <w:sz w:val="20"/>
        </w:rPr>
        <w:t xml:space="preserve">. (...) Como não se sabe do envolvimento dos controladores da empresa DECAL no pagamento da propina, o que permitiria identificar a absorção e transferência dos custos da propina para o contrato firmado entre DECAL e PETROBRAS, </w:t>
      </w:r>
      <w:r>
        <w:rPr>
          <w:b/>
          <w:sz w:val="20"/>
        </w:rPr>
        <w:t>a única conclusão possível é que MARIANO MARCONDES arcou com o custo das vantagens indevidas</w:t>
      </w:r>
      <w:r>
        <w:rPr>
          <w:sz w:val="20"/>
        </w:rPr>
        <w:t>, diminuindo o seu próprio ganho. (Apelação Criminal nº 5000553-66.2017.4.04.7000; ementa, item 13: "Não comprovado a transferência de custo à Petrobras, impõe-se o afastamento da fixação de valor mínimo indenizatório"; grifei)</w:t>
      </w:r>
    </w:p>
    <w:p>
      <w:pPr>
        <w:tabs>
          <w:tab w:pos="709" w:val="left"/>
        </w:tabs>
        <w:jc w:val="both"/>
      </w:pPr>
      <w:r>
        <w:t>4.15.</w:t>
        <w:tab/>
      </w:r>
      <w:r>
        <w:t>O acórdão é anterior ao Relatório Final (24/02/2021), que não o menciona. A omissão foi suprida na fase de julgamento. A Nota Técnica nº 1193/2021/COREP (SEI 1944272), de 26/05/2021, examinou a alegação de inexistência de dano, transcreveu o voto do TRF4 e concluiu:</w:t>
      </w:r>
    </w:p>
    <w:p>
      <w:pPr>
        <w:spacing w:after="160" w:line="240" w:lineRule="auto"/>
        <w:ind w:left="2268"/>
        <w:jc w:val="both"/>
      </w:pPr>
      <w:r>
        <w:rPr>
          <w:sz w:val="20"/>
        </w:rPr>
        <w:t xml:space="preserve">60. </w:t>
      </w:r>
      <w:r>
        <w:rPr>
          <w:b/>
          <w:sz w:val="20"/>
        </w:rPr>
        <w:t>Em que pese o entendimento firmado por este órgão, de que o dano engloba o valor referente ao pagamento de propina, há de se levar em conta, no caso concreto, a referida decisão proferida pelo Poder Judiciário.</w:t>
      </w:r>
      <w:r>
        <w:rPr>
          <w:sz w:val="20"/>
        </w:rPr>
        <w:t xml:space="preserve"> 61. No momento da avaliação das atenuantes, a Comissão atribuiu 0% no caso de ressarcimento dos danos, levando em conta a fixação de dano mínimo pelo juízo criminal de primeira instância. Contudo, houve o afastamento dessa fixação, mantendo-se apenas o confisco sobre o montante da vantagem indevida paga ao agente público. 62. Tal fato, portanto, deve ser levado em consideração no cálculo da multa, bem como </w:t>
      </w:r>
      <w:r>
        <w:rPr>
          <w:b/>
          <w:sz w:val="20"/>
        </w:rPr>
        <w:t>por não haver outros danos verificados até o momento</w:t>
      </w:r>
      <w:r>
        <w:rPr>
          <w:sz w:val="20"/>
        </w:rPr>
        <w:t>. 63. Dessa forma, sugere-se a concessão da atenuante, elevando-se o seu percentual a 1,5%. (grifei)</w:t>
      </w:r>
    </w:p>
    <w:p>
      <w:pPr>
        <w:tabs>
          <w:tab w:pos="709" w:val="left"/>
        </w:tabs>
        <w:jc w:val="both"/>
      </w:pPr>
      <w:r>
        <w:t>4.16.</w:t>
        <w:tab/>
      </w:r>
      <w:r>
        <w:t>A COREP recomendou acolher o Relatório Final "com a ressalva feita no tocante ao dano (parágrafos 57 a 63), que repercutiu no valor da multa" (§ 124). O Parecer nº 00199/2021/CONJUR adotou essa ressalva (§§ 8 e 72), e os Despachos nº 00651/2022 e nº 00890/2022/CONJUR-CGU/CGU/AGU o aprovaram "com as adequações da Nota Técnica nº 1193/2021/COREP". O efeito é verificável na decisão: com o atenuante do art. 18, II, do Decreto nº 8.420/2015 elevado de 0% para 1,5%, a alíquota caiu de 7,5% para 6% e a multa, de R$ 4.882.168,71 para R$ 3.905.734,97, exatamente 6% da base de cálculo de R$ 65.095.582,89. Esse é o valor aplicado pela Decisão nº 9, que também fixou o edital em 60 dias, e não nos 45 propostos pela Comissão, conforme o outro ajuste da COREP (§ 110). O "em parte" da adoção do Relatório Final corresponde, portanto, às duas ressalvas da COREP.</w:t>
      </w:r>
    </w:p>
    <w:p>
      <w:pPr>
        <w:tabs>
          <w:tab w:pos="709" w:val="left"/>
        </w:tabs>
        <w:jc w:val="both"/>
      </w:pPr>
      <w:r>
        <w:t>4.17.</w:t>
        <w:tab/>
      </w:r>
      <w:r>
        <w:t>A hipótese literal do art. 18, II, do Decreto nº 8.420/2015 é a "comprovação de ressarcimento pela pessoa jurídica dos danos a que tenha dado causa". A COREP não afirmou que houve ressarcimento: aplicou o atenuante porque não havia dano a considerar. É uso atípico do dispositivo, e a dosimetria não cabe ser revista neste procedimento. O que importa aqui é o juízo expresso da Administração sobre o dano: afastou o único valor apontado, à vista da decisão judicial, e registrou não haver outros danos verificados. O Parecer da CONJUR ainda transcreve, no § 66, a frase da Comissão sobre o dano mínimo, mas no rol de fatores do art. 7º da Lei nº 12.846/2013; ela é superada pelo cálculo efetivamente adotado nos §§ 72 e 73. Coerentemente, a Decisão nº 9 não quantifica dano nem condiciona a reabilitação a qualquer pagamento.</w:t>
      </w:r>
    </w:p>
    <w:p>
      <w:pPr>
        <w:tabs>
          <w:tab w:pos="709" w:val="left"/>
        </w:tabs>
        <w:jc w:val="both"/>
      </w:pPr>
      <w:r>
        <w:t>4.18.</w:t>
        <w:tab/>
      </w:r>
      <w:r>
        <w:t xml:space="preserve">Resta uma hipótese: a comunicação ao Ministério Público e à AGU, ou iniciativa da Petrobras ou do TCU, pode ter resultado em decisão definitiva fixando dano pelos mesmos fatos, inclusive em data não alcançada pelo PAR. Nada nos documentos examinados o indica, mas a CGU não pode atestar a inexistência de crédito de terceiro sem consultá-lo. Por isso, a exemplo da NT nº 676/2026 (itens 4.20 a 4.38) e com fundamento no art. 4º, § 2º, da Portaria nº 1.214/2020, devem ser consultados a Petrobras, a AGU, o Ministério Público Federal, o TCU e a unidade da Secretaria Federal de Controle Interno responsável pela auditoria da Petrobras. </w:t>
      </w:r>
      <w:r>
        <w:rPr>
          <w:highlight w:val="yellow"/>
        </w:rPr>
        <w:t>[se os ofícios já tiverem sido respondidos, substituir este parágrafo pela síntese das respostas, com indicação dos documentos SEI]</w:t>
      </w:r>
    </w:p>
    <w:p>
      <w:pPr>
        <w:keepNext/>
        <w:spacing w:before="80"/>
        <w:ind w:left="850"/>
      </w:pPr>
      <w:r>
        <w:rPr>
          <w:b/>
          <w:i/>
        </w:rPr>
        <w:t>Item 2: valores pagos a título de vantagem indevida a agente público</w:t>
      </w:r>
    </w:p>
    <w:p>
      <w:pPr>
        <w:tabs>
          <w:tab w:pos="709" w:val="left"/>
        </w:tabs>
        <w:jc w:val="both"/>
      </w:pPr>
      <w:r>
        <w:t>4.19.</w:t>
        <w:tab/>
      </w:r>
      <w:r>
        <w:t>Diferentemente do caso examinado na NT nº 676/2026, aqui o pagamento da vantagem indevida é o próprio ato lesivo imputado à empresa, e seu valor é conhecido (US$ 868.450,00). Em tese, portanto, seria o tipo de ilícito em que a propina pode servir de indicador do dano mínimo. A presunção que sustenta esse indicador (repasse do custo da propina ao preço) cede, porém, diante de prova específica em contrário:</w:t>
      </w:r>
    </w:p>
    <w:p>
      <w:pPr>
        <w:tabs>
          <w:tab w:pos="709" w:val="left"/>
        </w:tabs>
        <w:jc w:val="both"/>
      </w:pPr>
      <w:r>
        <w:tab/>
      </w:r>
      <w:r>
        <w:t>a) o TRF4 concluiu que não houve demonstração da transferência do custo à Petrobras e que o custo foi suportado por Mariano Marcondes Ferraz;</w:t>
      </w:r>
    </w:p>
    <w:p>
      <w:pPr>
        <w:tabs>
          <w:tab w:pos="709" w:val="left"/>
        </w:tabs>
        <w:jc w:val="both"/>
      </w:pPr>
      <w:r>
        <w:tab/>
      </w:r>
      <w:r>
        <w:t>b) Paulo Roberto Costa afirmou recordar que o preço foi estabelecido pela área técnica e não se lembrar de ter opinado sobre ele, e o representante da Petrobras na contratação relatou não ter percebido ingerência indevida do ex-Diretor (sentença, §§ 183 e 184; Parecer nº 00199/2021, §§ 46 e 47);</w:t>
      </w:r>
    </w:p>
    <w:p>
      <w:pPr>
        <w:tabs>
          <w:tab w:pos="709" w:val="left"/>
        </w:tabs>
        <w:jc w:val="both"/>
      </w:pPr>
      <w:r>
        <w:tab/>
      </w:r>
      <w:r>
        <w:t>c) a Petrobras informou que, nesse tipo de contratação, os preços são fixados por análise comparativa de mercado, sem demonstrativo de formação de preços (Relatório Final, § 97);</w:t>
      </w:r>
    </w:p>
    <w:p>
      <w:pPr>
        <w:tabs>
          <w:tab w:pos="709" w:val="left"/>
        </w:tabs>
        <w:jc w:val="both"/>
      </w:pPr>
      <w:r>
        <w:tab/>
      </w:r>
      <w:r>
        <w:t>d) a própria CGU, na NT nº 1193/2021/COREP, afastou expressamente a propina como dano no caso concreto, à vista da decisão judicial.</w:t>
      </w:r>
    </w:p>
    <w:p>
      <w:pPr>
        <w:tabs>
          <w:tab w:pos="709" w:val="left"/>
        </w:tabs>
        <w:jc w:val="both"/>
      </w:pPr>
      <w:r>
        <w:t>4.20.</w:t>
        <w:tab/>
      </w:r>
      <w:r>
        <w:t>Há um elemento em sentido contrário: Paulo Roberto Costa declarou que, à época, a Petrobras "não tinha opção de tancagem" em Suape (Parecer nº 00199/2021, § 46). A falta de alternativa poderia, em tese, favorecer preço acima do mercado. Nenhuma das instâncias que examinaram o caso, porém, identificou ou quantificou sobrepreço: nem o juízo criminal, nem o TRF4, nem a Comissão, nem a COREP. A hipótese permanece, portanto, sem lastro documental.</w:t>
      </w:r>
    </w:p>
    <w:p>
      <w:pPr>
        <w:tabs>
          <w:tab w:pos="709" w:val="left"/>
        </w:tabs>
        <w:jc w:val="both"/>
      </w:pPr>
      <w:r>
        <w:t>4.21.</w:t>
        <w:tab/>
      </w:r>
      <w:r>
        <w:t>O resultado também não depende da norma aplicável ao § 1º do art. 2º. Pela IN nº 2/2018, vigente durante o PAR, a propina integrava a rubrica de ressarcimento (NT nº 676/2026, item 4.12). Mesmo sob essa norma, a CGU deixou de considerá-la dano neste caso concreto, em 2021, à vista da decisão judicial.</w:t>
      </w:r>
    </w:p>
    <w:p>
      <w:pPr>
        <w:keepNext/>
        <w:spacing w:before="80"/>
        <w:ind w:left="850"/>
      </w:pPr>
      <w:r>
        <w:rPr>
          <w:b/>
          <w:i/>
        </w:rPr>
        <w:t>Alegações da empresa quanto a este requisito</w:t>
      </w:r>
    </w:p>
    <w:p>
      <w:pPr>
        <w:tabs>
          <w:tab w:pos="709" w:val="left"/>
        </w:tabs>
        <w:jc w:val="both"/>
      </w:pPr>
      <w:r>
        <w:t>4.22.</w:t>
        <w:tab/>
      </w:r>
      <w:r>
        <w:rPr>
          <w:b/>
        </w:rPr>
        <w:t>Inexistência de prejuízo (pedido, §§ 57 a 61).</w:t>
      </w:r>
      <w:r>
        <w:t xml:space="preserve"> Procede, com fundamento mais amplo que o apresentado: além da reforma da sentença, a própria decisão sancionadora, ao adotar a ressalva da COREP, não manteve dano pendente contra a empresa. A empresa não alegou esse ponto.</w:t>
      </w:r>
    </w:p>
    <w:p>
      <w:pPr>
        <w:tabs>
          <w:tab w:pos="709" w:val="left"/>
        </w:tabs>
        <w:jc w:val="both"/>
      </w:pPr>
      <w:r>
        <w:t>4.23.</w:t>
        <w:tab/>
      </w:r>
      <w:r>
        <w:rPr>
          <w:b/>
        </w:rPr>
        <w:t>Força vinculante da decisão criminal (art. 935 do Código Civil).</w:t>
      </w:r>
      <w:r>
        <w:t xml:space="preserve"> Não procede. A DECAL não foi parte na ação penal, e a CGU já rejeitou essa tese no PAR (Relatório Final, §§ 44 e 54; Parecer nº 00199/2021, § 50). Além disso, o art. 935 impede rediscutir a existência do fato e a autoria, e não o valor do dano. O TRF4 não declarou que o dano é inexistente; constatou que não estava provado no processo criminal. O acórdão vale como prova relevante, e não como decisão que vincula a Administração.</w:t>
      </w:r>
    </w:p>
    <w:p>
      <w:pPr>
        <w:tabs>
          <w:tab w:pos="709" w:val="left"/>
        </w:tabs>
        <w:jc w:val="both"/>
      </w:pPr>
      <w:r>
        <w:t>4.24.</w:t>
        <w:tab/>
      </w:r>
      <w:r>
        <w:rPr>
          <w:b/>
        </w:rPr>
        <w:t>Pagamento ou depósito da multa (pedido, §§ 62 a 64).</w:t>
      </w:r>
      <w:r>
        <w:t xml:space="preserve"> É irrelevante para este requisito. A multa é sanção e não se confunde com reparação do dano (art. 6º, § 3º, da Lei nº 12.846/2013). O documento apresentado comprova o depósito judicial de R$ 3.905.734,97, valor nominal da multa, em 12/05/2025, nos autos do processo nº 0823992-04.2023.4.05.8300 (2ª Vara Federal/PE), após decisão do TRF da 5ª Região (AI nº 0809667-58.2024.4.05.0000, de 05/02/2025) que o autorizou para suspender a exigibilidade da multa. O depósito não é pagamento, e as demonstrações financeiras da própria empresa registram que ele não liquida o passivo (DFs 2025, nota 2.6). De todo modo, nem o art. 87, IV, da Lei nº 8.666/1993 nem o art. 2º da Portaria CGU nº 1.214/2020 incluem a quitação da multa entre os requisitos da reabilitação. Essa exigência consta do art. 163, II, da Lei nº 14.133/2021, que rege a reabilitação das sanções aplicadas com base naquela lei.</w:t>
      </w:r>
    </w:p>
    <w:p>
      <w:pPr>
        <w:tabs>
          <w:tab w:pos="709" w:val="left"/>
        </w:tabs>
        <w:jc w:val="both"/>
      </w:pPr>
      <w:r>
        <w:t>4.25.</w:t>
        <w:tab/>
      </w:r>
      <w:r>
        <w:rPr>
          <w:b/>
        </w:rPr>
        <w:t>Precedente do STF (RMS nº 33.526/DF; pedido, §§ 22 e 29).</w:t>
      </w:r>
      <w:r>
        <w:t xml:space="preserve"> Segundo o trecho transcrito pela empresa, não se pode negar a reabilitação com base em dano não apurado nem arbitrado. A decisão, confirmada pela 2ª Turma em agravo regimental, vale apenas entre as partes daquele processo, mas é coerente com a conclusão deste tópico. A tese de que a reabilitação seria ato vinculado aos requisitos do art. 87, IV, da Lei nº 8.666/1993 não interfere na conclusão sobre o segundo requisito.</w:t>
      </w:r>
    </w:p>
    <w:p>
      <w:pPr>
        <w:tabs>
          <w:tab w:pos="709" w:val="left"/>
        </w:tabs>
        <w:jc w:val="both"/>
      </w:pPr>
      <w:r>
        <w:t>4.26.</w:t>
        <w:tab/>
      </w:r>
      <w:r>
        <w:rPr>
          <w:b/>
        </w:rPr>
        <w:t>Consequências práticas, LINDB e interesse da Petrobras (pedido, §§ 4 a 18).</w:t>
      </w:r>
      <w:r>
        <w:t xml:space="preserve"> Não decidem este requisito, que é legal e objetivo.</w:t>
      </w:r>
    </w:p>
    <w:p>
      <w:pPr>
        <w:keepNext/>
        <w:spacing w:before="80"/>
        <w:ind w:left="850"/>
      </w:pPr>
      <w:r>
        <w:rPr>
          <w:b/>
          <w:i/>
        </w:rPr>
        <w:t>Conclusão quanto ao segundo requisito</w:t>
      </w:r>
    </w:p>
    <w:p>
      <w:pPr>
        <w:tabs>
          <w:tab w:pos="709" w:val="left"/>
        </w:tabs>
        <w:jc w:val="both"/>
      </w:pPr>
      <w:r>
        <w:t>4.27.</w:t>
        <w:tab/>
      </w:r>
      <w:r>
        <w:t xml:space="preserve">Por todo o exposto, considera-se superada a necessidade de atendimento ao segundo requisito (art. 2º, inciso II), para fins de reabilitação da requerente, por inexistência de prejuízo apontado pendente de ressarcimento. O único prejuízo apontado no PAR não foi mantido pela decisão sancionadora, e não se verificou, nos documentos examinados, decisão administrativa ou judicial definitiva que tenha identificado e quantificado dano decorrente dos atos que justificaram a declaração de inidoneidade. </w:t>
      </w:r>
      <w:r>
        <w:rPr>
          <w:highlight w:val="yellow"/>
        </w:rPr>
        <w:t>[se as respostas aos ofícios ainda não tiverem sido recebidas, acrescentar: "A conclusão fica condicionada à confirmação, pelos órgãos consultados, da inexistência de tal decisão"]</w:t>
      </w:r>
    </w:p>
    <w:p>
      <w:pPr>
        <w:tabs>
          <w:tab w:pos="709" w:val="left"/>
        </w:tabs>
        <w:jc w:val="both"/>
      </w:pPr>
      <w:r>
        <w:t>4.28.</w:t>
        <w:tab/>
      </w:r>
      <w:r>
        <w:t>Registre-se, por oportuno, que a reabilitação não consiste em admissão, por esta CGU, da ausência de prejuízos causados pelos atos lesivos objeto da condenação da DECAL no PAR nº 00190.105349/2020-07, nem equivale a reconhecimento de ressarcimento. Tampouco impede a instauração, a continuidade ou o julgamento de processos que venham a identificar e quantificar prejuízos de responsabilidade da empresa decorrentes das mesmas condutas.</w:t>
      </w:r>
    </w:p>
    <w:p>
      <w:pPr>
        <w:keepNext/>
        <w:spacing w:before="160"/>
        <w:ind w:left="850"/>
      </w:pPr>
      <w:r>
        <w:rPr>
          <w:b/>
        </w:rPr>
        <w:t>Terceiro requisito (art. 2º, inciso III)</w:t>
      </w:r>
    </w:p>
    <w:p>
      <w:pPr>
        <w:tabs>
          <w:tab w:pos="709" w:val="left"/>
        </w:tabs>
        <w:jc w:val="both"/>
      </w:pPr>
      <w:r>
        <w:t>4.29.</w:t>
        <w:tab/>
      </w:r>
      <w:r>
        <w:rPr>
          <w:highlight w:val="yellow"/>
        </w:rPr>
        <w:t>[inserir a análise do terceiro requisito]</w:t>
      </w:r>
    </w:p>
    <w:p>
      <w:pPr>
        <w:keepNext/>
        <w:spacing w:before="200"/>
      </w:pPr>
      <w:r>
        <w:rPr>
          <w:b/>
        </w:rPr>
        <w:t>5.</w:t>
        <w:tab/>
        <w:t>CONCLUSÃO</w:t>
      </w:r>
    </w:p>
    <w:p>
      <w:pPr>
        <w:tabs>
          <w:tab w:pos="709" w:val="left"/>
        </w:tabs>
        <w:jc w:val="both"/>
      </w:pPr>
      <w:r>
        <w:t>5.1.</w:t>
        <w:tab/>
      </w:r>
      <w:r>
        <w:rPr>
          <w:highlight w:val="yellow"/>
        </w:rPr>
        <w:t>[inserir após a análise dos três requisitos. Modelo da NT nº 676/2026: "Ante o exposto, determino o encaminhamento do processo à Consultoria Jurídica da CGU, nos termos do artigo 6º da Portaria nº 1.214/2020, com sugestão de (aprovação / indeferimento) do pedido de reabilitação da DECAL BRASIL LTDA., CNPJ nº 03.973.894/0001-94"]</w:t>
      </w:r>
    </w:p>
    <w:p>
      <w:pPr>
        <w:tabs>
          <w:tab w:pos="709" w:val="left"/>
        </w:tabs>
        <w:jc w:val="both"/>
      </w:pPr>
      <w:r>
        <w:t>5.2.</w:t>
        <w:tab/>
      </w:r>
      <w:r>
        <w:rPr>
          <w:highlight w:val="yellow"/>
        </w:rPr>
        <w:t>[em caso de sugestão de concessão: "Na oportunidade, impende alertar à empresa solicitante que a reabilitação é limitada à penalidade de inidoneidade aplicada pelo Ministro da CGU no PAR nº 00190.105349/2020-07, não alcançando a multa e a publicação extraordinária aplicadas no mesmo processo, nem prejudicando a aplicação ou vigência de outras penas administrativas cominadas por outros órgãos de apuração ou pela própria CGU, nesse último caso com base em fatos diversos"]</w:t>
      </w:r>
    </w:p>
    <w:p>
      <w:pPr>
        <w:spacing w:before="320"/>
        <w:jc w:val="center"/>
      </w:pPr>
      <w:r>
        <w:rPr>
          <w:i/>
        </w:rPr>
        <w:t>[Nome]</w:t>
        <w:br/>
        <w:t>[Cargo] — [Unidade]</w:t>
      </w:r>
    </w:p>
    <w:sectPr w:rsidR="00FC693F" w:rsidRPr="0006063C" w:rsidSect="00034616"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