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 w:lineRule="auto"/>
        <w:jc w:val="center"/>
      </w:pPr>
      <w:r>
        <w:rPr>
          <w:b/>
          <w:bCs/>
        </w:rPr>
        <w:t xml:space="preserve">O controle que teme o risco: a baixa institucionalidade do Colab-i e os limites da conversão do TCU de controlador em indutor da inovação</w:t>
      </w:r>
    </w:p>
    <w:p>
      <w:pPr>
        <w:spacing w:after="240" w:line="360" w:lineRule="auto"/>
        <w:jc w:val="center"/>
      </w:pPr>
      <w:r>
        <w:rPr>
          <w:i/>
          <w:iCs/>
        </w:rPr>
        <w:t xml:space="preserve">[Nome do(a) autor(a)]</w:t>
      </w:r>
    </w:p>
    <w:p>
      <w:pPr>
        <w:spacing w:after="0" w:line="360" w:lineRule="auto"/>
        <w:ind w:firstLine="652"/>
        <w:jc w:val="both"/>
      </w:pPr>
      <w:r>
        <w:t xml:space="preserve">O estudo de caso sobre o Colab-i, laboratório de inovação do Tribunal de Contas da União (TCU), sustenta que as ações de capacitação de gestores internos e externos inauguram um reposicionamento do órgão de controle em favor das compras públicas para inovação (Foss; Coutinho; Reis, 2025). Sem negar o mérito descritivo dessa hipótese, o presente insight delimita um aspecto específico e, a rigor, decisivo: o descompasso entre o ativismo periférico do laboratório e o núcleo deliberativo do Tribunal. A proposição que aqui se defende é a de que a variável crítica desse reposicionamento não é o volume de treinamento ofertado, mas duas condições institucionais ausentes — a baixa institucionalidade do próprio Colab-i e a permanência inalterada dos parâmetros de controle que orientam a auditoria e a jurisprudência do TCU. Enquanto essas condições não se alteram, o discurso de indução à inovação permanece, em boa medida, simbólico e reversível.</w:t>
      </w:r>
    </w:p>
    <w:p>
      <w:pPr>
        <w:spacing w:after="0" w:line="360" w:lineRule="auto"/>
        <w:ind w:firstLine="652"/>
        <w:jc w:val="both"/>
      </w:pPr>
      <w:r>
        <w:t xml:space="preserve">O ponto ganha relevância quando dimensionado o objeto em disputa. O poder de compra estatal brasileiro correspondeu a cerca de R$ 710 bilhões, ou 9,2% do Produto Interno Bruto, em 2019 (Rauen, 2022), patamar próximo à média de 12,9% do PIB observada nos países da OCDE. A despeito dessa magnitude, os dispêndios com compras públicas para inovação somaram apenas aproximadamente R$ 300 milhões entre 2012 e 2019 — fração marginal do total transacionado. O gargalo, portanto, não é primordialmente orçamentário: é institucional e comportamental. É nesse vão entre a capacidade de gasto e a disposição para inovar que se inscreve o problema aqui analisado, e é sobre ele que um laboratório de inovação alojado no órgão de controle deveria, em tese, operar.</w:t>
      </w:r>
    </w:p>
    <w:p>
      <w:pPr>
        <w:spacing w:after="0" w:line="360" w:lineRule="auto"/>
        <w:ind w:firstLine="652"/>
        <w:jc w:val="both"/>
      </w:pPr>
      <w:r>
        <w:t xml:space="preserve">A literatura mobilizada pelo próprio artigo oferece a chave do diagnóstico. Costa (2022) demonstra que a auditoria de desempenho conduzida pelo TCU, ao privilegiar aspectos formais e superficiais, produz um efeito não pretendido: gera comportamentos defensivos e o chamado </w:t>
      </w:r>
      <w:r>
        <w:t xml:space="preserve">“apagão das canetas” (Costa, 2022, p. 52)</w:t>
      </w:r>
      <w:r>
        <w:t xml:space="preserve">, pelo qual gestores, temendo a responsabilização pessoal, evitam decisões inovadoras. Soma-se a isso a arquitetura de competências do controle externo: ainda que não possa anular ou suspender contratos administrativos, o Tribunal intervém por vias que produzem efeitos equivalentes — como a retenção de pagamentos —, modulando a disposição do gestor comprador a assumir riscos (Sundfeld; Câmara, 2011; Foss, 2019). Como registra o referencial do próprio órgão, </w:t>
      </w:r>
      <w:r>
        <w:t xml:space="preserve">“predomina a aversão ao risco, o que cria obstáculos para a inovação” (TCU, 2017, p. 34)</w:t>
      </w:r>
      <w:r>
        <w:t xml:space="preserve">. A limitação, nota-se, é menos de competência formal e mais de desenho da accountability.</w:t>
      </w:r>
    </w:p>
    <w:p>
      <w:pPr>
        <w:spacing w:after="0" w:line="360" w:lineRule="auto"/>
        <w:ind w:firstLine="652"/>
        <w:jc w:val="both"/>
      </w:pPr>
      <w:r>
        <w:t xml:space="preserve">Há, no fundo, uma tensão entre valores igualmente caros ao Estado de Direito. De um lado, a accountability e o controle da legalidade, que respondem à expectativa democrática de que os recursos públicos sejam aplicados com probidade; de outro, a eficiência e a capacidade de inovar, que respondem à expectativa de que a Administração entregue resultados e se adapte a demandas complexas. A tradição jurídica brasileira, marcada por formalismo e por limites estreitos à discricionariedade administrativa, tende a resolver essa tensão em favor do primeiro polo, penalizando o erro decisório de forma mais severa do que a própria omissão. O laboratório de inovação nasce, nesse contexto, como tentativa de reequilíbrio — mas um reequilíbrio que, para se sustentar, precisa alcançar as premissas normativas do controle, e não apenas as competências dos controlados.</w:t>
      </w:r>
    </w:p>
    <w:p>
      <w:pPr>
        <w:spacing w:after="0" w:line="360" w:lineRule="auto"/>
        <w:ind w:firstLine="652"/>
        <w:jc w:val="both"/>
      </w:pPr>
      <w:r>
        <w:t xml:space="preserve">Esse desenho conversa diretamente com o arcabouço das capacidades estatais. Pires e Gomide (2018) distinguem duas dimensões de análise: a técnico-administrativa, ligada a burocracias competentes e a recursos adequados para a ação coordenada de governo, e a político-relacional, relativa à habilidade de articular múltiplos atores em torno de consensos e coalizões de suporte. Arranjos institucionais eficazes, acrescentam Gomide e Pires (2014), são condição para a execução bem-sucedida de políticas públicas. Ocorre que o Colab-i atua predominantemente na dimensão político-relacional — constrói redes, capacita agentes e difunde repertórios —, ao passo que o reposicionamento anunciado depende de penetrar a dimensão técnico-administrativa, isto é, de alterar as métricas decisórias, a jurisprudência e os entendimentos de cúpula do Tribunal. É precisamente essa travessia que ainda não se realizou.</w:t>
      </w:r>
    </w:p>
    <w:p>
      <w:pPr>
        <w:spacing w:after="0" w:line="360" w:lineRule="auto"/>
        <w:ind w:firstLine="652"/>
        <w:jc w:val="both"/>
      </w:pPr>
      <w:r>
        <w:t xml:space="preserve">As evidências reunidas pela pesquisa confirmam o descolamento. O laboratório opera com equipe reduzida, de cinco integrantes; não possui personalidade jurídica, mandato, regimento interno ou regras de governança; e vincula-se ao Instituto Serzedello Corrêa — a escola do TCU —, e não ao corpo técnico que instrui as decisões. Trata-se, como o próprio estudo reconhece, de estrutura passível de extinção por mera conveniência política. No plano jurisprudencial, o vazio é revelador: as ações do Colab-i ainda não influenciaram as decisões administrativas do Tribunal sobre compras para inovação, e os acórdãos referidos pelos gestores entrevistados (nº 1237/2019, nº 1139/2022 e nº 1716/2022) versam sobre temas correlatos — o baixo desempenho do país em rankings de inovação, o uso de inteligência artificial e indícios de irregularidade em pregão —, sem, contudo, consolidar entendimento sobre os instrumentos de compra para inovação. Um laboratório sem estatuto e sem eco na jurisprudência dificilmente reposiciona o órgão que o abriga; catalisa, quando muito, aprendizado nas margens.</w:t>
      </w:r>
    </w:p>
    <w:p>
      <w:pPr>
        <w:spacing w:after="0" w:line="360" w:lineRule="auto"/>
        <w:ind w:firstLine="652"/>
        <w:jc w:val="both"/>
      </w:pPr>
      <w:r>
        <w:t xml:space="preserve">O contraexemplo mais forte oferecido pelo artigo — a encomenda tecnológica de solução de inteligência artificial firmada pelo próprio TCU em 2023 — reforça, paradoxalmente, a tese aqui sustentada. Embora sinalize abertura ao risco tecnológico controlado, o relato dos entrevistados atribui a morosidade do processo não à área técnica, mas à equipe jurídica do Tribunal. Vale dizer: mesmo quando inova para si, o TCU esbarra na própria lógica de controle avessa à incerteza. A aversão ao risco não é, portanto, um traço meramente cultural a ser dissolvido por cursos de capacitação; é estrutural, inscrita nos incentivos e nos parâmetros de responsabilização. Daí a insuficiência de uma estratégia centrada apenas na difusão de conhecimento.</w:t>
      </w:r>
    </w:p>
    <w:p>
      <w:pPr>
        <w:spacing w:after="0" w:line="360" w:lineRule="auto"/>
        <w:ind w:firstLine="652"/>
        <w:jc w:val="both"/>
      </w:pPr>
      <w:r>
        <w:t xml:space="preserve">A comparação internacional, reconhecidamente limitada, ajuda a situar o caso. Diferentemente do modelo de “auditor-geral” prevalente nos Estados Unidos, o TCU é um tribunal dotado de poder decisório, o que amplia sua capacidade de afetar contratos e, por consequência, de moldar os incentivos à inovação. Ainda assim, órgãos como o GAO norte-americano evoluíram de um modelo de autorização ex ante para a supervisão de conformidade a posteriori — trajetória análoga à do próprio TCU —, e as experiências de entidades fiscalizadoras superiores no Reino Unido e na Austrália mostram que o controle pode atuar como fomentador, e não apenas como sancionador, da inovação pública. O que distingue esses arranjos não é a existência do controle, mas o parâmetro que o orienta: quando a métrica valoriza a gestão do risco e os resultados alcançados, o controle deixa de operar como inibidor. É essa mudança de parâmetro, e não a mera criação de um laboratório, que define a possibilidade concreta de reposicionamento.</w:t>
      </w:r>
    </w:p>
    <w:p>
      <w:pPr>
        <w:spacing w:after="0" w:line="360" w:lineRule="auto"/>
        <w:ind w:firstLine="652"/>
        <w:jc w:val="both"/>
      </w:pPr>
      <w:r>
        <w:t xml:space="preserve">Duas proposições decorrem dessa análise. A primeira é institucionalizar o laboratório: dotá-lo de mandato, governança e vínculo orgânico com o corpo técnico, de modo que suas atividades retroalimentem as instâncias que produzem jurisprudência, em vez de permanecerem confinadas à escola do órgão. A segunda, mais profunda, é reformar os próprios parâmetros de controle — migrar de uma accountability ancorada no menor preço e na conformidade formal a posteriori para outra que avalie a qualidade da gestão do risco e a consecução de resultados. Não por acaso, Kattel, Drechsler e Karo (2022) sustentam que o Estado empreendedor precisa da burocracia: a indução da inovação não exige menos controle, mas um controle capaz de legitimar a experimentação responsável. No mesmo sentido, Mazzucato, Spanó e Doyle (2024) defendem orientar o poder de compra por missões, superando o critério do menor preço como métrica dominante. Sem reformar o parâmetro, capacitar o gestor apenas o torna mais consciente de um risco que o sistema de controle continua a punir.</w:t>
      </w:r>
    </w:p>
    <w:p>
      <w:pPr>
        <w:spacing w:after="60" w:before="200" w:line="360" w:lineRule="auto"/>
        <w:jc w:val="left"/>
      </w:pPr>
      <w:r>
        <w:rPr>
          <w:b/>
          <w:bCs/>
        </w:rPr>
        <w:t xml:space="preserve">Conclusão</w:t>
      </w:r>
    </w:p>
    <w:p>
      <w:pPr>
        <w:spacing w:after="0" w:line="360" w:lineRule="auto"/>
        <w:ind w:firstLine="652"/>
        <w:jc w:val="both"/>
      </w:pPr>
      <w:r>
        <w:t xml:space="preserve">Em síntese, o Colab-i é condição possivelmente necessária, mas claramente insuficiente, para converter o TCU de controlador em indutor da inovação. O laboratório ilustra, com méritos, o potencial catalisador e legitimador atribuído a essas estruturas (Tõnurist; Kattel; Lember, 2017), mas seu efeito transformador esbarra na baixa institucionalidade que o torna reversível e no fato de que os parâmetros decisórios do Tribunal permanecem intocados. A conversão pretendida não se decidirá no terreno da capacitação, e sim no da arquitetura da accountability: enquanto o controle premiar a inércia formal e penalizar o risco bem gerido, o reposicionamento anunciado seguirá dependente da conveniência política do momento — uma promessa institucional à espera da forma jurídica que a sustente.</w:t>
      </w:r>
    </w:p>
    <w:p>
      <w:pPr>
        <w:spacing w:after="60" w:before="200" w:line="360" w:lineRule="auto"/>
        <w:jc w:val="left"/>
      </w:pPr>
      <w:r>
        <w:rPr>
          <w:b/>
          <w:bCs/>
        </w:rPr>
        <w:t xml:space="preserve">Referências</w:t>
      </w:r>
    </w:p>
    <w:p>
      <w:pPr>
        <w:spacing w:after="120" w:line="240" w:lineRule="auto"/>
        <w:jc w:val="left"/>
      </w:pPr>
      <w:r>
        <w:t xml:space="preserve">COSTA, P. V. da. </w:t>
      </w:r>
      <w:r>
        <w:rPr>
          <w:i/>
          <w:iCs/>
        </w:rPr>
        <w:t xml:space="preserve">Três ensaios sobre mudança institucional no Tribunal de Contas da União.</w:t>
      </w:r>
      <w:r>
        <w:t xml:space="preserve"> 2022. Tese (Doutorado) – Instituto de Ciência Política, Universidade de Brasília, Brasília, DF, 2022.</w:t>
      </w:r>
    </w:p>
    <w:p>
      <w:pPr>
        <w:spacing w:after="120" w:line="240" w:lineRule="auto"/>
        <w:jc w:val="left"/>
      </w:pPr>
      <w:r>
        <w:t xml:space="preserve">FOSS, M. C. </w:t>
      </w:r>
      <w:r>
        <w:rPr>
          <w:i/>
          <w:iCs/>
        </w:rPr>
        <w:t xml:space="preserve">Compras públicas como instrumento de política de inovação orientada à demanda: experiências no Brasil, nos Estados Unidos e na União Europeia.</w:t>
      </w:r>
      <w:r>
        <w:t xml:space="preserve"> 2019. Tese (Doutorado) – Instituto de Geociências, Universidade Estadual de Campinas, Campinas, SP, 2019.</w:t>
      </w:r>
    </w:p>
    <w:p>
      <w:pPr>
        <w:spacing w:after="120" w:line="240" w:lineRule="auto"/>
        <w:jc w:val="left"/>
      </w:pPr>
      <w:r>
        <w:t xml:space="preserve">FOSS, M. C.; COUTINHO, D. R.; REIS, R. T. de S. Construindo capacidades estatais para contratações públicas: o caso do laboratório de inovação do Tribunal de Contas da União. </w:t>
      </w:r>
      <w:r>
        <w:rPr>
          <w:i/>
          <w:iCs/>
        </w:rPr>
        <w:t xml:space="preserve">Revista do Serviço Público (RSP)</w:t>
      </w:r>
      <w:r>
        <w:t xml:space="preserve">, Brasília, v. 76, n. especial A, p. 145-172, jun. 2025.</w:t>
      </w:r>
    </w:p>
    <w:p>
      <w:pPr>
        <w:spacing w:after="120" w:line="240" w:lineRule="auto"/>
        <w:jc w:val="left"/>
      </w:pPr>
      <w:r>
        <w:t xml:space="preserve">GOMIDE, A. A.; PIRES, R. R. C. (ed.). </w:t>
      </w:r>
      <w:r>
        <w:rPr>
          <w:i/>
          <w:iCs/>
        </w:rPr>
        <w:t xml:space="preserve">Capacidades estatais e democracia: arranjos institucionais de políticas públicas.</w:t>
      </w:r>
      <w:r>
        <w:t xml:space="preserve"> Brasília: Ipea, 2014.</w:t>
      </w:r>
    </w:p>
    <w:p>
      <w:pPr>
        <w:spacing w:after="120" w:line="240" w:lineRule="auto"/>
        <w:jc w:val="left"/>
      </w:pPr>
      <w:r>
        <w:t xml:space="preserve">KATTEL, R.; DRECHSLER, W.; KARO, E. </w:t>
      </w:r>
      <w:r>
        <w:rPr>
          <w:i/>
          <w:iCs/>
        </w:rPr>
        <w:t xml:space="preserve">How to make an entrepreneurial State: why innovation needs bureaucracy.</w:t>
      </w:r>
      <w:r>
        <w:t xml:space="preserve"> New Haven: Yale University Press, 2022.</w:t>
      </w:r>
    </w:p>
    <w:p>
      <w:pPr>
        <w:spacing w:after="120" w:line="240" w:lineRule="auto"/>
        <w:jc w:val="left"/>
      </w:pPr>
      <w:r>
        <w:t xml:space="preserve">MAZZUCATO, M.; SPANÓ, E.; DOYLE, S. </w:t>
      </w:r>
      <w:r>
        <w:rPr>
          <w:i/>
          <w:iCs/>
        </w:rPr>
        <w:t xml:space="preserve">Leveraging procurement to advance Brazil’s economic transformation agenda.</w:t>
      </w:r>
      <w:r>
        <w:t xml:space="preserve"> London: UCL Institute for Innovation and Public Purpose, Working Paper Series, IIPP WP 2024-10, 2024.</w:t>
      </w:r>
    </w:p>
    <w:p>
      <w:pPr>
        <w:spacing w:after="120" w:line="240" w:lineRule="auto"/>
        <w:jc w:val="left"/>
      </w:pPr>
      <w:r>
        <w:t xml:space="preserve">PIRES, R. R. C.; GOMIDE, A. A. </w:t>
      </w:r>
      <w:r>
        <w:rPr>
          <w:i/>
          <w:iCs/>
        </w:rPr>
        <w:t xml:space="preserve">Governança e capacidades estatais a partir da abordagem dos arranjos e instrumentos de políticas públicas.</w:t>
      </w:r>
      <w:r>
        <w:t xml:space="preserve"> Brasília: Ipea, 2018.</w:t>
      </w:r>
    </w:p>
    <w:p>
      <w:pPr>
        <w:spacing w:after="120" w:line="240" w:lineRule="auto"/>
        <w:jc w:val="left"/>
      </w:pPr>
      <w:r>
        <w:t xml:space="preserve">RAUEN, A. T. (org.). </w:t>
      </w:r>
      <w:r>
        <w:rPr>
          <w:i/>
          <w:iCs/>
        </w:rPr>
        <w:t xml:space="preserve">Compras públicas para inovação no Brasil: novas possibilidades legais.</w:t>
      </w:r>
      <w:r>
        <w:t xml:space="preserve"> Brasília: Ipea, 2022.</w:t>
      </w:r>
    </w:p>
    <w:p>
      <w:pPr>
        <w:spacing w:after="120" w:line="240" w:lineRule="auto"/>
        <w:jc w:val="left"/>
      </w:pPr>
      <w:r>
        <w:t xml:space="preserve">SUNDFELD, C. A.; CÂMARA, J. A. Controle das contratações públicas pelos tribunais de contas. </w:t>
      </w:r>
      <w:r>
        <w:rPr>
          <w:i/>
          <w:iCs/>
        </w:rPr>
        <w:t xml:space="preserve">Revista de Direito Administrativo</w:t>
      </w:r>
      <w:r>
        <w:t xml:space="preserve">, Rio de Janeiro, v. 257, p. 111-144, 2011.</w:t>
      </w:r>
    </w:p>
    <w:p>
      <w:pPr>
        <w:spacing w:after="120" w:line="240" w:lineRule="auto"/>
        <w:jc w:val="left"/>
      </w:pPr>
      <w:r>
        <w:t xml:space="preserve">TÕNURIST, P.; KATTEL, R.; LEMBER, V. Innovation labs in the public sector: what they are and what they do? </w:t>
      </w:r>
      <w:r>
        <w:rPr>
          <w:i/>
          <w:iCs/>
        </w:rPr>
        <w:t xml:space="preserve">Public Management Review</w:t>
      </w:r>
      <w:r>
        <w:t xml:space="preserve">, v. 19, n. 10, p. 1455-1479, 2017.</w:t>
      </w:r>
    </w:p>
    <w:p>
      <w:pPr>
        <w:spacing w:after="120" w:line="240" w:lineRule="auto"/>
        <w:jc w:val="left"/>
      </w:pPr>
      <w:r>
        <w:t xml:space="preserve">TRIBUNAL DE CONTAS DA UNIÃO (TCU). </w:t>
      </w:r>
      <w:r>
        <w:rPr>
          <w:i/>
          <w:iCs/>
        </w:rPr>
        <w:t xml:space="preserve">Referencial Básico do Programa de Inovação.</w:t>
      </w:r>
      <w:r>
        <w:t xml:space="preserve"> Brasília: TCU, 2017.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2026-08-25T20:16:50.964Z</dcterms:created>
  <dcterms:modified xsi:type="dcterms:W3CDTF">2026-08-25T20:16:50.964Z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