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lineRule="auto"/>
        <w:jc w:val="center"/>
      </w:pPr>
      <w:r>
        <w:rPr>
          <w:b/>
          <w:bCs/>
        </w:rPr>
        <w:t xml:space="preserve">PARECER JURÍDICO</w:t>
      </w:r>
    </w:p>
    <w:p>
      <w:pPr>
        <w:spacing w:after="220" w:line="360" w:lineRule="auto"/>
        <w:jc w:val="center"/>
      </w:pPr>
      <w:r>
        <w:rPr>
          <w:b/>
          <w:bCs/>
          <w:sz w:val="22"/>
          <w:szCs w:val="22"/>
        </w:rPr>
        <w:t xml:space="preserve">Reabilitação de licitante ou contratado. Prazo de avaliação do art. 24, parágrafo único, da Portaria Normativa SE/CGU nº 226, de 9 de setembro de 2025. Termo inicial na hipótese de pedido protocolado antes do término da penalidade.</w:t>
      </w:r>
    </w:p>
    <w:p>
      <w:pPr>
        <w:spacing w:after="220" w:before="60" w:line="276" w:lineRule="auto"/>
        <w:ind w:left="1417"/>
        <w:jc w:val="both"/>
      </w:pPr>
      <w:r>
        <w:rPr>
          <w:b/>
          <w:bCs/>
        </w:rPr>
        <w:t xml:space="preserve">EMENTA: </w:t>
      </w:r>
      <w:r>
        <w:t xml:space="preserve">REABILITAÇÃO DE LICITANTE OU CONTRATADO. AVALIAÇÃO DE PROGRAMA DE INTEGRIDADE PELA CONTROLADORIA-GERAL DA UNIÃO. PRAZO DE NOVENTA DIAS DO ART. 24, PARÁGRAFO ÚNICO, DA PORTARIA NORMATIVA SE/CGU Nº 226/2025. PEDIDO PROTOCOLADO ANTES DO TÉRMINO DA PENALIDADE. TERMO INICIAL (DIES A QUO). 1. Os requisitos da reabilitação são cumulativos (art. 163 da Lei nº 14.133/2021; art. 21 da Portaria SE/CGU nº 226/2025), e a avaliação do programa de integridade somente se realiza “após cumpridas as demais medidas de reabilitação”, entre as quais o transcurso do prazo sancionatório (inciso III) e o cumprimento das condições definidas no ato punitivo (inciso IV). 2. A leitura exclusivamente literal do art. 24, parágrafo único — que conta os noventa dias “da submissão” —, aplicada ao pedido prematuro, conduz a resultado absurdo, por permitir a conclusão da reabilitação antes de integralmente cumprida a sanção, em afronta ao art. 163, III e IV, da Lei nº 14.133/2021 e aos arts. 20 e 21 da Portaria. 3. A interpretação sistemática e teleológica impõe o diferimento do dies a quo: protocolado o pedido antes do termo final da penalidade, o prazo de noventa dias somente se inicia quando integralizados todos os requisitos da reabilitação — ordinariamente, a data final da punição. 4. O protocolo antecipado é admissível como ato preparatório, por celeridade e economia processual, mas não vincula nem antecipa o termo inicial do prazo de avaliação. 5. O pedido apresentado no rito ordinário, já apto, não pode ser preterido pelo pedido prematuro; a ordem de análise observa a data de perfectibilização do pedido, à luz da impessoalidade, da isonomia e da eficiência.</w:t>
      </w:r>
    </w:p>
    <w:p>
      <w:pPr>
        <w:spacing w:after="80" w:before="240" w:line="360" w:lineRule="auto"/>
        <w:jc w:val="left"/>
      </w:pPr>
      <w:r>
        <w:rPr>
          <w:b/>
          <w:bCs/>
        </w:rPr>
        <w:t xml:space="preserve">I – DO RELATÓRIO</w:t>
      </w:r>
    </w:p>
    <w:p>
      <w:pPr>
        <w:spacing w:after="0" w:line="360" w:lineRule="auto"/>
        <w:ind w:firstLine="709"/>
        <w:jc w:val="both"/>
      </w:pPr>
      <w:r>
        <w:t xml:space="preserve">Cuida-se de consulta jurídica acerca da aplicação do art. 24, parágrafo único, da Portaria Normativa SE/CGU nº 226, de 9 de setembro de 2025, que fixa em noventa dias o prazo para a Controladoria-Geral da União (CGU) avaliar o programa de integridade nos processos de reabilitação de licitante ou contratado.</w:t>
      </w:r>
    </w:p>
    <w:p>
      <w:pPr>
        <w:spacing w:after="0" w:line="360" w:lineRule="auto"/>
        <w:ind w:firstLine="709"/>
        <w:jc w:val="both"/>
      </w:pPr>
      <w:r>
        <w:t xml:space="preserve">Indaga-se, especificamente: (i) se é admissível que a pessoa jurídica sancionada protocole o pedido de reabilitação antes do término da penalidade — cogitando-se de submissão em até noventa dias antes da data final da punição; (ii) qual o termo inicial (dies a quo) do prazo de noventa dias do art. 24, parágrafo único, nessa hipótese; e (iii) se o protocolo antecipado confere à requerente prioridade de análise em face de pedido apresentado segundo o rito ordinário, isto é, após o exaurimento do prazo sancionatório.</w:t>
      </w:r>
    </w:p>
    <w:p>
      <w:pPr>
        <w:spacing w:after="0" w:line="360" w:lineRule="auto"/>
        <w:ind w:firstLine="709"/>
        <w:jc w:val="both"/>
      </w:pPr>
      <w:r>
        <w:t xml:space="preserve">A premissa que orienta a consulta é a de que a CGU não deve abrir mão da integralidade do prazo de noventa dias contado da data final da punição, de modo que o protocolo antecipado, embora tolerável em nome da celeridade, não possa vincular nem abreviar o referido prazo. É o breve relatório. Passa-se a opinar.</w:t>
      </w:r>
    </w:p>
    <w:p>
      <w:pPr>
        <w:spacing w:after="80" w:before="240" w:line="360" w:lineRule="auto"/>
        <w:jc w:val="left"/>
      </w:pPr>
      <w:r>
        <w:rPr>
          <w:b/>
          <w:bCs/>
        </w:rPr>
        <w:t xml:space="preserve">II – DA FUNDAMENTAÇÃO</w:t>
      </w:r>
    </w:p>
    <w:p>
      <w:pPr>
        <w:spacing w:after="40" w:before="160" w:line="360" w:lineRule="auto"/>
        <w:jc w:val="left"/>
      </w:pPr>
      <w:r>
        <w:rPr>
          <w:b/>
          <w:bCs/>
          <w:sz w:val="22"/>
          <w:szCs w:val="22"/>
        </w:rPr>
        <w:t xml:space="preserve">II.1 – Do marco normativo aplicável</w:t>
      </w:r>
    </w:p>
    <w:p>
      <w:pPr>
        <w:spacing w:after="0" w:line="360" w:lineRule="auto"/>
        <w:ind w:firstLine="709"/>
        <w:jc w:val="both"/>
      </w:pPr>
      <w:r>
        <w:t xml:space="preserve">A reabilitação de licitante ou contratado tem sede no art. 163 da Lei nº 14.133, de 1º de abril de 2021, que a admite “perante a própria autoridade que aplicou a penalidade”, exigidos, cumulativamente, os seguintes requisitos: reparação integral do dano causado à Administração Pública, quando couber (inciso I); pagamento da multa (inciso II); transcurso do prazo mínimo de um ano da aplicação da penalidade, no caso de impedimento de licitar e contratar, ou de três anos, no caso de declaração de inidoneidade (inciso III); cumprimento das condições de reabilitação definidas no ato punitivo (inciso IV); e análise jurídica prévia, com posicionamento conclusivo quanto ao cumprimento dos requisitos (inciso V). O parágrafo único do mesmo artigo exige, ainda, para as condutas mais graves — as descritas nos incisos VIII e XII do art. 155 —, a implantação ou o aperfeiçoamento de programa de integridade como condição de reabilitação.</w:t>
      </w:r>
    </w:p>
    <w:p>
      <w:pPr>
        <w:spacing w:after="0" w:line="360" w:lineRule="auto"/>
        <w:ind w:firstLine="709"/>
        <w:jc w:val="both"/>
      </w:pPr>
      <w:r>
        <w:t xml:space="preserve">O Decreto nº 12.304, de 9 de dezembro de 2024, regulamentou o art. 163, parágrafo único, da Lei nº 14.133/2021, dispondo sobre os parâmetros e a avaliação dos programas de integridade, inclusive na hipótese de reabilitação de licitante ou contratado (art. 1º, inciso III), e cometeu ao Ministro de Estado da Controladoria-Geral da União a competência para editar as orientações, normas e procedimentos complementares necessários à sua execução (art. 23, inciso II).</w:t>
      </w:r>
    </w:p>
    <w:p>
      <w:pPr>
        <w:spacing w:after="0" w:line="360" w:lineRule="auto"/>
        <w:ind w:firstLine="709"/>
        <w:jc w:val="both"/>
      </w:pPr>
      <w:r>
        <w:t xml:space="preserve">Nesse exercício, sobreveio a Portaria Normativa SE/CGU nº 226/2025, cujo Capítulo IV disciplina a avaliação do programa de integridade nos processos de reabilitação. Três dispositivos são decisivos para a consulta. O art. 20 fixa o objeto da avaliação:</w:t>
      </w:r>
    </w:p>
    <w:p>
      <w:pPr>
        <w:spacing w:after="80" w:before="80" w:line="240" w:lineRule="auto"/>
        <w:ind w:left="2268"/>
        <w:jc w:val="both"/>
      </w:pPr>
      <w:r>
        <w:rPr>
          <w:i/>
          <w:iCs/>
          <w:sz w:val="22"/>
          <w:szCs w:val="22"/>
        </w:rPr>
        <w:t xml:space="preserve">Art. 20. Nos processos de reabilitação em razão de sanção aplicada pela prática das infrações previstas no art. 155, caput, incisos VIII e XII, da Lei nº 14.133, de 1º de abril de 2021, a avaliação tem por objetivo verificar se a pessoa jurídica sancionada implantou ou aperfeiçoou seu Programa de Integridade, com base nos parâmetros estabelecidos no art. 2º desta Portaria Normativa, no período em que esteve impedida de licitar ou contratar.</w:t>
      </w:r>
    </w:p>
    <w:p>
      <w:pPr>
        <w:spacing w:after="0" w:line="360" w:lineRule="auto"/>
        <w:ind w:firstLine="709"/>
        <w:jc w:val="both"/>
      </w:pPr>
      <w:r>
        <w:t xml:space="preserve">O art. 21, por sua vez, condiciona expressamente a avaliação ao prévio cumprimento das medidas de reabilitação do art. 163 da Lei nº 14.133/2021:</w:t>
      </w:r>
    </w:p>
    <w:p>
      <w:pPr>
        <w:spacing w:after="80" w:before="80" w:line="240" w:lineRule="auto"/>
        <w:ind w:left="2268"/>
        <w:jc w:val="both"/>
      </w:pPr>
      <w:r>
        <w:rPr>
          <w:i/>
          <w:iCs/>
          <w:sz w:val="22"/>
          <w:szCs w:val="22"/>
        </w:rPr>
        <w:t xml:space="preserve">Art. 21. A avaliação quanto à implantação ou aperfeiçoamento do Programa de Integridade será realizada pela Controladoria-Geral da União, mediante solicitação da autoridade responsável pela aplicação da penalidade, após cumpridas as demais medidas de reabilitação previstas no art. 163 da Lei nº 14.133, de 1º de abril de 2021, quais sejam: [...] III - transcurso do prazo mínimo de um ano da aplicação da penalidade, no caso de impedimento de licitar e contratar, ou de três anos da aplicação da penalidade, no caso de declaração de inidoneidade; e IV - cumprimento das condições de reabilitação definidas no ato punitivo [...].</w:t>
      </w:r>
    </w:p>
    <w:p>
      <w:pPr>
        <w:spacing w:after="0" w:line="360" w:lineRule="auto"/>
        <w:ind w:firstLine="709"/>
        <w:jc w:val="both"/>
      </w:pPr>
      <w:r>
        <w:t xml:space="preserve">Por fim, o art. 24, parágrafo único, estabelece o prazo de avaliação objeto da controvérsia:</w:t>
      </w:r>
    </w:p>
    <w:p>
      <w:pPr>
        <w:spacing w:after="80" w:before="80" w:line="240" w:lineRule="auto"/>
        <w:ind w:left="2268"/>
        <w:jc w:val="both"/>
      </w:pPr>
      <w:r>
        <w:rPr>
          <w:i/>
          <w:iCs/>
          <w:sz w:val="22"/>
          <w:szCs w:val="22"/>
        </w:rPr>
        <w:t xml:space="preserve">Art. 24. [...] Parágrafo único. Os processos de reabilitação serão avaliados pela Controladoria-Geral da União em até noventa dias, contados da submissão, pela pessoa jurídica sancionada, das informações e documentos que comprovam a implantação ou aperfeiçoamento do Programa de Integridade.</w:t>
      </w:r>
    </w:p>
    <w:p>
      <w:pPr>
        <w:spacing w:after="40" w:before="160" w:line="360" w:lineRule="auto"/>
        <w:jc w:val="left"/>
      </w:pPr>
      <w:r>
        <w:rPr>
          <w:b/>
          <w:bCs/>
          <w:sz w:val="22"/>
          <w:szCs w:val="22"/>
        </w:rPr>
        <w:t xml:space="preserve">II.2 – Da delimitação do quesito</w:t>
      </w:r>
    </w:p>
    <w:p>
      <w:pPr>
        <w:spacing w:after="0" w:line="360" w:lineRule="auto"/>
        <w:ind w:firstLine="709"/>
        <w:jc w:val="both"/>
      </w:pPr>
      <w:r>
        <w:t xml:space="preserve">A questão não é de mera contagem, mas de definição do termo inicial do prazo de noventa dias quando a submissão dos documentos ocorre antes de exaurido o prazo sancionatório. Em outras palavras: a expressão “contados da submissão”, do art. 24, parágrafo único, deve ser aplicada de modo literal e isolado, ou comporta leitura harmônica com os arts. 20 e 21 da mesma Portaria e com o art. 163 da Lei nº 14.133/2021? A resposta a essa indagação determina, por consequência, tanto a admissibilidade do protocolo antecipado quanto a eventual prioridade de análise.</w:t>
      </w:r>
    </w:p>
    <w:p>
      <w:pPr>
        <w:spacing w:after="40" w:before="160" w:line="360" w:lineRule="auto"/>
        <w:jc w:val="left"/>
      </w:pPr>
      <w:r>
        <w:rPr>
          <w:b/>
          <w:bCs/>
          <w:sz w:val="22"/>
          <w:szCs w:val="22"/>
        </w:rPr>
        <w:t xml:space="preserve">II.3 – Da insuficiência da leitura estritamente literal</w:t>
      </w:r>
    </w:p>
    <w:p>
      <w:pPr>
        <w:spacing w:after="0" w:line="360" w:lineRule="auto"/>
        <w:ind w:firstLine="709"/>
        <w:jc w:val="both"/>
      </w:pPr>
      <w:r>
        <w:t xml:space="preserve">A leitura que toma o art. 24, parágrafo único, isoladamente — fazendo o prazo de noventa dias fluir, sempre e automaticamente, da data material da submissão — revela-se insustentável quando aplicada ao pedido protocolado antes do término da penalidade. É que, admitida a submissão prematura como termo inicial, o prazo de avaliação poderia encerrar-se antes de cumprida a sanção, de modo que a reabilitação viria a ser deferida enquanto ainda vigente o impedimento ou a inidoneidade. O resultado é duplamente vedado pelo ordenamento: de um lado, contraria o art. 163, incisos III e IV, da Lei nº 14.133/2021, que erige o transcurso do prazo e o cumprimento das condições do ato punitivo em requisitos da reabilitação; de outro, esvazia a própria finalidade da sanção, que perderia seu caráter retributivo e preventivo caso pudesse ser neutralizada antes de integralmente cumprida.</w:t>
      </w:r>
    </w:p>
    <w:p>
      <w:pPr>
        <w:spacing w:after="0" w:line="360" w:lineRule="auto"/>
        <w:ind w:firstLine="709"/>
        <w:jc w:val="both"/>
      </w:pPr>
      <w:r>
        <w:t xml:space="preserve">É regra elementar de hermenêutica que a norma não deve ser interpretada de modo a produzir efeito absurdo, inútil ou contraditório com o sistema em que se insere. O art. 24, parágrafo único, não é ilha normativa: integra o Capítulo IV da Portaria e subordina-se à lógica do art. 163 da Lei nº 14.133/2021. A literalidade, portanto, não pode prevalecer sobre a coerência do conjunto quando de sua aplicação isolada resultar consequência incompatível com a ordem jurídica.</w:t>
      </w:r>
    </w:p>
    <w:p>
      <w:pPr>
        <w:spacing w:after="40" w:before="160" w:line="360" w:lineRule="auto"/>
        <w:jc w:val="left"/>
      </w:pPr>
      <w:r>
        <w:rPr>
          <w:b/>
          <w:bCs/>
          <w:sz w:val="22"/>
          <w:szCs w:val="22"/>
        </w:rPr>
        <w:t xml:space="preserve">II.4 – Da interpretação sistemática e teleológica: o diferimento do dies a quo</w:t>
      </w:r>
    </w:p>
    <w:p>
      <w:pPr>
        <w:spacing w:after="0" w:line="360" w:lineRule="auto"/>
        <w:ind w:firstLine="709"/>
        <w:jc w:val="both"/>
      </w:pPr>
      <w:r>
        <w:t xml:space="preserve">A superação do impasse decorre da leitura conjugada dos arts. 20, 21 e 24 da Portaria. O art. 21, caput, é categórico ao afirmar que a avaliação “será realizada pela Controladoria-Geral da União [...] após cumpridas as demais medidas de reabilitação previstas no art. 163”, dentre as quais o transcurso do prazo sancionatório (inciso III) e o cumprimento das condições definidas no ato punitivo (inciso IV). Se a própria avaliação pressupõe, como antecedente lógico e cronológico, o exaurimento do prazo da penalidade, o prazo de noventa dias destinado a essa avaliação (art. 24, parágrafo único) não pode ter início antes daquele exaurimento. O prazo da atividade não antecede a condição de sua realização.</w:t>
      </w:r>
    </w:p>
    <w:p>
      <w:pPr>
        <w:spacing w:after="0" w:line="360" w:lineRule="auto"/>
        <w:ind w:firstLine="709"/>
        <w:jc w:val="both"/>
      </w:pPr>
      <w:r>
        <w:t xml:space="preserve">No mesmo sentido milita o art. 20, que define como objeto da avaliação o desempenho do programa de integridade “no período em que esteve impedida de licitar ou contratar”. O período de referência é, pois, todo o intervalo do impedimento, que somente se completa em seu termo final. Documentos submetidos antes desse marco são, por definição, incompletos, pois não podem comprovar a implantação ou o aperfeiçoamento do programa ao longo da integralidade do período exigido. Não constituem, assim, a “submissão [...] das informações e documentos que comprovam a implantação ou aperfeiçoamento” a que se refere o art. 24, parágrafo único — e, não a constituindo, não têm o condão de deflagrar o prazo.</w:t>
      </w:r>
    </w:p>
    <w:p>
      <w:pPr>
        <w:spacing w:after="0" w:line="360" w:lineRule="auto"/>
        <w:ind w:firstLine="709"/>
        <w:jc w:val="both"/>
      </w:pPr>
      <w:r>
        <w:t xml:space="preserve">Reforça a conclusão o princípio geral segundo o qual o termo inicial de um prazo corre a partir do momento em que a faculdade ou a pretensão pode ser efetivamente exercida (actio nata). Como a avaliação apenas é exercitável quando presentes todos os requisitos de reabilitação, o dies a quo do prazo de noventa dias desloca-se para a data em que se perfaz o último desses requisitos — ordinariamente, a data final da punição. A submissão anterior é, quando muito, ato preparatório, insuscetível de iniciar a contagem.</w:t>
      </w:r>
    </w:p>
    <w:p>
      <w:pPr>
        <w:spacing w:after="0" w:line="360" w:lineRule="auto"/>
        <w:ind w:firstLine="709"/>
        <w:jc w:val="both"/>
      </w:pPr>
      <w:r>
        <w:t xml:space="preserve">Essa exegese observa, ainda, o comando dos arts. 20 e 22 da Lei de Introdução às Normas do Direito Brasileiro (Decreto-Lei nº 4.657/1942), que impõem ao intérprete a consideração das consequências práticas da decisão e da realidade em que atua o gestor público, bem como os princípios da legalidade, da impessoalidade, da eficiência e da segurança jurídica (art. 37 da Constituição; art. 2º da Lei nº 9.784/1999). Cumpre registrar que a jurisprudência específica sobre o dispositivo é ainda incipiente, dada a novidade do regime; a solução aqui proposta ampara-se, contudo, em cânones consolidados do direito administrativo sancionador — notadamente o de que a reabilitação pressupõe o efetivo cumprimento da sanção e não antecipa os seus efeitos.</w:t>
      </w:r>
    </w:p>
    <w:p>
      <w:pPr>
        <w:spacing w:after="0" w:line="360" w:lineRule="auto"/>
        <w:ind w:firstLine="709"/>
        <w:jc w:val="both"/>
      </w:pPr>
      <w:r>
        <w:t xml:space="preserve">Fixa-se, pois, a </w:t>
      </w:r>
      <w:r>
        <w:rPr>
          <w:b/>
          <w:bCs/>
        </w:rPr>
        <w:t xml:space="preserve">primeira conclusão parcial</w:t>
      </w:r>
      <w:r>
        <w:t xml:space="preserve">: protocolado o pedido de reabilitação antes do término da penalidade, o prazo de noventa dias do art. 24, parágrafo único, não flui da submissão prematura, mas se difere para a data em que integralizados todos os requisitos de reabilitação, isto é, a data final da punição — preservando-se a literalidade do dispositivo para o rito ordinário, em que a submissão ocorre após o cumprimento da sanção.</w:t>
      </w:r>
    </w:p>
    <w:p>
      <w:pPr>
        <w:spacing w:after="40" w:before="160" w:line="360" w:lineRule="auto"/>
        <w:jc w:val="left"/>
      </w:pPr>
      <w:r>
        <w:rPr>
          <w:b/>
          <w:bCs/>
          <w:sz w:val="22"/>
          <w:szCs w:val="22"/>
        </w:rPr>
        <w:t xml:space="preserve">II.5 – Da admissibilidade do protocolo antecipado como ato preparatório</w:t>
      </w:r>
    </w:p>
    <w:p>
      <w:pPr>
        <w:spacing w:after="0" w:line="360" w:lineRule="auto"/>
        <w:ind w:firstLine="709"/>
        <w:jc w:val="both"/>
      </w:pPr>
      <w:r>
        <w:t xml:space="preserve">O diferimento do dies a quo não implica a inadmissibilidade do protocolo antecipado. Ao contrário: não há, no regime da Lei nº 14.133/2021, do Decreto nº 12.304/2024 ou da Portaria nº 226/2025, vedação a que a pessoa jurídica sancionada apresente antecipadamente o requerimento e a documentação. O art. 21, § 2º, da Portaria alude, expressamente, ao “momento em que o pedido de reabilitação for realizado”, o que pressupõe a possibilidade de sua apresentação. A tolerância do protocolo antecipado atende, ademais, aos princípios da eficiência e da economia processual, ao permitir que a CGU adote desde logo as medidas instrutórias do art. 10, aplicáveis por força do art. 24, caput.</w:t>
      </w:r>
    </w:p>
    <w:p>
      <w:pPr>
        <w:spacing w:after="0" w:line="360" w:lineRule="auto"/>
        <w:ind w:firstLine="709"/>
        <w:jc w:val="both"/>
      </w:pPr>
      <w:r>
        <w:t xml:space="preserve">Trata-se, todavia, de mera antecipação de ato preparatório, que não vincula nem abrevia o prazo de avaliação: a CGU pode receber e instruir o pedido, mas não está obrigada a concluí-lo antes do termo final da penalidade, nem tem o seu prazo de noventa dias reduzido por força da precedência do protocolo. Convém advertir, por cautela, que a submissão prematura e incompleta expõe a requerente ao risco de avaliação com resultado de programa “não implantado ou não aperfeiçoado” (art. 25, inciso II), a atrair a vedação do art. 27 — que impõe prazo mínimo de seis meses para nova submissão. Recomenda-se, por isso, que a documentação abranja a integralidade do período de impedimento.</w:t>
      </w:r>
    </w:p>
    <w:p>
      <w:pPr>
        <w:spacing w:after="40" w:before="160" w:line="360" w:lineRule="auto"/>
        <w:jc w:val="left"/>
      </w:pPr>
      <w:r>
        <w:rPr>
          <w:b/>
          <w:bCs/>
          <w:sz w:val="22"/>
          <w:szCs w:val="22"/>
        </w:rPr>
        <w:t xml:space="preserve">II.6 – Da prioridade de análise e da isonomia entre os pedidos</w:t>
      </w:r>
    </w:p>
    <w:p>
      <w:pPr>
        <w:spacing w:after="0" w:line="360" w:lineRule="auto"/>
        <w:ind w:firstLine="709"/>
        <w:jc w:val="both"/>
      </w:pPr>
      <w:r>
        <w:t xml:space="preserve">Da premissa acima decorre a resposta ao terceiro quesito. O pedido apresentado segundo o rito ordinário — após o exaurimento do prazo sancionatório — nasce apto, porque já reunidos todos os requisitos do art. 163 da Lei nº 14.133/2021 e do art. 21 da Portaria. O pedido prematuro, ao revés, somente se perfaz no termo final da punição. Não seria isonômico nem impessoal que o requerente que se antecipou obtivesse, por esse único fato, vantagem na ordem de análise em detrimento daquele que observou o rito regular.</w:t>
      </w:r>
    </w:p>
    <w:p>
      <w:pPr>
        <w:spacing w:after="0" w:line="360" w:lineRule="auto"/>
        <w:ind w:firstLine="709"/>
        <w:jc w:val="both"/>
      </w:pPr>
      <w:r>
        <w:t xml:space="preserve">Impõe-se, portanto, que a ordem de análise observe a data de perfectibilização (aptidão) de cada pedido, e não a data do protocolo material. Nessa medida, o pedido regularmente apresentado após o cumprimento da sanção não pode ser preterido pelo pedido prematuro, sob pena de ofensa à impessoalidade e à isonomia (art. 37 da Constituição) e de estímulo indevido à antecipação como expediente para “furar a fila”. A eventual pré-instrução do pedido antecipado, franqueada por liberalidade da Administração em nome da celeridade, não se converte em direito de precedência.</w:t>
      </w:r>
    </w:p>
    <w:p>
      <w:pPr>
        <w:spacing w:after="40" w:before="160" w:line="360" w:lineRule="auto"/>
        <w:jc w:val="left"/>
      </w:pPr>
      <w:r>
        <w:rPr>
          <w:b/>
          <w:bCs/>
          <w:sz w:val="22"/>
          <w:szCs w:val="22"/>
        </w:rPr>
        <w:t xml:space="preserve">II.7 – Das diretrizes operacionais</w:t>
      </w:r>
    </w:p>
    <w:p>
      <w:pPr>
        <w:spacing w:after="0" w:line="360" w:lineRule="auto"/>
        <w:ind w:firstLine="709"/>
        <w:jc w:val="both"/>
      </w:pPr>
      <w:r>
        <w:t xml:space="preserve">À luz do exposto, e sem prejuízo da conveniência de a CGU positivar a matéria em ato interpretativo ou orientação normativa própria, sugerem-se as seguintes diretrizes: (a) receber o pedido protocolado antes do termo final da penalidade como protocolo condicional, procedendo, se conveniente, à instrução preliminar; (b) fixar o dies a quo do prazo de noventa dias na data final da punição — ou na data da submissão, quando esta for posterior àquele termo; (c) abster-se de concluir a avaliação antes de integralizados os requisitos do art. 163 da Lei nº 14.133/2021 e do art. 21 da Portaria; e (d) ordenar a análise dos pedidos pela respectiva data de aptidão, resguardada a prioridade dos pedidos apresentados no rito ordinário.</w:t>
      </w:r>
    </w:p>
    <w:p>
      <w:pPr>
        <w:spacing w:after="80" w:before="240" w:line="360" w:lineRule="auto"/>
        <w:jc w:val="left"/>
      </w:pPr>
      <w:r>
        <w:rPr>
          <w:b/>
          <w:bCs/>
        </w:rPr>
        <w:t xml:space="preserve">III – DA CONCLUSÃO</w:t>
      </w:r>
    </w:p>
    <w:p>
      <w:pPr>
        <w:spacing w:after="0" w:line="360" w:lineRule="auto"/>
        <w:ind w:firstLine="709"/>
        <w:jc w:val="both"/>
      </w:pPr>
      <w:r>
        <w:t xml:space="preserve">Ante o exposto, responde-se objetivamente aos quesitos formulados:</w:t>
      </w:r>
    </w:p>
    <w:p>
      <w:pPr>
        <w:spacing w:after="0" w:line="360" w:lineRule="auto"/>
        <w:ind w:firstLine="709"/>
        <w:jc w:val="both"/>
      </w:pPr>
      <w:r>
        <w:rPr>
          <w:b/>
          <w:bCs/>
        </w:rPr>
        <w:t xml:space="preserve">(i) </w:t>
      </w:r>
      <w:r>
        <w:t xml:space="preserve">É admissível que a pessoa jurídica sancionada protocole o pedido de reabilitação antes do término da penalidade — inclusive em até noventa dias antes de sua data final —, na condição de ato preparatório, por não haver vedação legal e em atenção à eficiência e à economia processual.</w:t>
      </w:r>
    </w:p>
    <w:p>
      <w:pPr>
        <w:spacing w:after="0" w:line="360" w:lineRule="auto"/>
        <w:ind w:firstLine="709"/>
        <w:jc w:val="both"/>
      </w:pPr>
      <w:r>
        <w:rPr>
          <w:b/>
          <w:bCs/>
        </w:rPr>
        <w:t xml:space="preserve">(ii) </w:t>
      </w:r>
      <w:r>
        <w:t xml:space="preserve">O prazo de noventa dias do art. 24, parágrafo único, da Portaria SE/CGU nº 226/2025 não flui da submissão prematura. Protocolado o pedido antes do término da penalidade, o dies a quo difere-se para a data em que integralizados todos os requisitos de reabilitação (art. 163 da Lei nº 14.133/2021; art. 21 da Portaria), ordinariamente coincidente com a data final da punição. A literalidade do dispositivo permanece íntegra para o rito ordinário, em que a submissão se dá após o cumprimento da sanção.</w:t>
      </w:r>
    </w:p>
    <w:p>
      <w:pPr>
        <w:spacing w:after="0" w:line="360" w:lineRule="auto"/>
        <w:ind w:firstLine="709"/>
        <w:jc w:val="both"/>
      </w:pPr>
      <w:r>
        <w:rPr>
          <w:b/>
          <w:bCs/>
        </w:rPr>
        <w:t xml:space="preserve">(iii) </w:t>
      </w:r>
      <w:r>
        <w:t xml:space="preserve">O protocolo antecipado não vincula nem prejudica o prazo de noventa dias, que a CGU preserva integralmente a partir do termo final da penalidade; e não confere prioridade de análise. A ordem de exame observa a data de perfectibilização do pedido, resguardada a precedência daquele apresentado segundo o rito ordinário, em homenagem à impessoalidade e à isonomia.</w:t>
      </w:r>
    </w:p>
    <w:p>
      <w:pPr>
        <w:spacing w:after="0" w:line="360" w:lineRule="auto"/>
        <w:ind w:firstLine="709"/>
        <w:jc w:val="both"/>
      </w:pPr>
      <w:r>
        <w:t xml:space="preserve">É o parecer, que se submete à consideração superior, salvo melhor juízo.</w:t>
      </w:r>
    </w:p>
    <w:p>
      <w:pPr>
        <w:spacing w:after="0" w:before="200" w:line="360" w:lineRule="auto"/>
        <w:jc w:val="left"/>
      </w:pPr>
      <w:r>
        <w:rPr>
          <w:b w:val="false"/>
          <w:bCs w:val="false"/>
          <w:i w:val="false"/>
          <w:iCs w:val="false"/>
        </w:rPr>
        <w:t xml:space="preserve">[Local], [data].</w:t>
      </w:r>
    </w:p>
    <w:p>
      <w:pPr>
        <w:spacing w:after="0" w:before="260" w:line="360" w:lineRule="auto"/>
        <w:jc w:val="center"/>
      </w:pPr>
      <w:r>
        <w:rPr>
          <w:b w:val="false"/>
          <w:bCs w:val="false"/>
          <w:i w:val="false"/>
          <w:iCs w:val="false"/>
        </w:rPr>
        <w:t xml:space="preserve">_______________________________________</w:t>
      </w:r>
    </w:p>
    <w:p>
      <w:pPr>
        <w:spacing w:after="0" w:before="0" w:line="360" w:lineRule="auto"/>
        <w:jc w:val="center"/>
      </w:pPr>
      <w:r>
        <w:rPr>
          <w:b/>
          <w:bCs/>
          <w:i w:val="false"/>
          <w:iCs w:val="false"/>
        </w:rPr>
        <w:t xml:space="preserve">[Nome do(a) parecerista]</w:t>
      </w:r>
    </w:p>
    <w:p>
      <w:pPr>
        <w:spacing w:after="0" w:before="0" w:line="360" w:lineRule="auto"/>
        <w:jc w:val="center"/>
      </w:pPr>
      <w:r>
        <w:rPr>
          <w:b w:val="false"/>
          <w:bCs w:val="false"/>
          <w:i w:val="false"/>
          <w:iCs w:val="false"/>
        </w:rPr>
        <w:t xml:space="preserve">[Cargo / OAB nº ...]</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2026-08-31T14:36:48.968Z</dcterms:created>
  <dcterms:modified xsi:type="dcterms:W3CDTF">2026-08-31T14:36:48.982Z</dcterms:modified>
</cp:coreProperties>
</file>

<file path=docProps/custom.xml><?xml version="1.0" encoding="utf-8"?>
<Properties xmlns="http://schemas.openxmlformats.org/officeDocument/2006/custom-properties" xmlns:vt="http://schemas.openxmlformats.org/officeDocument/2006/docPropsVTypes"/>
</file>