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 w:lineRule="auto"/>
        <w:jc w:val="center"/>
      </w:pPr>
      <w:r>
        <w:rPr>
          <w:b/>
          <w:bCs/>
        </w:rPr>
        <w:t xml:space="preserve">RESUMO</w:t>
      </w:r>
    </w:p>
    <w:p>
      <w:pPr>
        <w:spacing w:after="200" w:line="240" w:lineRule="auto"/>
        <w:jc w:val="both"/>
      </w:pPr>
      <w:r>
        <w:t xml:space="preserve">Resumo do artigo: FOSS, M. C.; COUTINHO, D. R.; REIS, R. T. de S. </w:t>
      </w:r>
      <w:r>
        <w:rPr>
          <w:i/>
          <w:iCs/>
        </w:rPr>
        <w:t xml:space="preserve">Construindo capacidades estatais para contratações públicas: o caso do laboratório de inovação do Tribunal de Contas da União.</w:t>
      </w:r>
      <w:r>
        <w:t xml:space="preserve"> Revista do Serviço Público (RSP), Brasília, v. 76, n. especial A, p. 145-172, jun. 2025.</w:t>
      </w:r>
    </w:p>
    <w:p>
      <w:pPr>
        <w:spacing w:after="0" w:line="360" w:lineRule="auto"/>
        <w:ind w:firstLine="652"/>
        <w:jc w:val="both"/>
      </w:pPr>
      <w:r>
        <w:t xml:space="preserve">O artigo analisa a criação e a atuação recentes do Colab-i, laboratório de inovação do Tribunal de Contas da União (TCU), instituído em 2015 e vinculado ao Instituto Serzedello Corrêa, a escola do órgão. Trata-se de um estudo de caso, de abordagem qualitativa e jurídico-institucional, que parte da hipótese de que, por meio da capacitação de gestores internos e externos, o Colab-i inaugura um reposicionamento do TCU em relação às compras públicas para inovação — convertendo, aos poucos, a postura inicial de aversão a esses instrumentos em alinhamento ao esforço de construção de um Sistema Nacional de Inovação. Os autores ressalvam, contudo, que essa tendência ainda não é certa e depende da consolidação institucional do laboratório.</w:t>
      </w:r>
    </w:p>
    <w:p>
      <w:pPr>
        <w:spacing w:after="0" w:line="360" w:lineRule="auto"/>
        <w:ind w:firstLine="652"/>
        <w:jc w:val="both"/>
      </w:pPr>
      <w:r>
        <w:t xml:space="preserve">O ponto de partida é a relevância e, ao mesmo tempo, o subaproveitamento do poder de compra estatal. No Brasil, as compras públicas movimentaram cerca de R$ 710 bilhões (9,2% do PIB) em 2019, patamar próximo à média de 12,9% do PIB observada nos países da OCDE; ainda assim, apenas uma fração ínfima destina-se à inovação — aproximadamente R$ 300 milhões entre 2012 e 2019. Uma das causas apontadas é o receio dos gestores quanto à responsabilização pessoal por parte dos órgãos de controle, fenômeno associado ao chamado “apagão das canetas”, que gera comportamentos defensivos e inibe a inovação no setor público.</w:t>
      </w:r>
    </w:p>
    <w:p>
      <w:pPr>
        <w:spacing w:after="0" w:line="360" w:lineRule="auto"/>
        <w:ind w:firstLine="652"/>
        <w:jc w:val="both"/>
      </w:pPr>
      <w:r>
        <w:t xml:space="preserve">Para situar o objeto, o texto revisa a literatura sobre laboratórios de inovação — espaços voltados à experimentação, à ideação e ao acúmulo de conhecimento —, cuja adoção pelo setor público cresce desde 2010. Com base na tipologia de Sano (2020), distinguem-se laboratórios desenvolvedores/criadores, facilitadores, educadores e arquitetos; o Colab-i enquadra-se sobretudo como educador, com foco na capacitação de gestores e na difusão de conhecimento, e não no desenvolvimento tecnológico. São também descritas experiências internacionais (GAO, nos Estados Unidos; NAO, no Reino Unido; ANAO, na Austrália) e latino-americanas (MindLab, GNova e LABgobCh), que reforçam a tendência de órgãos de controle atuarem em favor da inovação.</w:t>
      </w:r>
    </w:p>
    <w:p>
      <w:pPr>
        <w:spacing w:after="0" w:line="360" w:lineRule="auto"/>
        <w:ind w:firstLine="652"/>
        <w:jc w:val="both"/>
      </w:pPr>
      <w:r>
        <w:t xml:space="preserve">O artigo caracteriza o TCU como órgão de controle externo que atua a posteriori, com competências distintas sobre atos e contratos administrativos: pode sustar atos, mas não anular contratos, ainda que interfira neles por vias indiretas, como a retenção de pagamentos. Discute como as auditorias de desempenho, quando conduzidas de modo superficial, produzem efeitos defensivos nos gestores. A análise ancora-se no arcabouço das capacidades estatais de Pires e Gomide, que distingue as dimensões técnico-administrativa e político-relacional, e argumenta que o Colab-i atua principalmente na segunda, ao fomentar redes de parceria, aprendizagem e legitimidade.</w:t>
      </w:r>
    </w:p>
    <w:p>
      <w:pPr>
        <w:spacing w:after="0" w:line="360" w:lineRule="auto"/>
        <w:ind w:firstLine="652"/>
        <w:jc w:val="both"/>
      </w:pPr>
      <w:r>
        <w:t xml:space="preserve">As evidências provêm de análise documental e de entrevistas semiestruturadas realizadas em 2023 com gestores do Colab-i e com um fornecedor contratado, além de pesquisa jurisprudencial. Constata-se que o laboratório é uma estrutura enxuta (cinco integrantes) e de baixa institucionalidade — sem personalidade jurídica, mandato ou regras de governança —, passível de extinção por decisão política. Verifica-se, ainda, que suas ações não influenciaram, até o momento, as decisões administrativas do TCU sobre compras para inovação (vácuo jurisprudencial). Como indício de mudança, destaca-se a encomenda tecnológica de uma solução de inteligência artificial firmada pelo próprio TCU em 2023, cuja morosidade, segundo os entrevistados, decorreu mais da área jurídica do que da técnica.</w:t>
      </w:r>
    </w:p>
    <w:p>
      <w:pPr>
        <w:spacing w:after="0" w:line="360" w:lineRule="auto"/>
        <w:ind w:firstLine="652"/>
        <w:jc w:val="both"/>
      </w:pPr>
      <w:r>
        <w:t xml:space="preserve">Conclui-se que o Colab-i representa um caso relevante de experimentação e aprendizado na construção de capacidades estatais, mas ainda incipiente e de efeitos limitados, dados o curto tempo de existência e a fragilidade de sua institucionalidade. Sua capacidade de reposicionar o TCU — de controlador a indutor da inovação — dependerá da continuidade das ações, do fortalecimento jurídico-institucional do laboratório e do reconhecimento, pelo próprio Tribunal, da importância da iniciativa. A encomenda tecnológica de inteligência artificial sinaliza uma transição possível, porém ainda não confirmada, rumo a um controle capaz de incorporar os riscos e as incertezas inerentes ao processo inovativo.</w:t>
      </w:r>
    </w:p>
    <w:p>
      <w:pPr>
        <w:spacing w:after="0" w:before="120" w:line="360" w:lineRule="auto"/>
        <w:jc w:val="both"/>
      </w:pPr>
      <w:r>
        <w:rPr>
          <w:b/>
          <w:bCs/>
        </w:rPr>
        <w:t xml:space="preserve">Palavras-chave: </w:t>
      </w:r>
      <w:r>
        <w:t xml:space="preserve">Colab-i; TCU; compras públicas; inovação; capacidades estatais.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2026-08-25T20:54:22.621Z</dcterms:created>
  <dcterms:modified xsi:type="dcterms:W3CDTF">2026-08-25T20:54:22.635Z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