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BB48" w14:textId="77777777" w:rsidR="004B47E0" w:rsidRDefault="004B47E0" w:rsidP="004B47E0">
      <w:pPr>
        <w:jc w:val="center"/>
      </w:pPr>
      <w:r>
        <w:rPr>
          <w:b/>
          <w:bCs/>
        </w:rPr>
        <w:t>INSTITUTO SERZEDELLO CORRÊA</w:t>
      </w:r>
    </w:p>
    <w:p w14:paraId="02D1934D" w14:textId="77777777" w:rsidR="004B47E0" w:rsidRDefault="004B47E0" w:rsidP="004B47E0">
      <w:pPr>
        <w:jc w:val="center"/>
      </w:pPr>
      <w:r>
        <w:rPr>
          <w:b/>
          <w:bCs/>
        </w:rPr>
        <w:t>MESTRADO PROFISSIONAL EM CONTROLE DA ADMINISTRAÇÃO PÚBLICA</w:t>
      </w:r>
    </w:p>
    <w:p w14:paraId="3D0C91CB" w14:textId="77777777" w:rsidR="004B47E0" w:rsidRPr="000F4C4E" w:rsidRDefault="004B47E0" w:rsidP="004B47E0">
      <w:pPr>
        <w:jc w:val="center"/>
        <w:rPr>
          <w:b/>
          <w:bCs/>
        </w:rPr>
      </w:pPr>
      <w:r w:rsidRPr="000F4C4E">
        <w:rPr>
          <w:b/>
          <w:bCs/>
        </w:rPr>
        <w:t>Disciplina: Metodologia Científica</w:t>
      </w:r>
    </w:p>
    <w:p w14:paraId="2641E1A8" w14:textId="77777777" w:rsidR="004B47E0" w:rsidRPr="000F4C4E" w:rsidRDefault="004B47E0" w:rsidP="004B47E0">
      <w:pPr>
        <w:jc w:val="center"/>
        <w:rPr>
          <w:b/>
          <w:bCs/>
        </w:rPr>
      </w:pPr>
      <w:r w:rsidRPr="000F4C4E">
        <w:rPr>
          <w:b/>
          <w:bCs/>
        </w:rPr>
        <w:t>Professor: Dr. Rafael Silveira e Silva</w:t>
      </w:r>
    </w:p>
    <w:p w14:paraId="487AAA65" w14:textId="77777777" w:rsidR="004B47E0" w:rsidRDefault="004B47E0" w:rsidP="004B47E0">
      <w:pPr>
        <w:spacing w:after="200"/>
        <w:rPr>
          <w:sz w:val="22"/>
          <w:szCs w:val="22"/>
        </w:rPr>
      </w:pPr>
    </w:p>
    <w:p w14:paraId="24E7BFA8" w14:textId="77777777" w:rsidR="004B47E0" w:rsidRDefault="004B47E0" w:rsidP="004B47E0">
      <w:pPr>
        <w:spacing w:after="200"/>
      </w:pPr>
      <w:r>
        <w:rPr>
          <w:sz w:val="22"/>
          <w:szCs w:val="22"/>
        </w:rPr>
        <w:t xml:space="preserve">Aluno: José de Castro Barreto Junior </w:t>
      </w:r>
    </w:p>
    <w:p w14:paraId="69B05723" w14:textId="77777777" w:rsidR="004B47E0" w:rsidRPr="009E1950" w:rsidRDefault="004B47E0" w:rsidP="004B47E0">
      <w:pPr>
        <w:spacing w:after="60"/>
        <w:jc w:val="both"/>
        <w:rPr>
          <w:b/>
          <w:bCs/>
          <w:sz w:val="22"/>
          <w:szCs w:val="22"/>
        </w:rPr>
      </w:pPr>
      <w:r w:rsidRPr="00432D21">
        <w:rPr>
          <w:b/>
          <w:bCs/>
          <w:sz w:val="22"/>
          <w:szCs w:val="22"/>
        </w:rPr>
        <w:t>Tema d</w:t>
      </w:r>
      <w:r>
        <w:rPr>
          <w:b/>
          <w:bCs/>
          <w:sz w:val="22"/>
          <w:szCs w:val="22"/>
        </w:rPr>
        <w:t>e</w:t>
      </w:r>
      <w:r w:rsidRPr="00432D21">
        <w:rPr>
          <w:b/>
          <w:bCs/>
          <w:sz w:val="22"/>
          <w:szCs w:val="22"/>
        </w:rPr>
        <w:t xml:space="preserve"> pesquisa: Framework de Auditoria Preventiva Baseado em Inteligência Artificial para Detecção de Assimetria de Informação em Anteprojetos de Grandes Obras Públicas</w:t>
      </w:r>
      <w:r>
        <w:rPr>
          <w:b/>
          <w:bCs/>
          <w:sz w:val="22"/>
          <w:szCs w:val="22"/>
        </w:rPr>
        <w:t>:</w:t>
      </w:r>
      <w:r w:rsidRPr="00432D21">
        <w:rPr>
          <w:b/>
          <w:bCs/>
          <w:sz w:val="22"/>
          <w:szCs w:val="22"/>
        </w:rPr>
        <w:t xml:space="preserve"> </w:t>
      </w:r>
      <w:r w:rsidRPr="00030F70">
        <w:rPr>
          <w:b/>
          <w:bCs/>
          <w:sz w:val="22"/>
          <w:szCs w:val="22"/>
        </w:rPr>
        <w:t>Especificação e Validação no Contexto das Contratações Integradas</w:t>
      </w:r>
      <w:r>
        <w:rPr>
          <w:b/>
          <w:bCs/>
          <w:sz w:val="22"/>
          <w:szCs w:val="22"/>
        </w:rPr>
        <w:t>.</w:t>
      </w:r>
    </w:p>
    <w:p w14:paraId="2D0BC204" w14:textId="4AAEE5E1" w:rsidR="004B47E0" w:rsidRDefault="004B47E0" w:rsidP="004B47E0">
      <w:pPr>
        <w:spacing w:before="320" w:after="160"/>
      </w:pPr>
      <w:r>
        <w:rPr>
          <w:b/>
          <w:bCs/>
          <w:sz w:val="26"/>
          <w:szCs w:val="26"/>
        </w:rPr>
        <w:t>Fichamento — NÓBREGA (contratação integrada</w:t>
      </w:r>
      <w:r w:rsidR="006656B3">
        <w:rPr>
          <w:b/>
          <w:bCs/>
          <w:sz w:val="26"/>
          <w:szCs w:val="26"/>
        </w:rPr>
        <w:t xml:space="preserve"> sob o RDC</w:t>
      </w:r>
      <w:r>
        <w:rPr>
          <w:b/>
          <w:bCs/>
          <w:sz w:val="26"/>
          <w:szCs w:val="26"/>
        </w:rPr>
        <w:t xml:space="preserve"> e </w:t>
      </w:r>
      <w:r w:rsidR="006656B3">
        <w:rPr>
          <w:b/>
          <w:bCs/>
          <w:sz w:val="26"/>
          <w:szCs w:val="26"/>
        </w:rPr>
        <w:t xml:space="preserve">pedidos de </w:t>
      </w:r>
      <w:r>
        <w:rPr>
          <w:b/>
          <w:bCs/>
          <w:sz w:val="26"/>
          <w:szCs w:val="26"/>
        </w:rPr>
        <w:t>reequilíbrio)</w:t>
      </w:r>
    </w:p>
    <w:p w14:paraId="371EE74C" w14:textId="77777777" w:rsidR="004B47E0" w:rsidRDefault="004B47E0" w:rsidP="004B47E0">
      <w:pPr>
        <w:spacing w:before="260" w:after="100"/>
      </w:pPr>
      <w:r>
        <w:rPr>
          <w:b/>
          <w:bCs/>
        </w:rPr>
        <w:t>1 Referência completa</w:t>
      </w:r>
    </w:p>
    <w:p w14:paraId="379C3244" w14:textId="77777777" w:rsidR="004B47E0" w:rsidRDefault="004B47E0" w:rsidP="004B47E0">
      <w:pPr>
        <w:spacing w:after="120"/>
        <w:jc w:val="both"/>
      </w:pPr>
      <w:r>
        <w:t xml:space="preserve">NÓBREGA, Marcos. </w:t>
      </w:r>
      <w:r>
        <w:rPr>
          <w:b/>
          <w:bCs/>
        </w:rPr>
        <w:t xml:space="preserve">A contratação integrada no Regime Diferenciado de Contratação: inadequação da teoria da imprevisão como critério para o reequilíbrio econômico-financeiro do contrato. </w:t>
      </w:r>
      <w:r>
        <w:t>Revista Digital do MPC (Ministério Público de Contas), n. 12, seção Doutrina, págs. 62 a 101, ano 2014.</w:t>
      </w:r>
    </w:p>
    <w:p w14:paraId="7E412481" w14:textId="77777777" w:rsidR="004B47E0" w:rsidRDefault="004B47E0" w:rsidP="004B47E0">
      <w:pPr>
        <w:spacing w:before="260" w:after="100"/>
      </w:pPr>
      <w:r>
        <w:rPr>
          <w:b/>
          <w:bCs/>
        </w:rPr>
        <w:t>2 Síntese das principais ideias, argumentos e achados</w:t>
      </w:r>
    </w:p>
    <w:p w14:paraId="242265D8" w14:textId="77777777" w:rsidR="004B47E0" w:rsidRDefault="004B47E0" w:rsidP="004B47E0">
      <w:pPr>
        <w:spacing w:after="120"/>
        <w:jc w:val="both"/>
      </w:pPr>
      <w:r>
        <w:t xml:space="preserve">Sob a ótica da economia dos contratos, o artigo cuida da contratação integrada do RDC (Lei 12.462/2011), contrato do tipo design-build (DBTO), no qual o particular (licitante vencedor) elabora os projetos básico e executivo e executa a obra para atingir níveis de desempenho fixados pelo Governo. </w:t>
      </w:r>
    </w:p>
    <w:p w14:paraId="56A9E868" w14:textId="77777777" w:rsidR="004B47E0" w:rsidRDefault="004B47E0" w:rsidP="004B47E0">
      <w:pPr>
        <w:spacing w:after="120"/>
        <w:jc w:val="both"/>
      </w:pPr>
      <w:r>
        <w:t>Após situar a execução indireta de obras, o autor apresenta as vantagens (concentração de responsabilidade; economia de tempo pela sobreposição de projeto e obra; potencial redução do preço final) e as desvantagens (difícil comparação de propostas heterogêneas; risco de redução do número de licitantes).</w:t>
      </w:r>
    </w:p>
    <w:p w14:paraId="4F45CEEC" w14:textId="315DAE4C" w:rsidR="004B47E0" w:rsidRDefault="004B47E0" w:rsidP="004B47E0">
      <w:pPr>
        <w:spacing w:after="120"/>
        <w:jc w:val="both"/>
      </w:pPr>
      <w:r>
        <w:t xml:space="preserve">A desvantagem mais relevante é o “risco do design </w:t>
      </w:r>
      <w:proofErr w:type="spellStart"/>
      <w:r>
        <w:t>down</w:t>
      </w:r>
      <w:proofErr w:type="spellEnd"/>
      <w:r>
        <w:t>”: o incentivo do contratado a reduzir a complexidade do projeto básico para ganhar liberdade na execução e diminuir sua responsabilidade. Nóbrega adverte que os seguros usuais cobrem defeitos de execução, mas não o “desenho inadequado”, e antecipa que “haverá muitas” ações de reequilíbrio</w:t>
      </w:r>
      <w:r w:rsidR="006656B3">
        <w:t xml:space="preserve"> econômico-financeiro</w:t>
      </w:r>
      <w:r>
        <w:t xml:space="preserve"> (REF). </w:t>
      </w:r>
    </w:p>
    <w:p w14:paraId="44201837" w14:textId="2AF7999D" w:rsidR="004B47E0" w:rsidRDefault="004B47E0" w:rsidP="004B47E0">
      <w:pPr>
        <w:spacing w:after="120"/>
        <w:jc w:val="both"/>
      </w:pPr>
      <w:r>
        <w:lastRenderedPageBreak/>
        <w:t xml:space="preserve">No núcleo teórico, sustenta que os contratos de infraestrutura são intrinsecamente incompletos (Araújo; </w:t>
      </w:r>
      <w:proofErr w:type="spellStart"/>
      <w:r>
        <w:t>Brousseau</w:t>
      </w:r>
      <w:proofErr w:type="spellEnd"/>
      <w:r>
        <w:t>)</w:t>
      </w:r>
      <w:r w:rsidR="006656B3">
        <w:t>,</w:t>
      </w:r>
      <w:r>
        <w:t xml:space="preserve"> impossível prever todas as contingências e a completude tem custos de transação proibitivos. Daí o achado central: sob forte assimetria, invocar a teoria da imprevisão para o REF, pois apenas amplia o risco de seleção adversa</w:t>
      </w:r>
      <w:r w:rsidR="006656B3">
        <w:t>:</w:t>
      </w:r>
      <w:r>
        <w:t xml:space="preserve"> quando a parte</w:t>
      </w:r>
      <w:r w:rsidR="006656B3">
        <w:t xml:space="preserve"> (no caso o licitante que desenvolve o projeto básico)</w:t>
      </w:r>
      <w:r>
        <w:t xml:space="preserve"> usa a vantagem informacional para auferir renda já na assinatura, há seleção adversa — não imprevisão. </w:t>
      </w:r>
      <w:r w:rsidR="006656B3">
        <w:t>O autor c</w:t>
      </w:r>
      <w:r>
        <w:t>onclui que as restrições do RDC ao REF são “inócuas” e propõe migrar para a teoria da base do negócio.</w:t>
      </w:r>
    </w:p>
    <w:p w14:paraId="1E4DBFB6" w14:textId="0B7D5582" w:rsidR="004B47E0" w:rsidRDefault="004B47E0" w:rsidP="004B47E0">
      <w:pPr>
        <w:spacing w:before="260" w:after="100"/>
      </w:pPr>
      <w:r>
        <w:rPr>
          <w:b/>
          <w:bCs/>
        </w:rPr>
        <w:t>3 Análise crítica (pontos fortes e limitações)</w:t>
      </w:r>
    </w:p>
    <w:p w14:paraId="42390782" w14:textId="76D36524" w:rsidR="00FA3F17" w:rsidRDefault="00FA3F17" w:rsidP="004B47E0">
      <w:pPr>
        <w:spacing w:after="120"/>
        <w:jc w:val="both"/>
        <w:rPr>
          <w:b/>
          <w:bCs/>
        </w:rPr>
      </w:pPr>
      <w:r>
        <w:rPr>
          <w:b/>
          <w:bCs/>
        </w:rPr>
        <w:t xml:space="preserve">3.1 </w:t>
      </w:r>
      <w:r w:rsidR="004B47E0">
        <w:rPr>
          <w:b/>
          <w:bCs/>
        </w:rPr>
        <w:t xml:space="preserve">Pontos fortes. </w:t>
      </w:r>
    </w:p>
    <w:p w14:paraId="11360231" w14:textId="4C022571" w:rsidR="00FA3F17" w:rsidRDefault="00FA3F17" w:rsidP="00FA3F17">
      <w:pPr>
        <w:pStyle w:val="PargrafodaLista"/>
        <w:numPr>
          <w:ilvl w:val="0"/>
          <w:numId w:val="2"/>
        </w:numPr>
        <w:spacing w:after="120"/>
        <w:jc w:val="both"/>
      </w:pPr>
      <w:r>
        <w:t>D</w:t>
      </w:r>
      <w:r w:rsidR="004B47E0">
        <w:t xml:space="preserve">ensidade e pioneirismo ao aplicar economia dos </w:t>
      </w:r>
      <w:proofErr w:type="gramStart"/>
      <w:r w:rsidR="004B47E0">
        <w:t xml:space="preserve">contratos  </w:t>
      </w:r>
      <w:r>
        <w:t>(</w:t>
      </w:r>
      <w:proofErr w:type="gramEnd"/>
      <w:r w:rsidR="004B47E0">
        <w:t xml:space="preserve">assimetria, custos de transação, incompletude e </w:t>
      </w:r>
      <w:proofErr w:type="spellStart"/>
      <w:r w:rsidR="004B47E0">
        <w:t>hold-up</w:t>
      </w:r>
      <w:proofErr w:type="spellEnd"/>
      <w:r>
        <w:t>)</w:t>
      </w:r>
      <w:r w:rsidR="004B47E0">
        <w:t xml:space="preserve"> a um tema geralmente tratado de modo dogmático; </w:t>
      </w:r>
    </w:p>
    <w:p w14:paraId="60F3592A" w14:textId="3E8E330D" w:rsidR="00FA3F17" w:rsidRDefault="00FA3F17" w:rsidP="00FA3F17">
      <w:pPr>
        <w:pStyle w:val="PargrafodaLista"/>
        <w:numPr>
          <w:ilvl w:val="0"/>
          <w:numId w:val="2"/>
        </w:numPr>
        <w:spacing w:after="120"/>
        <w:jc w:val="both"/>
      </w:pPr>
      <w:r>
        <w:t>O</w:t>
      </w:r>
      <w:r w:rsidR="004B47E0">
        <w:t xml:space="preserve"> conceito de design </w:t>
      </w:r>
      <w:proofErr w:type="spellStart"/>
      <w:r w:rsidR="004B47E0">
        <w:t>down</w:t>
      </w:r>
      <w:proofErr w:type="spellEnd"/>
      <w:r w:rsidR="004B47E0">
        <w:t xml:space="preserve"> nomeia com precisão o mecanismo de oportunismo do contratado sobre o anteprojeto; </w:t>
      </w:r>
    </w:p>
    <w:p w14:paraId="27C078C5" w14:textId="49AFBA9F" w:rsidR="004B47E0" w:rsidRDefault="00FA3F17" w:rsidP="00FA3F17">
      <w:pPr>
        <w:pStyle w:val="PargrafodaLista"/>
        <w:numPr>
          <w:ilvl w:val="0"/>
          <w:numId w:val="2"/>
        </w:numPr>
        <w:spacing w:after="120"/>
        <w:jc w:val="both"/>
      </w:pPr>
      <w:r>
        <w:t>A</w:t>
      </w:r>
      <w:r w:rsidR="004B47E0">
        <w:t xml:space="preserve"> distinção imprevisão × seleção adversa é analiticamente fértil e ganha peso pela reputação do autor.</w:t>
      </w:r>
    </w:p>
    <w:p w14:paraId="14ABAA46" w14:textId="77777777" w:rsidR="00FA3F17" w:rsidRDefault="00FA3F17" w:rsidP="004B47E0">
      <w:pPr>
        <w:spacing w:after="120"/>
        <w:jc w:val="both"/>
        <w:rPr>
          <w:b/>
          <w:bCs/>
        </w:rPr>
      </w:pPr>
      <w:r>
        <w:rPr>
          <w:b/>
          <w:bCs/>
        </w:rPr>
        <w:t xml:space="preserve">3.2 </w:t>
      </w:r>
      <w:r w:rsidR="004B47E0">
        <w:rPr>
          <w:b/>
          <w:bCs/>
        </w:rPr>
        <w:t xml:space="preserve">Limitações. </w:t>
      </w:r>
    </w:p>
    <w:p w14:paraId="308525C6" w14:textId="59E649D6" w:rsidR="00FA3F17" w:rsidRDefault="004B47E0" w:rsidP="00FA3F17">
      <w:pPr>
        <w:pStyle w:val="PargrafodaLista"/>
        <w:numPr>
          <w:ilvl w:val="1"/>
          <w:numId w:val="3"/>
        </w:numPr>
        <w:spacing w:after="120"/>
        <w:jc w:val="both"/>
      </w:pPr>
      <w:r>
        <w:t xml:space="preserve">É ensaio teórico-doutrinário, sem evidência empírica; </w:t>
      </w:r>
    </w:p>
    <w:p w14:paraId="48302102" w14:textId="3988CD95" w:rsidR="00FA3F17" w:rsidRDefault="00FA3F17" w:rsidP="00FA3F17">
      <w:pPr>
        <w:pStyle w:val="PargrafodaLista"/>
        <w:numPr>
          <w:ilvl w:val="1"/>
          <w:numId w:val="3"/>
        </w:numPr>
        <w:spacing w:after="120"/>
        <w:jc w:val="both"/>
      </w:pPr>
      <w:r>
        <w:t>B</w:t>
      </w:r>
      <w:r w:rsidR="004B47E0">
        <w:t xml:space="preserve">aseia-se no RDC (2011), anterior às Leis 13.303/2016 e 14.133/2021 e à jurisprudência recente do TCU; </w:t>
      </w:r>
    </w:p>
    <w:p w14:paraId="365B52DE" w14:textId="44E8DA35" w:rsidR="00FA3F17" w:rsidRDefault="00FA3F17" w:rsidP="00FA3F17">
      <w:pPr>
        <w:pStyle w:val="PargrafodaLista"/>
        <w:numPr>
          <w:ilvl w:val="1"/>
          <w:numId w:val="3"/>
        </w:numPr>
        <w:spacing w:after="120"/>
        <w:jc w:val="both"/>
      </w:pPr>
      <w:r>
        <w:t>A</w:t>
      </w:r>
      <w:r w:rsidR="004B47E0">
        <w:t xml:space="preserve"> alternativa proposta (teoria da base do negócio; seguro contra desenho inadequado) é apenas indicada, não operacionalizada; </w:t>
      </w:r>
    </w:p>
    <w:p w14:paraId="1DE5D444" w14:textId="4A9F9874" w:rsidR="004B47E0" w:rsidRDefault="00FA3F17" w:rsidP="00FA3F17">
      <w:pPr>
        <w:pStyle w:val="PargrafodaLista"/>
        <w:numPr>
          <w:ilvl w:val="1"/>
          <w:numId w:val="3"/>
        </w:numPr>
        <w:spacing w:after="120"/>
        <w:jc w:val="both"/>
      </w:pPr>
      <w:r>
        <w:t>F</w:t>
      </w:r>
      <w:r w:rsidR="004B47E0">
        <w:t xml:space="preserve">oca o remédio </w:t>
      </w:r>
      <w:proofErr w:type="spellStart"/>
      <w:r w:rsidR="004B47E0">
        <w:t>ex</w:t>
      </w:r>
      <w:proofErr w:type="spellEnd"/>
      <w:r w:rsidR="004B47E0">
        <w:t xml:space="preserve"> post (o critério do REF), sem enfrentar a prevenção </w:t>
      </w:r>
      <w:proofErr w:type="spellStart"/>
      <w:r w:rsidR="004B47E0">
        <w:t>pré</w:t>
      </w:r>
      <w:proofErr w:type="spellEnd"/>
      <w:r w:rsidR="004B47E0">
        <w:t>-licitatória</w:t>
      </w:r>
      <w:r>
        <w:t xml:space="preserve">, </w:t>
      </w:r>
      <w:r w:rsidR="004B47E0">
        <w:t>justamente a lacuna que a pesquisa ocupa.</w:t>
      </w:r>
    </w:p>
    <w:p w14:paraId="150CFF1C" w14:textId="42B8A9E7" w:rsidR="004B47E0" w:rsidRDefault="004B47E0" w:rsidP="004B47E0">
      <w:pPr>
        <w:spacing w:before="260" w:after="100"/>
      </w:pPr>
      <w:r>
        <w:rPr>
          <w:b/>
          <w:bCs/>
        </w:rPr>
        <w:t>4 Conexão com o projeto de pesquisa</w:t>
      </w:r>
    </w:p>
    <w:p w14:paraId="43AF69BC" w14:textId="252C7B0E" w:rsidR="00FA3F17" w:rsidRDefault="004B47E0" w:rsidP="004B47E0">
      <w:pPr>
        <w:spacing w:after="120"/>
        <w:jc w:val="both"/>
      </w:pPr>
      <w:r>
        <w:t>O texto fornece o mecanismo causal da tese</w:t>
      </w:r>
      <w:r w:rsidR="00A54543">
        <w:t xml:space="preserve"> na seguinte lógica</w:t>
      </w:r>
      <w:r>
        <w:t xml:space="preserve">: anteprojeto de baixa precisão </w:t>
      </w:r>
      <w:r w:rsidR="00A54543">
        <w:t>combinado com o</w:t>
      </w:r>
      <w:r>
        <w:t xml:space="preserve"> design-build → assimetria e incompletude contratual → oportunismo </w:t>
      </w:r>
      <w:r w:rsidR="00FA3F17">
        <w:t xml:space="preserve">do licitante vencedor </w:t>
      </w:r>
      <w:r>
        <w:t xml:space="preserve">(design </w:t>
      </w:r>
      <w:proofErr w:type="spellStart"/>
      <w:r>
        <w:t>down</w:t>
      </w:r>
      <w:proofErr w:type="spellEnd"/>
      <w:r>
        <w:t xml:space="preserve">) → pleitos de REF. </w:t>
      </w:r>
    </w:p>
    <w:p w14:paraId="2EA396CF" w14:textId="21C9AF90" w:rsidR="004B47E0" w:rsidRDefault="00FA3F17" w:rsidP="004B47E0">
      <w:pPr>
        <w:spacing w:after="120"/>
        <w:jc w:val="both"/>
      </w:pPr>
      <w:r>
        <w:t>Em princípio notam-se t</w:t>
      </w:r>
      <w:r w:rsidR="004B47E0">
        <w:t>rês desdobramentos:</w:t>
      </w:r>
    </w:p>
    <w:p w14:paraId="54DD6188" w14:textId="36B88DFB" w:rsidR="004B47E0" w:rsidRDefault="004B47E0" w:rsidP="00A54543">
      <w:pPr>
        <w:pStyle w:val="PargrafodaLista"/>
        <w:numPr>
          <w:ilvl w:val="0"/>
          <w:numId w:val="9"/>
        </w:numPr>
        <w:spacing w:after="120"/>
        <w:jc w:val="both"/>
      </w:pPr>
      <w:r>
        <w:t xml:space="preserve">a distinção imprevisão </w:t>
      </w:r>
      <w:r w:rsidR="00A54543">
        <w:t>versus</w:t>
      </w:r>
      <w:r>
        <w:t xml:space="preserve"> seleção adversa oferece critério para separar o “erro substancial nas condições de contorno” (indenizável — Ac. 2.429/2024) do risco ordinário do particular, e reforça </w:t>
      </w:r>
      <w:r w:rsidR="00A54543">
        <w:t>a importância do</w:t>
      </w:r>
      <w:r>
        <w:t xml:space="preserve"> controle preventivo: se a assimetria já vicia </w:t>
      </w:r>
      <w:proofErr w:type="gramStart"/>
      <w:r>
        <w:t>a</w:t>
      </w:r>
      <w:proofErr w:type="gramEnd"/>
      <w:r>
        <w:t xml:space="preserve"> vontade na assinatura, o remédio </w:t>
      </w:r>
      <w:proofErr w:type="spellStart"/>
      <w:r>
        <w:t>ex</w:t>
      </w:r>
      <w:proofErr w:type="spellEnd"/>
      <w:r>
        <w:t xml:space="preserve"> post é insuficiente</w:t>
      </w:r>
      <w:r w:rsidR="00A54543">
        <w:t>, é isso</w:t>
      </w:r>
      <w:r>
        <w:t xml:space="preserve"> que </w:t>
      </w:r>
      <w:r w:rsidR="00A54543">
        <w:t xml:space="preserve">também </w:t>
      </w:r>
      <w:r>
        <w:t xml:space="preserve">corrobora a hipótese de agir antes da </w:t>
      </w:r>
      <w:r w:rsidR="00A54543">
        <w:t>assinatura do contrato (durante a fase editalícia).</w:t>
      </w:r>
    </w:p>
    <w:p w14:paraId="4BF3928B" w14:textId="7772E082" w:rsidR="004B47E0" w:rsidRDefault="004B47E0" w:rsidP="00A54543">
      <w:pPr>
        <w:pStyle w:val="PargrafodaLista"/>
        <w:numPr>
          <w:ilvl w:val="0"/>
          <w:numId w:val="9"/>
        </w:numPr>
        <w:spacing w:after="120"/>
        <w:jc w:val="both"/>
      </w:pPr>
      <w:r>
        <w:lastRenderedPageBreak/>
        <w:t xml:space="preserve">o design </w:t>
      </w:r>
      <w:proofErr w:type="spellStart"/>
      <w:r>
        <w:t>down</w:t>
      </w:r>
      <w:proofErr w:type="spellEnd"/>
      <w:r>
        <w:t xml:space="preserve"> e a incompletude contratual sustentam a taxonomia dos indutores de assimetria (lacunas de projeto, subdimensionamento de insumos, especificações deficientes), convertendo o alerta de Nóbrega (“haverá muitas ações de REF”) em objeto verificável por IA</w:t>
      </w:r>
      <w:r w:rsidR="00A54543">
        <w:t>; e</w:t>
      </w:r>
    </w:p>
    <w:p w14:paraId="5A49CD2A" w14:textId="5F580504" w:rsidR="004B47E0" w:rsidRDefault="004B47E0" w:rsidP="00A54543">
      <w:pPr>
        <w:pStyle w:val="PargrafodaLista"/>
        <w:numPr>
          <w:ilvl w:val="0"/>
          <w:numId w:val="9"/>
        </w:numPr>
        <w:spacing w:after="120"/>
        <w:jc w:val="both"/>
      </w:pPr>
      <w:r>
        <w:t>ressalva metodológica: por ser anterior à Lei 14.133 e ao</w:t>
      </w:r>
      <w:r w:rsidR="00A54543">
        <w:t xml:space="preserve">s entendimentos recentes do </w:t>
      </w:r>
      <w:r>
        <w:t xml:space="preserve">TCU, o texto deve ser usado como fundamento </w:t>
      </w:r>
      <w:proofErr w:type="gramStart"/>
      <w:r>
        <w:t>teórico</w:t>
      </w:r>
      <w:proofErr w:type="gramEnd"/>
      <w:r>
        <w:t xml:space="preserve"> </w:t>
      </w:r>
      <w:r w:rsidR="00A54543">
        <w:t xml:space="preserve">mas </w:t>
      </w:r>
      <w:r>
        <w:t xml:space="preserve">não como retrato normativo atual, atualizando-o com as Leis </w:t>
      </w:r>
      <w:r w:rsidR="00A54543">
        <w:t xml:space="preserve">n° </w:t>
      </w:r>
      <w:r>
        <w:t>13.303</w:t>
      </w:r>
      <w:r w:rsidR="00A54543">
        <w:t xml:space="preserve"> e n° </w:t>
      </w:r>
      <w:r>
        <w:t xml:space="preserve">14.133 e </w:t>
      </w:r>
      <w:r w:rsidR="00A54543">
        <w:t xml:space="preserve">com </w:t>
      </w:r>
      <w:r>
        <w:t xml:space="preserve">os </w:t>
      </w:r>
      <w:r w:rsidR="00A54543">
        <w:t xml:space="preserve">alguns acórdãos, a exemplo: </w:t>
      </w:r>
      <w:r>
        <w:t>Acórdãos 686/2026, 2.429/2024 e 3.646/2026.</w:t>
      </w:r>
    </w:p>
    <w:p w14:paraId="5C50A8F6" w14:textId="77777777" w:rsidR="004B47E0" w:rsidRDefault="004B47E0" w:rsidP="004B47E0"/>
    <w:p w14:paraId="06890575" w14:textId="77777777" w:rsidR="004B47E0" w:rsidRDefault="004B47E0"/>
    <w:sectPr w:rsidR="004B47E0" w:rsidSect="004B47E0">
      <w:pgSz w:w="11906" w:h="16838"/>
      <w:pgMar w:top="993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00A0E"/>
    <w:multiLevelType w:val="hybridMultilevel"/>
    <w:tmpl w:val="BC8CF1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E54F3A"/>
    <w:multiLevelType w:val="hybridMultilevel"/>
    <w:tmpl w:val="3AB20D0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2295E"/>
    <w:multiLevelType w:val="hybridMultilevel"/>
    <w:tmpl w:val="78642FA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E235F6"/>
    <w:multiLevelType w:val="hybridMultilevel"/>
    <w:tmpl w:val="10BA2ACC"/>
    <w:lvl w:ilvl="0" w:tplc="E752D56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84758"/>
    <w:multiLevelType w:val="hybridMultilevel"/>
    <w:tmpl w:val="C5469F9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160017">
      <w:start w:val="1"/>
      <w:numFmt w:val="lowerLetter"/>
      <w:lvlText w:val="%3)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3B2AA6"/>
    <w:multiLevelType w:val="hybridMultilevel"/>
    <w:tmpl w:val="EFD8F4E0"/>
    <w:lvl w:ilvl="0" w:tplc="0416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A936FC68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FACAC54E">
      <w:start w:val="1"/>
      <w:numFmt w:val="decimal"/>
      <w:lvlText w:val="(%3)"/>
      <w:lvlJc w:val="left"/>
      <w:pPr>
        <w:ind w:left="2355" w:hanging="375"/>
      </w:pPr>
      <w:rPr>
        <w:rFonts w:hint="default"/>
        <w:b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646E16"/>
    <w:multiLevelType w:val="hybridMultilevel"/>
    <w:tmpl w:val="C302AF36"/>
    <w:lvl w:ilvl="0" w:tplc="7BC6D19C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5B8A7DB9"/>
    <w:multiLevelType w:val="hybridMultilevel"/>
    <w:tmpl w:val="F760A97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1A7004"/>
    <w:multiLevelType w:val="hybridMultilevel"/>
    <w:tmpl w:val="2DFEE5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704726">
    <w:abstractNumId w:val="3"/>
  </w:num>
  <w:num w:numId="2" w16cid:durableId="1425763559">
    <w:abstractNumId w:val="5"/>
  </w:num>
  <w:num w:numId="3" w16cid:durableId="867909963">
    <w:abstractNumId w:val="1"/>
  </w:num>
  <w:num w:numId="4" w16cid:durableId="1346057951">
    <w:abstractNumId w:val="2"/>
  </w:num>
  <w:num w:numId="5" w16cid:durableId="1150443932">
    <w:abstractNumId w:val="7"/>
  </w:num>
  <w:num w:numId="6" w16cid:durableId="1010371860">
    <w:abstractNumId w:val="4"/>
  </w:num>
  <w:num w:numId="7" w16cid:durableId="1844272863">
    <w:abstractNumId w:val="8"/>
  </w:num>
  <w:num w:numId="8" w16cid:durableId="1605068414">
    <w:abstractNumId w:val="6"/>
  </w:num>
  <w:num w:numId="9" w16cid:durableId="154346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E0"/>
    <w:rsid w:val="000F4C4E"/>
    <w:rsid w:val="00461A01"/>
    <w:rsid w:val="004B29F0"/>
    <w:rsid w:val="004B47E0"/>
    <w:rsid w:val="006656B3"/>
    <w:rsid w:val="00A54543"/>
    <w:rsid w:val="00F23E62"/>
    <w:rsid w:val="00FA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85A7F"/>
  <w15:chartTrackingRefBased/>
  <w15:docId w15:val="{63370609-B7BD-410D-A823-B8AD3514D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7E0"/>
    <w:pPr>
      <w:spacing w:after="0" w:line="36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B47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47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47E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47E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47E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47E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47E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47E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47E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4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4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4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47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47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47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47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47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47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4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4B4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47E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4B4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47E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4B47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47E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4B47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4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47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4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730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Barreto</dc:creator>
  <cp:keywords/>
  <dc:description/>
  <cp:lastModifiedBy>Jose Barreto</cp:lastModifiedBy>
  <cp:revision>2</cp:revision>
  <cp:lastPrinted>2026-09-17T00:33:00Z</cp:lastPrinted>
  <dcterms:created xsi:type="dcterms:W3CDTF">2026-09-17T00:38:00Z</dcterms:created>
  <dcterms:modified xsi:type="dcterms:W3CDTF">2026-09-17T00:38:00Z</dcterms:modified>
</cp:coreProperties>
</file>