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 w:lineRule="auto"/>
        <w:jc w:val="center"/>
      </w:pPr>
      <w:r>
        <w:rPr>
          <w:b/>
          <w:bCs/>
        </w:rPr>
        <w:t xml:space="preserve">PARECER JURÍDICO</w:t>
      </w:r>
    </w:p>
    <w:p>
      <w:pPr>
        <w:spacing w:after="220" w:line="360" w:lineRule="auto"/>
        <w:jc w:val="center"/>
      </w:pPr>
      <w:r>
        <w:rPr>
          <w:b/>
          <w:bCs/>
          <w:sz w:val="22"/>
          <w:szCs w:val="22"/>
        </w:rPr>
        <w:t xml:space="preserve">Reabilitação de licitante ou contratado. Declaração de inidoneidade aplicada sob a Lei nº 8.666/1993. Forma de cálculo do requisito temporal de dois anos (item 7.(i) da consulta) na hipótese de suspensões judiciais da sanção.</w:t>
      </w:r>
    </w:p>
    <w:p>
      <w:pPr>
        <w:spacing w:after="220" w:before="60" w:line="276" w:lineRule="auto"/>
        <w:ind w:left="1417"/>
        <w:jc w:val="both"/>
      </w:pPr>
      <w:r>
        <w:rPr>
          <w:b/>
          <w:bCs/>
        </w:rPr>
        <w:t xml:space="preserve">EMENTA: </w:t>
      </w:r>
      <w:r>
        <w:t xml:space="preserve">REABILITAÇÃO. DECLARAÇÃO DE INIDONEIDADE APLICADA SOB A LEI Nº 8.666/1993. REQUISITO TEMPORAL DE DOIS ANOS (ART. 87, IV, DA LEI Nº 8.666/1993; ART. 2º, I, DA PORTARIA CGU Nº 1.214/2020). CÔMPUTO DO PRAZO DIANTE DE SUSPENSÕES JUDICIAIS DA SANÇÃO. 1. O prazo de dois anos exigido para a reabilitação é de cumprimento efetivo da penalidade, e não de mero decurso de calendário. 2. Os períodos em que a sanção esteve judicialmente suspensa — durante os quais a sancionada pôde licitar e contratar — não se computam, operando-se a suspensão (tolling) do prazo, que se soma e prossegue a partir da cessação de cada efeito suspensivo. 3. Correta, no essencial, a forma de cálculo adotada pela consulente, que excluiu os dois períodos de suspensão judicial e computou apenas o tempo de efetiva vigência da sanção — método que, longe de abreviar, preserva a integralidade da penalidade. 4. Ressalvas: (i) o dies a quo é a data em que os efeitos passaram a incidir — a publicação, no Diário Oficial da União, da decisão que indeferiu a reconsideração (27/10/2023); (ii) os marcos das suspensões devem ser os de eficácia das respectivas decisões, adotados de forma homogênea; (iii) o termo da segunda suspensão (05/02/2025) está comprovado nos autos pelo acórdão do Agravo de Instrumento nº 0809667-58.2024.4.05.0000, da Sexta Turma do TRF da 5ª Região, que, dando-lhe parcial provimento, indeferiu a tutela e fez cessar o efeito suspensivo. 5. Refeita a contagem, confirma-se a projeção do dia 18/10/2026 para o implemento do requisito temporal, sujeita a variação de poucos dias conforme a convenção adotada.</w:t>
      </w:r>
    </w:p>
    <w:p>
      <w:pPr>
        <w:spacing w:after="80" w:before="240" w:line="360" w:lineRule="auto"/>
        <w:jc w:val="left"/>
      </w:pPr>
      <w:r>
        <w:rPr>
          <w:b/>
          <w:bCs/>
        </w:rPr>
        <w:t xml:space="preserve">I – DO RELATÓRIO</w:t>
      </w:r>
    </w:p>
    <w:p>
      <w:pPr>
        <w:spacing w:after="0" w:line="360" w:lineRule="auto"/>
        <w:ind w:firstLine="709"/>
        <w:jc w:val="both"/>
      </w:pPr>
      <w:r>
        <w:t xml:space="preserve">Trata-se de consulta formulada por sociedade empresária sancionada (doravante “consulente”) no âmbito de Processo Administrativo de Responsabilização, na qual se pede a manifestação da Controladoria-Geral da União (CGU) acerca da forma de cálculo do prazo de dois anos exigido para a reabilitação. O presente parecer restringe-se ao item 7.(i) da consulta — “da correção da forma acima indicada para o cálculo do período de dois anos” —, tendo em vista que o item 7.(ii), relativo à possibilidade de instrução antecipada do pedido, foi objeto de manifestação em apartado.</w:t>
      </w:r>
    </w:p>
    <w:p>
      <w:pPr>
        <w:spacing w:after="0" w:line="360" w:lineRule="auto"/>
        <w:ind w:firstLine="709"/>
        <w:jc w:val="both"/>
      </w:pPr>
      <w:r>
        <w:t xml:space="preserve">Colhem-se dos autos os seguintes marcos. A sanção de declaração de inidoneidade para licitar ou contratar com a Administração Pública foi aplicada à consulente pela Decisão nº 9, de 09/02/2023 (publicada no Diário Oficial da União em 10/02/2023), com fundamento no art. 87, IV, combinado com o art. 88, III, da Lei nº 8.666/1993. A referida decisão teve seus efeitos suspensos até o julgamento do pedido de reconsideração, o qual foi conhecido e indeferido pela Decisão nº 347, de 24/10/2023 (publicada no DOU em 27/10/2023), quando os efeitos restritivos passaram a incidir.</w:t>
      </w:r>
    </w:p>
    <w:p>
      <w:pPr>
        <w:spacing w:after="0" w:line="360" w:lineRule="auto"/>
        <w:ind w:firstLine="709"/>
        <w:jc w:val="both"/>
      </w:pPr>
      <w:r>
        <w:t xml:space="preserve">Posteriormente, a sanção esteve suspensa por força de duas decisões judiciais. A primeira suspensão foi deferida em 04/12/2023, no Agravo de Instrumento nº 0815236-74.2023.4.05.0000, em que o relator, atribuindo efeito suspensivo ativo, determinou a suspensão provisória do cumprimento das sanções “apenas até a apreciação do pedido liminar pelo juízo de primeiro grau”, cessando tal eficácia em 09/07/2024, quando o juízo de origem indeferiu o pleito liminar. A segunda suspensão foi deferida em 19/09/2024, no Agravo de Instrumento nº 0809667-58.2024.4.05.0000, tendo vigorado até 05/02/2025, quando a Sexta Turma do Tribunal Regional Federal da 5ª Região, dando parcial provimento ao agravo, indeferiu a tutela jurisdicional — ante a ausência de fumus boni juris e de periculum in mora — e fez cessar o efeito suspensivo, conforme acórdão constante do Doc. nº 3. Desde então, os efeitos da sanção vigoram ininterruptamente.</w:t>
      </w:r>
    </w:p>
    <w:p>
      <w:pPr>
        <w:spacing w:after="0" w:line="360" w:lineRule="auto"/>
        <w:ind w:firstLine="709"/>
        <w:jc w:val="both"/>
      </w:pPr>
      <w:r>
        <w:t xml:space="preserve">A consulente computou apenas os dias de efetiva vigência da sanção, excluindo os dois períodos de suspensão judicial, e projetou o implemento do requisito temporal para 18/10/2026. É o relatório. Passa-se a opinar.</w:t>
      </w:r>
    </w:p>
    <w:p>
      <w:pPr>
        <w:spacing w:after="80" w:before="240" w:line="360" w:lineRule="auto"/>
        <w:jc w:val="left"/>
      </w:pPr>
      <w:r>
        <w:rPr>
          <w:b/>
          <w:bCs/>
        </w:rPr>
        <w:t xml:space="preserve">II – DA FUNDAMENTAÇÃO</w:t>
      </w:r>
    </w:p>
    <w:p>
      <w:pPr>
        <w:spacing w:after="40" w:before="160" w:line="360" w:lineRule="auto"/>
        <w:jc w:val="left"/>
      </w:pPr>
      <w:r>
        <w:rPr>
          <w:b/>
          <w:bCs/>
          <w:sz w:val="22"/>
          <w:szCs w:val="22"/>
        </w:rPr>
        <w:t xml:space="preserve">II.1 – Do regime jurídico aplicável</w:t>
      </w:r>
    </w:p>
    <w:p>
      <w:pPr>
        <w:spacing w:after="0" w:line="360" w:lineRule="auto"/>
        <w:ind w:firstLine="709"/>
        <w:jc w:val="both"/>
      </w:pPr>
      <w:r>
        <w:t xml:space="preserve">Cumpre, preliminarmente, fixar o regime aplicável. A sanção foi imposta sob a égide da Lei nº 8.666/1993, cujo art. 87, IV, prevê a declaração de inidoneidade e disciplina a respectiva reabilitação nos seguintes termos:</w:t>
      </w:r>
    </w:p>
    <w:p>
      <w:pPr>
        <w:spacing w:after="80" w:before="80" w:line="240" w:lineRule="auto"/>
        <w:ind w:left="2268"/>
        <w:jc w:val="both"/>
      </w:pPr>
      <w:r>
        <w:rPr>
          <w:i/>
          <w:iCs/>
          <w:sz w:val="22"/>
          <w:szCs w:val="22"/>
        </w:rPr>
        <w:t xml:space="preserve">Art. 87. [...] IV - declaração de inidoneidade para licitar ou contratar com a Administração Pública enquanto perdurarem os motivos determinantes da punição ou até que seja promovida a reabilitação perante a própria autoridade que aplicou a penalidade, que será concedida sempre que o contratado ressarcir a Administração pelos prejuízos resultantes e após decorrido o prazo da sanção aplicada com base no inciso anterior.</w:t>
      </w:r>
    </w:p>
    <w:p>
      <w:pPr>
        <w:spacing w:after="0" w:line="360" w:lineRule="auto"/>
        <w:ind w:firstLine="709"/>
        <w:jc w:val="both"/>
      </w:pPr>
      <w:r>
        <w:t xml:space="preserve">Embora a Lei nº 8.666/1993 tenha sido revogada pela Lei nº 14.133/2021, a sanção aplicada sob a vigência daquela permanece por ela regida, à luz do princípio tempus regit actum e das regras de transição. Por conseguinte, o requisito temporal da reabilitação é o prazo de dois anos, tal como positivado, no âmbito da CGU, pelo art. 2º, I, da Portaria CGU nº 1.214/2020, invocado na própria consulta. Não incidem, na espécie, o regime da Lei nº 14.133/2021 nem a Portaria Normativa SE/CGU nº 226/2025, que disciplinam a reabilitação quanto às infrações dos incisos VIII e XII do art. 155 daquela Lei. A Lei de Introdução às Normas do Direito Brasileiro (Decreto-Lei nº 4.657/1942), especialmente em seus arts. 20, 23 e 24, informa a interpretação, ao impor a consideração das consequências práticas e a preservação da segurança jurídica.</w:t>
      </w:r>
    </w:p>
    <w:p>
      <w:pPr>
        <w:spacing w:after="40" w:before="160" w:line="360" w:lineRule="auto"/>
        <w:jc w:val="left"/>
      </w:pPr>
      <w:r>
        <w:rPr>
          <w:b/>
          <w:bCs/>
          <w:sz w:val="22"/>
          <w:szCs w:val="22"/>
        </w:rPr>
        <w:t xml:space="preserve">II.2 – Da natureza do prazo de dois anos: cumprimento efetivo</w:t>
      </w:r>
    </w:p>
    <w:p>
      <w:pPr>
        <w:spacing w:after="0" w:line="360" w:lineRule="auto"/>
        <w:ind w:firstLine="709"/>
        <w:jc w:val="both"/>
      </w:pPr>
      <w:r>
        <w:t xml:space="preserve">O núcleo da consulta reside em definir se o prazo de dois anos se conta pelo mero decurso de calendário, a partir do início dos efeitos da sanção, ou se corresponde ao tempo de efetivo cumprimento da penalidade. A resposta é a segunda. Tanto o art. 87, IV, da Lei nº 8.666/1993 — ao condicionar a reabilitação a que se tenha “decorrido o prazo da sanção” — quanto o art. 2º, I, da Portaria CGU nº 1.214/2020 — ao exigir o “transcurso do prazo de dois anos” — vinculam o requisito ao efetivo transcurso da penalidade, e não à simples passagem do tempo cronológico.</w:t>
      </w:r>
    </w:p>
    <w:p>
      <w:pPr>
        <w:spacing w:after="0" w:line="360" w:lineRule="auto"/>
        <w:ind w:firstLine="709"/>
        <w:jc w:val="both"/>
      </w:pPr>
      <w:r>
        <w:t xml:space="preserve">A finalidade da sanção confirma esse entendimento. A declaração de inidoneidade tem caráter retributivo e preventivo, materializando-se na restrição de licitar e contratar. Onde a restrição não opera, não há penalidade em curso. Assim, o intervalo em que a sanção esteve judicialmente suspensa — período no qual a consulente readquiriu a aptidão de licitar e contratar — não constitui cumprimento da penalidade e, por isso, não pode ser computado como parte do prazo de dois anos. Entendimento diverso permitiria que a sanção fosse tida por cumprida sem que o tenha sido efetivamente, esvaziando-lhe a função.</w:t>
      </w:r>
    </w:p>
    <w:p>
      <w:pPr>
        <w:spacing w:after="40" w:before="160" w:line="360" w:lineRule="auto"/>
        <w:jc w:val="left"/>
      </w:pPr>
      <w:r>
        <w:rPr>
          <w:b/>
          <w:bCs/>
          <w:sz w:val="22"/>
          <w:szCs w:val="22"/>
        </w:rPr>
        <w:t xml:space="preserve">II.3 – Da exclusão dos períodos de suspensão judicial</w:t>
      </w:r>
    </w:p>
    <w:p>
      <w:pPr>
        <w:spacing w:after="0" w:line="360" w:lineRule="auto"/>
        <w:ind w:firstLine="709"/>
        <w:jc w:val="both"/>
      </w:pPr>
      <w:r>
        <w:t xml:space="preserve">Do exposto decorre que os períodos de suspensão judicial devem ser excluídos da contagem, operando-se verdadeira suspensão (tolling) do prazo: o cômputo pausa no início de cada efeito suspensivo e retoma com a respectiva cessação, somando-se os intervalos de efetiva vigência até que perfaçam os dois anos. Não se trata de interrupção (que zeraria a contagem), mas de suspensão, com aproveitamento do tempo já cumprido.</w:t>
      </w:r>
    </w:p>
    <w:p>
      <w:pPr>
        <w:spacing w:after="0" w:line="360" w:lineRule="auto"/>
        <w:ind w:firstLine="709"/>
        <w:jc w:val="both"/>
      </w:pPr>
      <w:r>
        <w:t xml:space="preserve">É precisamente esse o método adotado pela consulente, que descontou os dois períodos de suspensão e computou tão somente o tempo em que a sanção esteve em vigor. Registre-se que tal proceder, longe de abreviar a penalidade, preserva-lhe a integralidade: caso se contassem dois anos corridos desde o início dos efeitos, o requisito estaria satisfeito em outubro de 2025; ao excluir os períodos suspensos, a consulente adota a leitura mais rigorosa e desfavorável a si própria, projetando o implemento apenas para outubro de 2026. A postura harmoniza-se com a boa-fé objetiva, com a segurança jurídica e com a vedação ao locupletamento, e é coerente com a orientação segundo a qual a reabilitação pressupõe o cumprimento efetivo da sanção.</w:t>
      </w:r>
    </w:p>
    <w:p>
      <w:pPr>
        <w:spacing w:after="40" w:before="160" w:line="360" w:lineRule="auto"/>
        <w:jc w:val="left"/>
      </w:pPr>
      <w:r>
        <w:rPr>
          <w:b/>
          <w:bCs/>
          <w:sz w:val="22"/>
          <w:szCs w:val="22"/>
        </w:rPr>
        <w:t xml:space="preserve">II.4 – Dos marcos temporais: dies a quo e eficácia das decisões</w:t>
      </w:r>
    </w:p>
    <w:p>
      <w:pPr>
        <w:spacing w:after="0" w:line="360" w:lineRule="auto"/>
        <w:ind w:firstLine="709"/>
        <w:jc w:val="both"/>
      </w:pPr>
      <w:r>
        <w:t xml:space="preserve">Assentado o método, remanescem precisões quanto aos marcos, das quais depende a exatidão do resultado. Primeiro, o dies a quo. Como a Decisão nº 9 teve os efeitos suspensos até o julgamento da reconsideração, o cumprimento da sanção somente se inicia com a incidência dos efeitos, o que se dá com a publicação, no DOU, da Decisão nº 347 que a indeferiu — isto é, em 27/10/2023 —, e não na data de aplicação da penalidade. A adoção da data de publicação, em detrimento da data de julgamento (24/10/2023), justifica-se pelo princípio da publicidade, que condiciona a eficácia dos atos administrativos ao seu conhecimento oficial.</w:t>
      </w:r>
    </w:p>
    <w:p>
      <w:pPr>
        <w:spacing w:after="0" w:line="360" w:lineRule="auto"/>
        <w:ind w:firstLine="709"/>
        <w:jc w:val="both"/>
      </w:pPr>
      <w:r>
        <w:t xml:space="preserve">Segundo, os marcos das suspensões. O rigor técnico recomenda que se adotem as datas de eficácia (produção de efeitos) de cada decisão, de forma homogênea: o início de cada suspensão corresponde à eficácia da decisão que a concedeu, e o seu término, à eficácia da decisão que a fez cessar. No caso da primeira suspensão, cuja eficácia foi expressamente limitada “até a apreciação do pedido liminar pelo juízo de primeiro grau”, o termo final coincide com a decisão de origem de 09/07/2024. No caso da segunda, o termo final é o acórdão que revogou o efeito suspensivo, indicado como de 05/02/2025. A utilização das datas de prolação — como fez a consulente — é admissível e, na espécie, não distorce materialmente o cálculo, mas convém que os marcos sejam uniformizados pelo critério da eficácia.</w:t>
      </w:r>
    </w:p>
    <w:p>
      <w:pPr>
        <w:spacing w:after="40" w:before="160" w:line="360" w:lineRule="auto"/>
        <w:jc w:val="left"/>
      </w:pPr>
      <w:r>
        <w:rPr>
          <w:b/>
          <w:bCs/>
          <w:sz w:val="22"/>
          <w:szCs w:val="22"/>
        </w:rPr>
        <w:t xml:space="preserve">II.5 – Do recomputo da contagem</w:t>
      </w:r>
    </w:p>
    <w:p>
      <w:pPr>
        <w:spacing w:after="0" w:line="360" w:lineRule="auto"/>
        <w:ind w:firstLine="709"/>
        <w:jc w:val="both"/>
      </w:pPr>
      <w:r>
        <w:t xml:space="preserve">Adotados o dies a quo de 27/10/2023 e a exclusão dos períodos de suspensão, a contagem se estrutura assim: (a) primeiro período de vigência, de 27/10/2023 a 04/12/2023 — 38 dias; (b) primeira suspensão, de 04/12/2023 a 09/07/2024 — 218 dias, excluídos; (c) segundo período de vigência, de 09/07/2024 a 19/09/2024 — 72 dias; (d) segunda suspensão, de 19/09/2024 a 05/02/2025 — 139 dias, excluídos; e (e) vigência ininterrupta a partir de 05/02/2025. Somam-se, até esta última data, 110 dias de efetivo cumprimento, e excluem-se 357 dias de suspensão.</w:t>
      </w:r>
    </w:p>
    <w:p>
      <w:pPr>
        <w:spacing w:after="0" w:line="360" w:lineRule="auto"/>
        <w:ind w:firstLine="709"/>
        <w:jc w:val="both"/>
      </w:pPr>
      <w:r>
        <w:t xml:space="preserve">Faltando 620 dias para completar os 730 dias correspondentes aos dois anos, e retomada a contagem em 05/02/2025, o requisito temporal implementa-se em 18/10/2026 — exatamente a data projetada pela consulente. O resultado é robusto: pelo critério alternativo de dois anos civis contados de 27/10/2023 (27/10/2025), acrescidos dos 357 dias de suspensão, chega-se a 19/10/2026, convergência que atesta a consistência do cálculo. Registre-se que a data final é sensível a variações de poucos dias conforme a convenção adotada (730 ou 731 dias; inclusão ou exclusão dos dias-limite) e conforme o dies a quo eleito: caso se contasse da data de julgamento da reconsideração (24/10/2023), a projeção recuaria para meados de outubro de 2026.</w:t>
      </w:r>
    </w:p>
    <w:p>
      <w:pPr>
        <w:spacing w:after="40" w:before="160" w:line="360" w:lineRule="auto"/>
        <w:jc w:val="left"/>
      </w:pPr>
      <w:r>
        <w:rPr>
          <w:b/>
          <w:bCs/>
          <w:sz w:val="22"/>
          <w:szCs w:val="22"/>
        </w:rPr>
        <w:t xml:space="preserve">II.6 – Das ressalvas</w:t>
      </w:r>
    </w:p>
    <w:p>
      <w:pPr>
        <w:spacing w:after="0" w:line="360" w:lineRule="auto"/>
        <w:ind w:firstLine="709"/>
        <w:jc w:val="both"/>
      </w:pPr>
      <w:r>
        <w:t xml:space="preserve">Duas observações finais se impõem. A primeira, quanto ao marco final da segunda suspensão: ele se encontra comprovado no Doc. nº 3, cuja última peça é o acórdão do Agravo de Instrumento nº 0809667-58.2024.4.05.0000, da Sexta Turma do Tribunal Regional Federal da 5ª Região, que, por maioria, deu parcial provimento ao recurso, mas, ante a ausência de fumus boni juris e de periculum in mora, indeferiu a tutela jurisdicional, fazendo cessar o efeito suspensivo — documento assinado em 05/02/2025. Fica, no ponto, apenas a recomendação de rigor de que o termo da suspensão seja aferido pela eficácia do acórdão, isto é, por sua publicação, que pode ocorrer poucos dias após a assinatura, com repercussão de um a três dias na contagem. A segunda observação, de ordem metodológica: a data de 18/10/2026 há de ser tratada como projeção, e não como termo imutável, ficando sujeita à confirmação dos marcos de eficácia e da convenção de contagem, na forma acima.</w:t>
      </w:r>
    </w:p>
    <w:p>
      <w:pPr>
        <w:spacing w:after="80" w:before="240" w:line="360" w:lineRule="auto"/>
        <w:jc w:val="left"/>
      </w:pPr>
      <w:r>
        <w:rPr>
          <w:b/>
          <w:bCs/>
        </w:rPr>
        <w:t xml:space="preserve">III – DA CONCLUSÃO</w:t>
      </w:r>
    </w:p>
    <w:p>
      <w:pPr>
        <w:spacing w:after="0" w:line="360" w:lineRule="auto"/>
        <w:ind w:firstLine="709"/>
        <w:jc w:val="both"/>
      </w:pPr>
      <w:r>
        <w:t xml:space="preserve">Ante o exposto, responde-se objetivamente ao item 7.(i) da consulta:</w:t>
      </w:r>
    </w:p>
    <w:p>
      <w:pPr>
        <w:spacing w:after="0" w:line="360" w:lineRule="auto"/>
        <w:ind w:firstLine="709"/>
        <w:jc w:val="both"/>
      </w:pPr>
      <w:r>
        <w:rPr>
          <w:b/>
          <w:bCs/>
        </w:rPr>
        <w:t xml:space="preserve">(a) </w:t>
      </w:r>
      <w:r>
        <w:t xml:space="preserve">Está substancialmente correta a forma de cálculo adotada pela consulente. O prazo de dois anos exigido para a reabilitação (art. 87, IV, da Lei nº 8.666/1993; art. 2º, I, da Portaria CGU nº 1.214/2020) é de cumprimento efetivo da penalidade; os períodos em que a sanção esteve judicialmente suspensa não se computam, suspendendo-se o prazo e retomando-se a contagem, com soma dos intervalos de efetiva vigência.</w:t>
      </w:r>
    </w:p>
    <w:p>
      <w:pPr>
        <w:spacing w:after="0" w:line="360" w:lineRule="auto"/>
        <w:ind w:firstLine="709"/>
        <w:jc w:val="both"/>
      </w:pPr>
      <w:r>
        <w:rPr>
          <w:b/>
          <w:bCs/>
        </w:rPr>
        <w:t xml:space="preserve">(b) </w:t>
      </w:r>
      <w:r>
        <w:t xml:space="preserve">O dies a quo do cômputo é a data em que os efeitos passaram a incidir — a publicação, no DOU, da decisão que indeferiu a reconsideração (27/10/2023) —, e não a data de aplicação da sanção; e os marcos das suspensões devem observar as datas de eficácia das respectivas decisões, de forma homogênea, sendo admissível, sem distorção material, o emprego das datas de prolação feito pela consulente.</w:t>
      </w:r>
    </w:p>
    <w:p>
      <w:pPr>
        <w:spacing w:after="0" w:line="360" w:lineRule="auto"/>
        <w:ind w:firstLine="709"/>
        <w:jc w:val="both"/>
      </w:pPr>
      <w:r>
        <w:rPr>
          <w:b/>
          <w:bCs/>
        </w:rPr>
        <w:t xml:space="preserve">(c) </w:t>
      </w:r>
      <w:r>
        <w:t xml:space="preserve">Refeita a contagem, confirma-se a projeção de 18/10/2026 para o implemento do requisito temporal, ressalvada a variação de poucos dias conforme a convenção adotada e o dies a quo eleito. O termo final da segunda suspensão (05/02/2025) está comprovado nos autos, pelo acórdão da Sexta Turma do Tribunal Regional Federal da 5ª Região no Agravo de Instrumento nº 0809667-58.2024.4.05.0000 (Doc. nº 3), que, dando parcial provimento ao recurso, indeferiu a tutela e fez cessar o efeito suspensivo, recomendando-se apenas que o marco seja aferido pela data de eficácia (publicação) do julgado.</w:t>
      </w:r>
    </w:p>
    <w:p>
      <w:pPr>
        <w:spacing w:after="0" w:line="360" w:lineRule="auto"/>
        <w:ind w:firstLine="709"/>
        <w:jc w:val="both"/>
      </w:pPr>
      <w:r>
        <w:t xml:space="preserve">É o parecer, que se submete à consideração superior, salvo melhor juízo.</w:t>
      </w:r>
    </w:p>
    <w:p>
      <w:pPr>
        <w:spacing w:after="0" w:before="200" w:line="360" w:lineRule="auto"/>
        <w:jc w:val="left"/>
      </w:pPr>
      <w:r>
        <w:rPr>
          <w:b w:val="false"/>
          <w:bCs w:val="false"/>
          <w:i w:val="false"/>
          <w:iCs w:val="false"/>
        </w:rPr>
        <w:t xml:space="preserve">[Local], [data].</w:t>
      </w:r>
    </w:p>
    <w:p>
      <w:pPr>
        <w:spacing w:after="0" w:before="260" w:line="360" w:lineRule="auto"/>
        <w:jc w:val="center"/>
      </w:pPr>
      <w:r>
        <w:rPr>
          <w:b w:val="false"/>
          <w:bCs w:val="false"/>
          <w:i w:val="false"/>
          <w:iCs w:val="false"/>
        </w:rPr>
        <w:t xml:space="preserve">_______________________________________</w:t>
      </w:r>
    </w:p>
    <w:p>
      <w:pPr>
        <w:spacing w:after="0" w:before="0" w:line="360" w:lineRule="auto"/>
        <w:jc w:val="center"/>
      </w:pPr>
      <w:r>
        <w:rPr>
          <w:b/>
          <w:bCs/>
          <w:i w:val="false"/>
          <w:iCs w:val="false"/>
        </w:rPr>
        <w:t xml:space="preserve">[Nome do(a) parecerista]</w:t>
      </w:r>
    </w:p>
    <w:p>
      <w:pPr>
        <w:spacing w:after="0" w:before="0" w:line="360" w:lineRule="auto"/>
        <w:jc w:val="center"/>
      </w:pPr>
      <w:r>
        <w:rPr>
          <w:b w:val="false"/>
          <w:bCs w:val="false"/>
          <w:i w:val="false"/>
          <w:iCs w:val="false"/>
        </w:rPr>
        <w:t xml:space="preserve">[Cargo / OAB nº ...]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2026-09-02T22:05:56.487Z</dcterms:created>
  <dcterms:modified xsi:type="dcterms:W3CDTF">2026-09-02T22:05:56.729Z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