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ORÇAMENTAÇÃO DE OBRAS PÚBLICAS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 e Objetivos do Curso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Elaborado a partir da apresentação "Orçamentação" (Instituto ITER, 106 slides), estruturada na Lei nº 14.133/2021, no Decreto nº 7.983/2013, nos sistemas referenciais de custos SINAPI e SICRO e na jurisprudência do TCU, da CGU e nas orientações técnicas do IBRAOP. Estrutura condensada em 6 módulos, com preservação integral dos tópicos.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Fundamentos, Estrutura do Orçamento e Encargos Sociais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 orçamentação de obras no marco da Lei nº 14.133/2021 (art. 23): valor estimado da contratação e compatibilidade com os preços de mercado.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Fontes e parâmetros de preços; bancos de dados públicos; ordem de prioridade dos parâmetros (art. 23, § 2º).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Estrutura do valor estimado da obra ou serviço: Custo Direto + BDI + Encargos Sociais.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Economia de escala e peculiaridades do local de execução do objeto.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Encargos sociais sobre a mão de obra horista e mensalista; composição e demonstrativo analítico dos percentuais.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 (Bonificação e Despesas Indiretas)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de custos indiretos nos sistemas SINAPI e SICRO (Acórdão 2.622/2013-TCU-Plenário).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Administração Local: definição, faixas referenciais e pagamento proporcional à execução física (Acórdãos 2.622/2013, 1.247/2016 e 845/2021; arts. 62 e 63 da Lei nº 4.320/1964).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 e manutenção do canteiro de obras (NBR nº 12.284/1991; áreas operacionais e de vivência; cadernos técnicos do DNIT e do SINAPI).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Mobilização e desmobilização como custo direto (Manual do SICRO; Acórdão 2.622/2013).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e composição do BDI; despesas indiretas e bonificação (lucro); fórmula Preço = (1 + BDI) × Custo.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Taxas referenciais de BDI por tipo de obra; BDI reduzido e Súmula nº 253/TCU (Decreto nº 7.983/2013; Acórdãos 2.622/2013 e 2.340/2024).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Composição analítica do BDI: Administração Central, Despesas Financeiras (SELIC), Seguros e Garantias, Riscos, Lucro e Tributos (PIS, COFINS e ISSQN).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Desoneração da folha e CPRB; impacto no BDI e escolha do menor valor global (Leis nos 12.844/2013, 13.043/2014, 13.161/2015 e 14.973/2024).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IRPJ e CSLL no BDI: natureza direta e personalística (Súmula nº 254/2010; Decreto nº 7.983/2013; Acórdão 648/2016).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Sobrepreço decorrente de BDI ou encargos majorados e responsabilização do gestor (Acórdão 1.460/2025).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 (CPU)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sintético: conceito, anteprojeto e regime de contratação integrada (art. 23, § 5º).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Metodologias de estimativa de custos: paramétrica e expedita.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detalhado (analítico): composições de custos unitários e pesquisa de preços (IBRAOP OT — IBR 004/2012).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Documentos que acompanham o orçamento detalhado: cronograma físico-financeiro, curvas ABC e Curva S, composições, memórias de cálculo e demonstrativo de encargos.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Margem de precisão do orçamento e sua distinção dos limites de aditamento contratual (art. 125).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Composições SICRO: custo horário, equipes e patrulhas mecânicas; produção de equipes.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Composições SINAPI: custo unitário, ficha técnica de insumo, transportes e Caixa Referencial (Acórdão 1.736/2007).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Especificidades do SINAPI: metodologia do IBGE, famílias homogêneas e categorias C, CR e AS; pontos de atenção (Acórdão 2.984/2013); atualizações a partir de 2025.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Escolha entre composições do SICRO e do SINAPI conforme as peculiaridades locais.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Cotação local e economia de escala (art. 23; art. 8º do Decreto nº 7.983/2013; Acórdão 136/2025).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Exercícios práticos integrando orçamento, cronograma e CPU; uso de inteligência artificial na elaboração de cadernos técnicos.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Cronograma físico-financeiro: elaboração e análise crítica da distribuição dos percentuais de execução.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de Valor Agregado (Curva S): benefícios, cálculo de atrasos e Índice de Desempenho de Prazo (IDP); multa de mora (art. 162).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Exercício de Administração Local: pagamento proporcional aos serviços executados (Acórdão 2.622/2013).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Reflexos dos atrasos nos contratos de supervisão e gerenciamento; matriz de risco (Acórdão 266/2024).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ABC de serviços e de insumos como instrumentos de gestão, fiscalização e auditoria.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Sobrepreço: conceito legal (art. 6º, LVI) e objetivo do processo licitatório (art. 11, III).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Tolerância e "expressividade" do sobrepreço: posições da CGU e do TCU (Acórdãos 1.254/2020 e 1.742/2025); distinção entre margem de tolerância e margem de precisão.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Governança e responsabilidade da alta administração (art. 11, parágrafo único); causas de fragilidades e boas práticas de prevenção.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Jogo de planilha e jogo de cronograma (Súmula nº 259/2010; Acórdãos 2.307/2017 e 1.695/2018; art. 59, § 3º).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apuração do sobrepreço: MPLU (Limitação dos Preços Unitários) e MPLG (Limitação do Preço Global).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Superfaturamento: conceito legal (art. 6º, LVII) e modalidades.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1 — medição de quantidades superiores às efetivamente executadas.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2 — antecipação de pagamento (art. 145; arts. 62 e 63 da Lei nº 4.320/1964; hipóteses excepcionais do § 1º).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3 — desequilíbrio econômico-financeiro em favor do contratado (jogo de planilha).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4 — metodologia executiva antieconômica (Acórdão 1.655/2024).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Responsabilização dos agentes: projetista/orçamentista, fiscalização e contratado.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 e Equilíbrio Econômico-Financeiro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Aditivos: hipóteses de alteração (art. 124) — unilaterais (qualitativa e quantitativa) e por acordo entre as partes.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Limites das alterações e tratamento isolado de acréscimos e supressões (Acórdãos 1.271/2025 e 1.981/2009).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aditamento: método do balanço e método do desconto; opção da NLLC pelo desconto (arts. 128 e 15).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Aplicações práticas: aditivos com novos serviços e com alteração de quantidades; orientações aos gestores.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Reequilíbrio econômico-financeiro e teoria da imprevisão (art. 124, II, "d"); cláusula rebus sic stantibus (Hely Lopes Meirelles).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Pressupostos e vínculo de causalidade; presunção de veracidade dos custos referenciais (Acórdão 1.637/2016); matriz de riscos.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Engenharia de custos: exame de equidade global, expurgo do reajuste ordinário, onerosidade excessiva e expurgo do lucro (Acórdãos 1.466/2013 e 4.072/2020).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Percentuais e critérios de deferimento (Acórdãos 1.604/2015, 4.072/2020 e 2.429/2024); diretrizes e modalidades de reequilíbrio (OT — IBRAOP 009/2024).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DO CURSO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1.</w:t>
      </w:r>
      <w:r>
        <w:rPr>
          <w:rFonts w:ascii="Arial" w:cs="Arial" w:eastAsia="Arial" w:hAnsi="Arial"/>
          <w:sz w:val="24"/>
          <w:szCs w:val="24"/>
        </w:rPr>
        <w:t xml:space="preserve"> Capacitar os participantes a elaborar e analisar criticamente orçamentos de obras públicas, dominando as referências legais (Lei nº 14.133/2021 e Decreto nº 7.983/2013) e os sistemas oficiais de custos (SINAPI e SICRO), com a correta composição do custo direto, dos custos indiretos, dos encargos sociais e do BDI.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2.</w:t>
      </w:r>
      <w:r>
        <w:rPr>
          <w:rFonts w:ascii="Arial" w:cs="Arial" w:eastAsia="Arial" w:hAnsi="Arial"/>
          <w:sz w:val="24"/>
          <w:szCs w:val="24"/>
        </w:rPr>
        <w:t xml:space="preserve"> Habilitar à identificação, mensuração e prevenção de irregularidades orçamentárias — sobrepreço e superfaturamento em suas diversas modalidades —, mediante a aplicação dos métodos de apuração (MPLU e MPLG) e da jurisprudência consolidada do TCU e da CGU.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3.</w:t>
      </w:r>
      <w:r>
        <w:rPr>
          <w:rFonts w:ascii="Arial" w:cs="Arial" w:eastAsia="Arial" w:hAnsi="Arial"/>
          <w:sz w:val="24"/>
          <w:szCs w:val="24"/>
        </w:rPr>
        <w:t xml:space="preserve"> Desenvolver competências de planejamento e controle da execução contratual por meio do cronograma físico-financeiro, das curvas ABC e da Curva S (valor agregado), permitindo o monitoramento de desempenho, a antecipação de atrasos e a adequada fiscalização das obras.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4.</w:t>
      </w:r>
      <w:r>
        <w:rPr>
          <w:rFonts w:ascii="Arial" w:cs="Arial" w:eastAsia="Arial" w:hAnsi="Arial"/>
          <w:sz w:val="24"/>
          <w:szCs w:val="24"/>
        </w:rPr>
        <w:t xml:space="preserve"> Instrumentalizar a gestão de alterações contratuais — aditivos qualitativos e quantitativos e pedidos de reequilíbrio econômico-financeiro —, com fundamento na teoria da imprevisão, no método do desconto e nas diretrizes técnicas (IBRAOP) e jurisprudenciais aplicáveis.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Conteudo_Programatico_e_Objetivos_Orcamentacao_Obras.docx</dc:title>
  <dc:creator>Documento gerado</dc:creator>
  <cp:lastModifiedBy>Un-named</cp:lastModifiedBy>
  <cp:revision>1</cp:revision>
  <dcterms:created xsi:type="dcterms:W3CDTF">2026-08-05T23:51:54.027Z</dcterms:created>
  <dcterms:modified xsi:type="dcterms:W3CDTF">2026-08-05T23:51:54.040Z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