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Quadro-Resumo — ABNT NBR 12655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Concreto de cimento Portland — Preparo, controle, recebimento e aceitação · material de estudo (banca Cebraspe)</w:t>
      </w:r>
    </w:p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1.  Amostragem e resistência do exemplar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4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Exemplar</w:t>
            </w:r>
          </w:p>
        </w:tc>
        <w:tc>
          <w:tcPr>
            <w:tcW w:type="dxa" w:w="6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 corpos de prova da mesma amassada, para cada idade de ruptura, moldados no mesmo ato (moldagem NBR 5738; ruptura NBR 5739).</w:t>
            </w:r>
          </w:p>
        </w:tc>
      </w:tr>
      <w:tr>
        <w:trPr>
          <w:tblHeader w:val="false"/>
        </w:trPr>
        <w:tc>
          <w:tcPr>
            <w:tcW w:type="dxa" w:w="26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Resistência do exemplar (</w:t>
            </w: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 xml:space="preserve">f</w:t>
            </w: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ci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64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 </w:t>
            </w: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MAIOR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dos dois valores obtidos. NÃO é a média — a média aritmética é regra do ACI 318 / EN 206, não da NBR 12655.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Ensaio de consistência — quando fazer</w:t>
            </w:r>
          </w:p>
        </w:tc>
        <w:tc>
          <w:tcPr>
            <w:tcW w:type="dxa" w:w="6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Na 1ª amassada/betonada do dia; na troca de operadores; e toda vez que se moldam corpos de prova. (Não é em todas as amassadas.)</w:t>
            </w:r>
          </w:p>
        </w:tc>
      </w:tr>
      <w:tr>
        <w:trPr>
          <w:tblHeader w:val="false"/>
        </w:trPr>
        <w:tc>
          <w:tcPr>
            <w:tcW w:type="dxa" w:w="26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Resistência de dosagem</w:t>
            </w:r>
          </w:p>
        </w:tc>
        <w:tc>
          <w:tcPr>
            <w:tcW w:type="dxa" w:w="64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 xml:space="preserve">f</w:t>
            </w: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cj</w:t>
            </w: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 xml:space="preserve"> = f</w:t>
            </w: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ck</w:t>
            </w: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 xml:space="preserve"> + 1,65 · S</w:t>
            </w: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d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(S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d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conforme a condição de preparo).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2.  Condições de preparo do concreto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1500"/>
        <w:gridCol w:w="1200"/>
        <w:gridCol w:w="1700"/>
        <w:gridCol w:w="4670"/>
      </w:tblGrid>
      <w:tr>
        <w:trPr>
          <w:tblHeader/>
        </w:trPr>
        <w:tc>
          <w:tcPr>
            <w:tcW w:type="dxa" w:w="15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Condição</w:t>
            </w:r>
          </w:p>
        </w:tc>
        <w:tc>
          <w:tcPr>
            <w:tcW w:type="dxa" w:w="12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</w:t>
            </w: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(MPa)</w:t>
            </w:r>
          </w:p>
        </w:tc>
        <w:tc>
          <w:tcPr>
            <w:tcW w:type="dxa" w:w="17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Classes</w:t>
            </w:r>
          </w:p>
        </w:tc>
        <w:tc>
          <w:tcPr>
            <w:tcW w:type="dxa" w:w="46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Medição dos materiais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4,0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C10 a C80 (todas)</w:t>
            </w:r>
          </w:p>
        </w:tc>
        <w:tc>
          <w:tcPr>
            <w:tcW w:type="dxa" w:w="4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Cimento e agregados em massa; água em massa ou em volume com dosador; umidade dos agregados determinada.</w:t>
            </w:r>
          </w:p>
        </w:tc>
      </w:tr>
      <w:tr>
        <w:trPr>
          <w:tblHeader w:val="false"/>
        </w:trPr>
        <w:tc>
          <w:tcPr>
            <w:tcW w:type="dxa" w:w="15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2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5,5</w:t>
            </w:r>
          </w:p>
        </w:tc>
        <w:tc>
          <w:tcPr>
            <w:tcW w:type="dxa" w:w="17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C10 a C25</w:t>
            </w:r>
          </w:p>
        </w:tc>
        <w:tc>
          <w:tcPr>
            <w:tcW w:type="dxa" w:w="46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Cimento em massa; água em volume (dosador); agregados em massa combinada com volume (até C20). Para C25, agregados em massa.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7,0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C10 e C15</w:t>
            </w:r>
          </w:p>
        </w:tc>
        <w:tc>
          <w:tcPr>
            <w:tcW w:type="dxa" w:w="4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Cimento em massa; agregados em volume; água em volume.</w:t>
            </w:r>
          </w:p>
        </w:tc>
      </w:tr>
    </w:tbl>
    <w:p>
      <w:pPr>
        <w:spacing w:after="0" w:before="60" w:line="300" w:lineRule="auto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Regra de ouro: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o cimento é </w:t>
      </w:r>
      <w:r>
        <w:rPr>
          <w:b/>
          <w:bCs/>
          <w:i w:val="false"/>
          <w:iCs w:val="false"/>
          <w:sz w:val="22"/>
          <w:szCs w:val="22"/>
        </w:rPr>
        <w:t xml:space="preserve">SEMPRE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medido em massa, em qualquer condição.</w:t>
      </w:r>
    </w:p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3.  Medição dos agregados por classe (a pegadinha)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600"/>
        <w:gridCol w:w="5470"/>
      </w:tblGrid>
      <w:tr>
        <w:trPr>
          <w:tblHeader/>
        </w:trPr>
        <w:tc>
          <w:tcPr>
            <w:tcW w:type="dxa" w:w="36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Classe do concreto</w:t>
            </w:r>
          </w:p>
        </w:tc>
        <w:tc>
          <w:tcPr>
            <w:tcW w:type="dxa" w:w="54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Medição admitida dos agregados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C10 e C15</w:t>
            </w:r>
          </w:p>
        </w:tc>
        <w:tc>
          <w:tcPr>
            <w:tcW w:type="dxa" w:w="5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Volume puro (Condição C).</w:t>
            </w:r>
          </w:p>
        </w:tc>
      </w:tr>
      <w:tr>
        <w:trPr>
          <w:tblHeader w:val="false"/>
        </w:trPr>
        <w:tc>
          <w:tcPr>
            <w:tcW w:type="dxa" w:w="36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Até C20 (e não estrutural)</w:t>
            </w:r>
          </w:p>
        </w:tc>
        <w:tc>
          <w:tcPr>
            <w:tcW w:type="dxa" w:w="54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Massa combinada com volume.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C25 e superiores</w:t>
            </w:r>
          </w:p>
        </w:tc>
        <w:tc>
          <w:tcPr>
            <w:tcW w:type="dxa" w:w="5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Massa (obrigatória) — volume não é permitido.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4.  Ensaios de consistência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000"/>
        <w:gridCol w:w="3400"/>
        <w:gridCol w:w="2670"/>
      </w:tblGrid>
      <w:tr>
        <w:trPr>
          <w:tblHeader/>
        </w:trPr>
        <w:tc>
          <w:tcPr>
            <w:tcW w:type="dxa" w:w="30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concreto</w:t>
            </w:r>
          </w:p>
        </w:tc>
        <w:tc>
          <w:tcPr>
            <w:tcW w:type="dxa" w:w="34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Ensaio</w:t>
            </w:r>
          </w:p>
        </w:tc>
        <w:tc>
          <w:tcPr>
            <w:tcW w:type="dxa" w:w="26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Norma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Convencional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Abatimento do tronco de cone (slump test)</w:t>
            </w:r>
          </w:p>
        </w:tc>
        <w:tc>
          <w:tcPr>
            <w:tcW w:type="dxa" w:w="2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NBR NM 67 (atual NBR 16889)</w:t>
            </w:r>
          </w:p>
        </w:tc>
      </w:tr>
      <w:tr>
        <w:trPr>
          <w:tblHeader w:val="false"/>
        </w:trPr>
        <w:tc>
          <w:tcPr>
            <w:tcW w:type="dxa" w:w="30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Autoadensável</w:t>
            </w:r>
          </w:p>
        </w:tc>
        <w:tc>
          <w:tcPr>
            <w:tcW w:type="dxa" w:w="34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Espalhamento (slump-flow)</w:t>
            </w:r>
          </w:p>
        </w:tc>
        <w:tc>
          <w:tcPr>
            <w:tcW w:type="dxa" w:w="26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NBR 15823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5.  Controle de recebimento da resistência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Modalidade</w:t>
            </w:r>
          </w:p>
        </w:tc>
        <w:tc>
          <w:tcPr>
            <w:tcW w:type="dxa" w:w="64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Amostragem parcial</w:t>
            </w:r>
          </w:p>
        </w:tc>
        <w:tc>
          <w:tcPr>
            <w:tcW w:type="dxa" w:w="6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Ensaiam-se exemplares de parte das amassadas do lote. Estima-se a resistência característica com os exemplares em ordem crescente.</w:t>
            </w:r>
          </w:p>
        </w:tc>
      </w:tr>
      <w:tr>
        <w:trPr>
          <w:tblHeader w:val="false"/>
        </w:trPr>
        <w:tc>
          <w:tcPr>
            <w:tcW w:type="dxa" w:w="26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Amostragem total (100%)</w:t>
            </w:r>
          </w:p>
        </w:tc>
        <w:tc>
          <w:tcPr>
            <w:tcW w:type="dxa" w:w="64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Ensaia-se um exemplar de cada amassada do lote (quando não há dados para a parcial ou por opção).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Estimativa (</w:t>
            </w: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 xml:space="preserve">f</w:t>
            </w:r>
            <w:r>
              <w:rPr>
                <w:b w:val="false"/>
                <w:bCs w:val="false"/>
                <w:i/>
                <w:iCs/>
                <w:sz w:val="14"/>
                <w:szCs w:val="14"/>
              </w:rPr>
              <w:t xml:space="preserve">ck,est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6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Amostragem parcial: 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ck,est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= 2·[(f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+…+f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m−1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)/(m−1)] − 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m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com m = n/2 (arredonda p/ baixo) e não inferior a ψ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·f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 Deve-se ter 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ck,est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≥ f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ck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6.  Não conformidade (f_ck,est &lt; f_ck) — sequência de providências</w:t>
      </w:r>
    </w:p>
    <w:tbl>
      <w:tblPr>
        <w:tblW w:type="dxa" w:w="907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700"/>
        <w:gridCol w:w="8370"/>
      </w:tblGrid>
      <w:tr>
        <w:trPr>
          <w:tblHeader/>
        </w:trPr>
        <w:tc>
          <w:tcPr>
            <w:tcW w:type="dxa" w:w="70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370"/>
            <w:shd w:fill="1E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Providência (nesta ordem — a demolição é o ÚLTIMO recurso)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Comunicar o responsável técnico e investigar a origem da não conformidade.</w:t>
            </w:r>
          </w:p>
        </w:tc>
      </w:tr>
      <w:tr>
        <w:trPr>
          <w:tblHeader w:val="false"/>
        </w:trPr>
        <w:tc>
          <w:tcPr>
            <w:tcW w:type="dxa" w:w="7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3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Reavaliar a segurança da estrutura com a resistência efetiva (f_c,ef) — recálculo.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Ensaios complementares: extração e ensaio de testemunhos (NBR 7680); ensaios não destrutivos (esclerometria) como apoio.</w:t>
            </w:r>
          </w:p>
        </w:tc>
      </w:tr>
      <w:tr>
        <w:trPr>
          <w:tblHeader w:val="false"/>
        </w:trPr>
        <w:tc>
          <w:tcPr>
            <w:tcW w:type="dxa" w:w="70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837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Prova de carga (NBR 6118), quando necessário.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8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Decisão final: aceitar sem reforço; reforçar; ou, em último caso, demolir.</w:t>
            </w:r>
          </w:p>
        </w:tc>
      </w:tr>
    </w:tbl>
    <w:p>
      <w:pPr>
        <w:spacing w:after="80" w:before="220"/>
      </w:pPr>
      <w:r>
        <w:rPr>
          <w:b/>
          <w:bCs/>
          <w:color w:val="1E4E79"/>
          <w:sz w:val="24"/>
          <w:szCs w:val="24"/>
        </w:rPr>
        <w:t xml:space="preserve">7.  Pegadinhas da banca (guardar de cor)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Exemplar = </w:t>
      </w:r>
      <w:r>
        <w:rPr>
          <w:b/>
          <w:bCs/>
          <w:i w:val="false"/>
          <w:iCs w:val="false"/>
          <w:sz w:val="22"/>
          <w:szCs w:val="22"/>
        </w:rPr>
        <w:t xml:space="preserve">MAIOR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valor (não média). “Média” é ACI/EN.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Slump </w:t>
      </w:r>
      <w:r>
        <w:rPr>
          <w:b/>
          <w:bCs/>
          <w:i w:val="false"/>
          <w:iCs w:val="false"/>
          <w:sz w:val="22"/>
          <w:szCs w:val="22"/>
        </w:rPr>
        <w:t xml:space="preserve">não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é em todas as amassadas — só nos 3 momentos (item 1).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C25 → agregados em </w:t>
      </w:r>
      <w:r>
        <w:rPr>
          <w:b/>
          <w:bCs/>
          <w:i w:val="false"/>
          <w:iCs w:val="false"/>
          <w:sz w:val="22"/>
          <w:szCs w:val="22"/>
        </w:rPr>
        <w:t xml:space="preserve">massa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; “massa combinada com volume” só até C20; volume puro só C10/C15.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Cimento </w:t>
      </w:r>
      <w:r>
        <w:rPr>
          <w:b/>
          <w:bCs/>
          <w:i w:val="false"/>
          <w:iCs w:val="false"/>
          <w:sz w:val="22"/>
          <w:szCs w:val="22"/>
        </w:rPr>
        <w:t xml:space="preserve">sempre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em massa.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Autoadensável → </w:t>
      </w:r>
      <w:r>
        <w:rPr>
          <w:b/>
          <w:bCs/>
          <w:i w:val="false"/>
          <w:iCs w:val="false"/>
          <w:sz w:val="22"/>
          <w:szCs w:val="22"/>
        </w:rPr>
        <w:t xml:space="preserve">espalhamento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(NBR 15823), não abatimento.</w:t>
      </w:r>
    </w:p>
    <w:p>
      <w:pPr>
        <w:pStyle w:val="ListParagraph"/>
        <w:numPr>
          <w:ilvl w:val="0"/>
          <w:numId w:val="1"/>
        </w:numPr>
        <w:spacing w:after="40" w:line="300" w:lineRule="auto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Não conformidade → sequência técnica; </w:t>
      </w:r>
      <w:r>
        <w:rPr>
          <w:b/>
          <w:bCs/>
          <w:i w:val="false"/>
          <w:iCs w:val="false"/>
          <w:sz w:val="22"/>
          <w:szCs w:val="22"/>
        </w:rPr>
        <w:t xml:space="preserve">demolição é último recurso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/>
      </w:pPr>
    </w:p>
    <w:p>
      <w:pPr>
        <w:spacing w:after="0" w:before="0" w:line="300" w:lineRule="auto"/>
        <w:jc w:val="both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Base normativa: ABNT NBR 12655 (preparo, controle, recebimento e aceitação); NBR 5738/5739 (moldagem e ensaio de CPs); NBR 7680 (testemunhos); NBR 15823 (autoadensável); NBR 6118 (projeto/prova de carga). Material de estudo — em uso profissional, consultar o texto vigente da norma.</w:t>
      </w:r>
    </w:p>
    <w:sectPr>
      <w:pgSz w:w="11906" w:h="16838" w:orient="portrait"/>
      <w:pgMar w:top="1417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2026-09-08T01:51:59.274Z</dcterms:created>
  <dcterms:modified xsi:type="dcterms:W3CDTF">2026-09-08T01:51:59.288Z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