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</w:rPr>
        <w:t xml:space="preserve">VALE DO MARCO ZERO: UM ECOSSISTEMA TERRITORIAL DE INOVAÇÃO EDUCACIONAL E DIGITAL PARA O AMAPÁ COMO PROPOSTA DE GESTÃO PÚBLICA BOTTOM-UP</w:t>
      </w:r>
    </w:p>
    <w:p>
      <w:pPr>
        <w:jc w:val="right"/>
      </w:pPr>
      <w:r>
        <w:t xml:space="preserve">[Nome do(a) estudante 1] — [e-mail]</w:t>
      </w:r>
    </w:p>
    <w:p>
      <w:pPr>
        <w:jc w:val="right"/>
      </w:pPr>
      <w:r>
        <w:t xml:space="preserve">[Nome do(a) estudante 2] — [e-mail]</w:t>
      </w:r>
    </w:p>
    <w:p>
      <w:pPr>
        <w:spacing w:after="120" w:before="240"/>
        <w:jc w:val="center"/>
      </w:pPr>
      <w:r>
        <w:rPr>
          <w:b/>
          <w:bCs/>
        </w:rPr>
        <w:t xml:space="preserve">RESUMO</w:t>
      </w:r>
    </w:p>
    <w:p>
      <w:pPr>
        <w:spacing w:after="120"/>
        <w:jc w:val="both"/>
      </w:pPr>
      <w:r>
        <w:t xml:space="preserve">O artigo propõe o programa Vale do Marco Zero, um ecossistema territorial de inovação educacional e digital a ser implantado no Amapá a partir de 2027, sob o enfoque do desenvolvimento territorial. O problema público é a desconexão entre escola, tecnologia e economia local: o ensino médio amapaense obteve Ideb 4,0 em 2025, abaixo da média nacional (4,5) e da meta (5,2), num território cuja economia depende do setor público. A pesquisa, aplicada e propositiva, combinou análise documental do Ecossistema de Inovação e Soluções Educacionais Digitais do Ministério da Educação (Decreto nº 11.079/2022), dados secundários do Inep e do IBGE, uma matriz comparativa entre Amapá e Roraima e a construção de uma teoria da mudança. O programa articula cinco componentes (vitrine de soluções, escolas-laboratório, formação docente em cascata, trilha de juventude digital e aceleradora de startups) sobre um observatório de dados abertos, por adesão voluntária e sem orçamento público novo, financiado por licenças doadas, obrigações privadas de pesquisa e desenvolvimento e investimento social privado. Discutem-se as falhas de mercado, de governo e de ação coletiva que justificam a intervenção, o desenho de mecanismos de uma plataforma de dois lados, a governança colaborativa orientada a uma ordem de acesso aberto, as vocações territoriais, os indicadores de monitoramento e o papel do controle externo. Conclui-se que a proposta é exequível, replicável e de baixo custo, com riscos de dependência tecnológica e de proteção de dados que exigem salvaguardas explícitas.</w:t>
      </w:r>
    </w:p>
    <w:p>
      <w:pPr>
        <w:spacing w:after="120"/>
        <w:jc w:val="both"/>
      </w:pPr>
      <w:r>
        <w:rPr>
          <w:b/>
          <w:bCs/>
        </w:rPr>
        <w:t xml:space="preserve">Palavras-chave: </w:t>
      </w:r>
      <w:r>
        <w:t xml:space="preserve">desenvolvimento territorial; ecossistema de inovação; educação digital; governança colaborativa; federalismo; controle governamental.</w:t>
      </w:r>
    </w:p>
    <w:p>
      <w:pPr>
        <w:keepNext/>
        <w:spacing w:after="120" w:before="240"/>
      </w:pPr>
      <w:r>
        <w:rPr>
          <w:b/>
          <w:bCs/>
        </w:rPr>
        <w:t xml:space="preserve">1 INTRODUÇÃO</w:t>
      </w:r>
    </w:p>
    <w:p>
      <w:pPr>
        <w:spacing w:after="120"/>
        <w:ind w:firstLine="709"/>
        <w:jc w:val="both"/>
      </w:pPr>
      <w:r>
        <w:t xml:space="preserve">O debate sobre o pacto federativo brasileiro costuma se concentrar na repartição de receitas e competências entre União, estados e municípios. Menos atenção recebe a pergunta sobre como o território, entendido como espaço de relações sociais, institucionais e produtivas, pode ser o ponto de partida da política pública. Este artigo parte dessa inversão e se orienta pela questão proposta na disciplina: como pensar uma gestão pública </w:t>
      </w:r>
      <w:r>
        <w:rPr>
          <w:i/>
          <w:iCs/>
        </w:rPr>
        <w:t xml:space="preserve">bottom-up</w:t>
      </w:r>
      <w:r>
        <w:t xml:space="preserve"> e o que se pode propor aos municípios do país?</w:t>
      </w:r>
    </w:p>
    <w:p>
      <w:pPr>
        <w:spacing w:after="120"/>
        <w:ind w:firstLine="709"/>
        <w:jc w:val="both"/>
      </w:pPr>
      <w:r>
        <w:t xml:space="preserve">O caso escolhido é o Amapá. O estado tem 733.759 habitantes, distribuídos em 16 municípios, dos quais cerca de 60% vivem em Macapá (IBGE, 2023). Cerca de 73% do seu território está em unidades de conservação ou terras indígenas, e o setor terciário, puxado pela administração pública, responde por aproximadamente 88% do produto interno bruto estadual. No ensino médio, o Índice de Desenvolvimento da Educação Básica (Ideb) da rede total subiu de 3,8 em 2023 para 4,0 em 2025, mas permanece abaixo da média nacional de 4,5 e da meta de 5,2 (INEP, 2026)</w:t>
      </w:r>
      <w:r>
        <w:rPr>
          <w:rStyle w:val="EndnoteReference"/>
        </w:rPr>
        <w:endnoteReference w:id="1"/>
      </w:r>
      <w:r>
        <w:t xml:space="preserve">. No plano nacional, o Brasil obteve 379 pontos em matemática no PISA 2022, contra 472 da média da Organização para a Cooperação e Desenvolvimento Econômico (OECD, 2023).</w:t>
      </w:r>
    </w:p>
    <w:p>
      <w:pPr>
        <w:spacing w:after="120"/>
        <w:ind w:firstLine="709"/>
        <w:jc w:val="both"/>
      </w:pPr>
      <w:r>
        <w:t xml:space="preserve">O problema público que se propõe enfrentar é a desconexão entre a escola, a tecnologia e a economia do território: a juventude amapaense aprende pouco e encontra poucas oportunidades produtivas locais, enquanto as ferramentas digitais disponíveis gratuitamente às redes de ensino permanecem subutilizadas. O objetivo é propor e analisar criticamente um programa a ser implantado em 2027, o Vale do Marco Zero, que adapta à escala territorial o Ecossistema de Inovação e Soluções Educacionais Digitais instituído pelo art. 8º do Decreto nº 11.079/2022 (BRASIL, 2022), com participação da iniciativa privada por meio de acordos não onerosos e sem criação de órgão ou de despesa pública nova.</w:t>
      </w:r>
    </w:p>
    <w:p>
      <w:pPr>
        <w:spacing w:after="120"/>
        <w:ind w:firstLine="709"/>
        <w:jc w:val="both"/>
      </w:pPr>
      <w:r>
        <w:t xml:space="preserve">O trabalho vincula-se principalmente à Linha 2 do programa, Tecnologias para Inovação do Controle e da Gestão Pública, por propor um arranjo de inovação digital na gestão educacional e um observatório de dados abertos voltado ao controle. Dialoga também com a Linha 1, Controle Governamental e Políticas Públicas, por estruturar a proposta a partir de uma teoria da mudança avaliável e por discutir o papel dos órgãos de controle. Além desta introdução, o artigo apresenta a fundamentação teórica, os procedimentos metodológicos, a proposta e sua análise crítica e as considerações finais.</w:t>
      </w:r>
    </w:p>
    <w:p>
      <w:pPr>
        <w:keepNext/>
        <w:spacing w:after="120" w:before="240"/>
      </w:pPr>
      <w:r>
        <w:rPr>
          <w:b/>
          <w:bCs/>
        </w:rPr>
        <w:t xml:space="preserve">2 FUNDAMENTAÇÃO TEÓRICA</w:t>
      </w:r>
    </w:p>
    <w:p>
      <w:pPr>
        <w:keepNext/>
        <w:spacing w:after="100" w:before="160"/>
      </w:pPr>
      <w:r>
        <w:rPr>
          <w:b/>
          <w:bCs/>
        </w:rPr>
        <w:t xml:space="preserve">2.1 Território, federalismo e implementação de baixo para cima</w:t>
      </w:r>
    </w:p>
    <w:p>
      <w:pPr>
        <w:spacing w:after="120"/>
        <w:ind w:firstLine="709"/>
        <w:jc w:val="both"/>
      </w:pPr>
      <w:r>
        <w:t xml:space="preserve">A abordagem territorial do desenvolvimento desloca o foco dos setores para os espaços em que atores públicos e privados constroem relações de cooperação. Abramovay (2000) mostra que o capital social de um território, isto é, sua capacidade de organizar redes de confiança e de ação coletiva, explica trajetórias distintas de desenvolvimento entre regiões com dotações semelhantes. Brandão (2007) acrescenta que o território é atravessado por múltiplas escalas, do local ao global, e que políticas eficazes precisam articular essas escalas em vez de opor o local ao nacional.</w:t>
      </w:r>
    </w:p>
    <w:p>
      <w:pPr>
        <w:spacing w:after="120"/>
        <w:ind w:firstLine="709"/>
        <w:jc w:val="both"/>
      </w:pPr>
      <w:r>
        <w:t xml:space="preserve">No federalismo brasileiro, essa articulação depende de mecanismos de coordenação. Abrucio (2005) argumenta que a Constituição de 1988 descentralizou competências sem construir instrumentos suficientes de cooperação intergovernamental, o que gera fragmentação e baixa capacidade nos entes menores. Arretche (2012) observa que a União preserva forte capacidade de induzir agendas por meio de regras e transferências, ainda que a execução seja descentralizada. Na educação, Segatto e Abrucio (2016) mostram que o regime de colaboração entre estados e municípios produz resultados muito diferentes conforme a qualidade dos arranjos de coordenação construídos em cada estado.</w:t>
      </w:r>
    </w:p>
    <w:p>
      <w:pPr>
        <w:spacing w:after="120"/>
        <w:ind w:firstLine="709"/>
        <w:jc w:val="both"/>
      </w:pPr>
      <w:r>
        <w:t xml:space="preserve">A pergunta sobre a gestão </w:t>
      </w:r>
      <w:r>
        <w:rPr>
          <w:i/>
          <w:iCs/>
        </w:rPr>
        <w:t xml:space="preserve">bottom-up</w:t>
      </w:r>
      <w:r>
        <w:t xml:space="preserve"> remete à literatura de implementação. Elmore (1979) propôs o mapeamento reverso (</w:t>
      </w:r>
      <w:r>
        <w:rPr>
          <w:i/>
          <w:iCs/>
        </w:rPr>
        <w:t xml:space="preserve">backward mapping</w:t>
      </w:r>
      <w:r>
        <w:t xml:space="preserve">): em vez de partir da decisão do topo e descer até a ponta, o desenho deve começar pelo comportamento que se deseja mudar no nível mais próximo do problema, como a sala de aula, e subir, perguntando qual capacidade e quais recursos cada nível precisa ter. Essa perspectiva é coerente com a constatação de Lipsky (1980) de que os burocratas de nível de rua, como os professores, reinterpretam as políticas na prática e precisam ser tratados como coautores da implementação.</w:t>
      </w:r>
    </w:p>
    <w:p>
      <w:pPr>
        <w:keepNext/>
        <w:spacing w:after="100" w:before="160"/>
      </w:pPr>
      <w:r>
        <w:rPr>
          <w:b/>
          <w:bCs/>
        </w:rPr>
        <w:t xml:space="preserve">2.2 Ecossistemas de inovação e governança colaborativa</w:t>
      </w:r>
    </w:p>
    <w:p>
      <w:pPr>
        <w:spacing w:after="120"/>
        <w:ind w:firstLine="709"/>
        <w:jc w:val="both"/>
      </w:pPr>
      <w:r>
        <w:t xml:space="preserve">A literatura sobre inovação regional explica por que certos territórios se tornam polos tecnológicos. O modelo da hélice tríplice descreve a interação entre universidade, indústria e governo como motor da inovação (ETZKOWITZ; LEYDESDORFF, 2000), e Carayannis e Campbell (2009) acrescentam uma quarta hélice, a sociedade civil, à qual se pode somar o ambiente natural. Saxenian (1994), ao comparar o Vale do Silício com a Rota 128, demonstra que a vantagem californiana não decorreu de investimentos maiores, mas de uma cultura de redes abertas, circulação de pessoas e compartilhamento de conhecimento entre firmas. A ideia de inovação aberta (CHESBROUGH, 2003) reforça que organizações inovam mais quando combinam conhecimento interno e externo. Mazzucato (2014), por sua vez, lembra que o Estado pode assumir papel ativo na criação de mercados e na coordenação de missões, e não apenas corrigir falhas.</w:t>
      </w:r>
    </w:p>
    <w:p>
      <w:pPr>
        <w:spacing w:after="120"/>
        <w:ind w:firstLine="709"/>
        <w:jc w:val="both"/>
      </w:pPr>
      <w:r>
        <w:t xml:space="preserve">Para que atores com interesses distintos cooperem, é preciso um desenho de governança. Ansell e Gash (2008) definem governança colaborativa como arranjos em que órgãos públicos engajam atores não estatais em processos deliberativos, formais e orientados ao consenso; seu sucesso depende de condições iniciais, liderança facilitadora e desenho institucional transparente. Emerson, Nabatchi e Balogh (2012) destacam a dinâmica de colaboração, que combina engajamento, motivação compartilhada e capacidade de ação conjunta. Kania e Kramer (2011) mostram que iniciativas de impacto coletivo bem-sucedidas compartilham uma agenda comum, métricas comuns e uma organização-âncora (</w:t>
      </w:r>
      <w:r>
        <w:rPr>
          <w:i/>
          <w:iCs/>
        </w:rPr>
        <w:t xml:space="preserve">backbone</w:t>
      </w:r>
      <w:r>
        <w:t xml:space="preserve">) que coordena o conjunto. Ostrom (1990), ao estudar a gestão de recursos comuns, evidencia que comunidades podem se auto-organizar quando há regras claras, monitoramento mútuo e arenas de decisão em vários níveis, o que caracteriza a governança policêntrica.</w:t>
      </w:r>
    </w:p>
    <w:p>
      <w:pPr>
        <w:keepNext/>
        <w:spacing w:after="100" w:before="160"/>
      </w:pPr>
      <w:r>
        <w:rPr>
          <w:b/>
          <w:bCs/>
        </w:rPr>
        <w:t xml:space="preserve">2.3 Racional econômico da intervenção</w:t>
      </w:r>
    </w:p>
    <w:p>
      <w:pPr>
        <w:spacing w:after="120"/>
        <w:ind w:firstLine="709"/>
        <w:jc w:val="both"/>
      </w:pPr>
      <w:r>
        <w:t xml:space="preserve">A intervenção pública se justifica quando há falhas de mercado, de governo ou de ação coletiva. Olson (1965) demonstra que bens cujos benefícios são difusos tendem a ser subofertados, pois cada participante espera que os demais arquem com os custos; a superação exige incentivos seletivos ou organização. Hausmann e Rodrik (2003) caracterizam o desenvolvimento como um processo de autodescoberta: descobrir o que um território produz bem gera conhecimento que os concorrentes copiam, de modo que o pioneiro não se apropria do retorno e o investimento fica abaixo do socialmente desejável.</w:t>
      </w:r>
    </w:p>
    <w:p>
      <w:pPr>
        <w:spacing w:after="120"/>
        <w:ind w:firstLine="709"/>
        <w:jc w:val="both"/>
      </w:pPr>
      <w:r>
        <w:t xml:space="preserve">O conceito de mercados de dois lados (ROCHET; TIROLE, 2003) é útil para desenhar plataformas que aproximam dois grupos distintos, como redes de ensino e fornecedores de tecnologia, cujos benefícios dependem da participação do outro lado. Por fim, North, Wallis e Weingast (2009) distinguem as ordens de acesso limitado, nas quais elites restringem a entrada para extrair rendas, das ordens de acesso aberto, em que regras impessoais permitem que qualquer cidadão crie organizações e compita. Esse referencial orienta a pergunta da disciplina sobre como gerar ordens de acesso aberto no território.</w:t>
      </w:r>
    </w:p>
    <w:p>
      <w:pPr>
        <w:keepNext/>
        <w:spacing w:after="120" w:before="240"/>
      </w:pPr>
      <w:r>
        <w:rPr>
          <w:b/>
          <w:bCs/>
        </w:rPr>
        <w:t xml:space="preserve">3 PROCEDIMENTOS METODOLÓGICOS</w:t>
      </w:r>
    </w:p>
    <w:p>
      <w:pPr>
        <w:spacing w:after="120"/>
        <w:ind w:firstLine="709"/>
        <w:jc w:val="both"/>
      </w:pPr>
      <w:r>
        <w:t xml:space="preserve">Trata-se de pesquisa aplicada, de natureza qualitativa e propositiva, que resulta em um produto técnico-tecnológico na forma de desenho de programa público. A construção seguiu quatro etapas. Na primeira, realizou-se análise documental do Decreto nº 11.079/2022, que institui a Política Nacional para Recuperação das Aprendizagens na Educação Básica (PNRA), da apresentação técnica do Ecossistema de Inovação e Soluções Digitais para a Educação elaborada pela Subsecretaria de Tecnologia da Informação e Comunicação do Ministério da Educação (MEC/STIC), da Lei nº 14.533/2023, que institui a Política Nacional de Educação Digital (PNED) (BRASIL, 2023), e da legislação sobre inovação, startups, organizações da sociedade civil e incentivos regionais.</w:t>
      </w:r>
    </w:p>
    <w:p>
      <w:pPr>
        <w:spacing w:after="120"/>
        <w:ind w:firstLine="709"/>
        <w:jc w:val="both"/>
      </w:pPr>
      <w:r>
        <w:t xml:space="preserve">Na segunda etapa, foram reunidos dados secundários do Instituto Nacional de Estudos e Pesquisas Educacionais Anísio Teixeira (Inep), do Instituto Brasileiro de Geografia e Estatística (IBGE), da Organização para a Cooperação e Desenvolvimento Econômico (OCDE), da Rede Nacional de Ensino e Pesquisa (RNP) e da Agência Nacional de Energia Elétrica (Aneel), complementados por notícias oficiais e da imprensa especializada para fatos recentes, como o licenciamento de perfuração na Margem Equatorial e a interligação de Roraima ao sistema elétrico nacional</w:t>
      </w:r>
      <w:r>
        <w:rPr>
          <w:rStyle w:val="EndnoteReference"/>
        </w:rPr>
        <w:endnoteReference w:id="2"/>
      </w:r>
      <w:r>
        <w:t xml:space="preserve">. Na terceira, elaborou-se uma matriz comparativa entre Amapá e Roraima, territórios inicialmente considerados, com base em sete critérios: escala, infraestrutura, janela econômica, fronteira, incentivos existentes, necessidade educacional e âncoras científicas.</w:t>
      </w:r>
    </w:p>
    <w:p>
      <w:pPr>
        <w:spacing w:after="120"/>
        <w:ind w:firstLine="709"/>
        <w:jc w:val="both"/>
      </w:pPr>
      <w:r>
        <w:t xml:space="preserve">Na quarta etapa, a proposta foi estruturada com base na teoria da mudança, entendida como a explicitação da cadeia causal que liga atividades a resultados e permite testá-la (WEISS, 1995), e no modelo lógico recomendado pelo guia de análise </w:t>
      </w:r>
      <w:r>
        <w:rPr>
          <w:i/>
          <w:iCs/>
        </w:rPr>
        <w:t xml:space="preserve">ex ante</w:t>
      </w:r>
      <w:r>
        <w:t xml:space="preserve"> do governo federal (BRASIL, 2018), resultando no mapa de processo e resultados. A análise econômica e de governança aplicou os referenciais da seção 2. Como limitação, a proposta não foi submetida a entrevistas com gestores locais nem a consulta pública, etapas indicadas para a fase de validação.</w:t>
      </w:r>
    </w:p>
    <w:p>
      <w:pPr>
        <w:keepNext/>
        <w:spacing w:after="120" w:before="240"/>
      </w:pPr>
      <w:r>
        <w:rPr>
          <w:b/>
          <w:bCs/>
        </w:rPr>
        <w:t xml:space="preserve">4 ANÁLISE E DISCUSSÃO DOS RESULTADOS</w:t>
      </w:r>
    </w:p>
    <w:p>
      <w:pPr>
        <w:keepNext/>
        <w:spacing w:after="100" w:before="160"/>
      </w:pPr>
      <w:r>
        <w:rPr>
          <w:b/>
          <w:bCs/>
        </w:rPr>
        <w:t xml:space="preserve">4.1 Escolha do território</w:t>
      </w:r>
    </w:p>
    <w:p>
      <w:pPr>
        <w:spacing w:after="120"/>
        <w:ind w:firstLine="709"/>
        <w:jc w:val="both"/>
      </w:pPr>
      <w:r>
        <w:t xml:space="preserve">A hipótese inicial era de que as características de um estado do Norte poderiam inviabilizar um programa intensivo em tecnologia. A matriz comparativa (Quadro 1) indica o contrário para o Amapá. A principal barreira histórica, a conectividade, foi atenuada pela Infovia 00, cabo de fibra óptica subfluvial de cerca de 770 km entre Macapá e Santarém, em operação desde 2022 no âmbito do Programa Norte Conectado (RNP, 2022)</w:t>
      </w:r>
      <w:r>
        <w:rPr>
          <w:rStyle w:val="EndnoteReference"/>
        </w:rPr>
        <w:endnoteReference w:id="3"/>
      </w:r>
      <w:r>
        <w:t xml:space="preserve">. A escala é administrável, a população é concentrada na região metropolitana de Macapá e Santana e há uma janela econômica aberta pela exploração da Margem Equatorial e pela bioeconomia. A fronteira com a Guiana Francesa, território da União Europeia, acrescenta um mercado potencial para serviços digitais bilíngues.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Quadro 1 – Matriz comparativa para a escolha do território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0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Critério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Amapá (piloto em 2027)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Roraima (2ª onda, 2029)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Escala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16 municípios; 60% da população em Macapá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15 municípios; cerca de 65% em Boa Vista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Infovia 00 em operação desde 2022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Interligação ao sistema elétrico nacional em 2026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Janela econômica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Margem Equatorial (licença de perfuração em 2025) e bioeconomia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Fronteira com a Guiana e agronegócio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Fronteira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Guiana Francesa (União Europeia), ponte de Oiapoque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Venezuela e Guiana; fluxo migratório intenso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Incentivos existentes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Área de Livre Comércio de Macapá e Santana; Zona Franca Verde; PD&amp;I da Lei nº 8.387/1991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Áreas de Livre Comércio de Boa Vista e Bonfim; PD&amp;I da Lei nº 8.387/1991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Âncoras científicas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UNIFAP, IFAP, UEAP, Embrapa e IEPA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UFRR, IFRR, UERR e Embrapa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Ideb do ensino médio (2025)</w:t>
            </w:r>
          </w:p>
        </w:tc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4,0</w:t>
            </w:r>
          </w:p>
        </w:tc>
        <w:tc>
          <w:tcPr>
            <w:tcW w:type="dxa" w:w="3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3,8</w:t>
            </w:r>
          </w:p>
        </w:tc>
      </w:tr>
    </w:tbl>
    <w:p>
      <w:pPr>
        <w:spacing w:after="160" w:before="40"/>
        <w:jc w:val="left"/>
      </w:pPr>
      <w:r>
        <w:rPr>
          <w:sz w:val="20"/>
          <w:szCs w:val="20"/>
        </w:rPr>
        <w:t xml:space="preserve">Fonte: elaboração própria com dados de IBGE (2023), RNP (2022) e INEP (2026). Média nacional do Ideb do ensino médio em 2025: 4,5; meta: 5,2.</w:t>
      </w:r>
    </w:p>
    <w:p>
      <w:pPr>
        <w:spacing w:after="120"/>
        <w:ind w:firstLine="709"/>
        <w:jc w:val="both"/>
      </w:pPr>
      <w:r>
        <w:t xml:space="preserve">Roraima apresenta necessidade educacional semelhante, mas só passou a operar interligado ao sistema elétrico nacional em 2026. Por isso, recomenda-se o Amapá como piloto em 2027 e Roraima como segunda onda em 2029, o que permite testar a replicabilidade em outro contexto. A conclusão responde à preocupação inicial: o programa não é avançado demais para o território porque, como se verá, foi desenhado em camadas de maturidade e começa pelo que já está disponível.</w:t>
      </w:r>
    </w:p>
    <w:p>
      <w:pPr>
        <w:keepNext/>
        <w:spacing w:after="100" w:before="160"/>
      </w:pPr>
      <w:r>
        <w:rPr>
          <w:b/>
          <w:bCs/>
        </w:rPr>
        <w:t xml:space="preserve">4.2 O problema público: multissetorialidade e transversalidade</w:t>
      </w:r>
    </w:p>
    <w:p>
      <w:pPr>
        <w:spacing w:after="120"/>
        <w:ind w:firstLine="709"/>
        <w:jc w:val="both"/>
      </w:pPr>
      <w:r>
        <w:t xml:space="preserve">A árvore do problema identificou cinco causas: (i) lacunas de aprendizagem, sobretudo em matemática; (ii) baixa formação docente para o uso pedagógico da tecnologia; (iii) assimetria de informação, pois as redes não sabem quais soluções funcionam e os fornecedores não conhecem a demanda; (iv) falha de coordenação entre Estado, municípios, universidades e empresas; e (v) um ambiente de negócios rarefeito, com pouco capital, mentoria e mercado. As consequências extrapolam a escola: abandono escolar, jovens sem estudo nem trabalho, fuga de talentos, dependência do emprego público, pressão de economias ilegais sobre a floresta e um Estado que decide com poucos dados.</w:t>
      </w:r>
    </w:p>
    <w:p>
      <w:pPr>
        <w:spacing w:after="120"/>
        <w:ind w:firstLine="709"/>
        <w:jc w:val="both"/>
      </w:pPr>
      <w:r>
        <w:t xml:space="preserve">O problema é multissetorial porque sua solução exige a coordenação de educação, ciência e tecnologia, desenvolvimento econômico e trabalho, comunicações, meio ambiente e assistência social, esta última na busca ativa de estudantes. É também transversal, pois algumas perspectivas devem permear todas as ações: juventude, equidade de gênero (com metas para meninas nas trilhas de tecnologia), povos indígenas, quilombolas e ribeirinhos (com conteúdos culturalmente referenciados, como para os povos do Oiapoque), sustentabilidade climática, acessibilidade e proteção de dados pessoais.</w:t>
      </w:r>
    </w:p>
    <w:p>
      <w:pPr>
        <w:keepNext/>
        <w:spacing w:after="100" w:before="160"/>
      </w:pPr>
      <w:r>
        <w:rPr>
          <w:b/>
          <w:bCs/>
        </w:rPr>
        <w:t xml:space="preserve">4.3 A proposta: componentes e teoria da mudança</w:t>
      </w:r>
    </w:p>
    <w:p>
      <w:pPr>
        <w:spacing w:after="120"/>
        <w:ind w:firstLine="709"/>
        <w:jc w:val="both"/>
      </w:pPr>
      <w:r>
        <w:t xml:space="preserve">O Vale do Marco Zero é um ecossistema com cinco componentes. A </w:t>
      </w:r>
      <w:r>
        <w:rPr>
          <w:i/>
          <w:iCs/>
        </w:rPr>
        <w:t xml:space="preserve">Vitrine Marco Zero</w:t>
      </w:r>
      <w:r>
        <w:t xml:space="preserve"> é o ponto de entrada territorial do Ecossistema do MEC: um catálogo de soluções gratuitas ou doadas, classificadas, como na proposta do MEC/STIC, por área, tipo de tecnologia, modo de contratação e público. As </w:t>
      </w:r>
      <w:r>
        <w:rPr>
          <w:i/>
          <w:iCs/>
        </w:rPr>
        <w:t xml:space="preserve">Escolas-Laboratório</w:t>
      </w:r>
      <w:r>
        <w:t xml:space="preserve"> são 20 escolas de ensino médio que testam soluções em provas de conceito com protocolo de evidência, materializando o ambiente controlado de experimentação previsto pelo Ministério. </w:t>
      </w:r>
      <w:r>
        <w:rPr>
          <w:i/>
          <w:iCs/>
        </w:rPr>
        <w:t xml:space="preserve">Professores Conectados</w:t>
      </w:r>
      <w:r>
        <w:t xml:space="preserve"> é a formação em cascata de 300 multiplicadores certificados pelas plataformas parceiras, que formam seus pares em comunidades de prática. </w:t>
      </w:r>
      <w:r>
        <w:rPr>
          <w:i/>
          <w:iCs/>
        </w:rPr>
        <w:t xml:space="preserve">Jovem Dev Equatorial</w:t>
      </w:r>
      <w:r>
        <w:t xml:space="preserve"> é uma trilha de matemática, pensamento computacional e inteligência artificial no ensino médio, com projetos que usam dados reais do território, complementada por </w:t>
      </w:r>
      <w:r>
        <w:rPr>
          <w:i/>
          <w:iCs/>
        </w:rPr>
        <w:t xml:space="preserve">bootcamps</w:t>
      </w:r>
      <w:r>
        <w:t xml:space="preserve"> de certificação para egressos. A </w:t>
      </w:r>
      <w:r>
        <w:rPr>
          <w:i/>
          <w:iCs/>
        </w:rPr>
        <w:t xml:space="preserve">Aceleradora Marco Zero</w:t>
      </w:r>
      <w:r>
        <w:t xml:space="preserve"> promove desafios de inovação aberta a partir de problemas reais das redes e pré-acelera startups de educação, bioeconomia e governo. Todos se apoiam num observatório de dados abertos.</w:t>
      </w:r>
    </w:p>
    <w:p>
      <w:pPr>
        <w:spacing w:after="120"/>
        <w:ind w:firstLine="709"/>
        <w:jc w:val="both"/>
      </w:pPr>
      <w:r>
        <w:t xml:space="preserve">Os recursos partem do que já existe. Desde 2022, acordos de cooperação técnica não onerosos entre o MEC e a Microsoft e entre o MEC e o Google permitem às redes aderir, por termo simplificado, ao Office 365 A1 e ao Google Workspace for Education, além de programas de cidadania digital e capacitação; o Google Acadêmico, também gratuito, apoia o letramento científico de professores e estudantes. A Microsoft anunciou, em 2024, a meta de capacitar cinco milhões de brasileiros em inteligência artificial, e as três maiores provedoras de nuvem mantêm programas de créditos para startups. As camadas de maturidade propostas pelo MEC/STIC (conectividade, equipamentos, gestão escolar, ferramentas de aula, gestão de informações e ferramentas complementares) orientam a progressão: conectividade e ferramentas de aula já estão disponíveis, enquanto inteligência artificial e soluções de startups locais só chegam às escolas depois de validadas.</w:t>
      </w:r>
    </w:p>
    <w:p>
      <w:pPr>
        <w:spacing w:after="120"/>
        <w:ind w:firstLine="709"/>
        <w:jc w:val="both"/>
      </w:pPr>
      <w:r>
        <w:t xml:space="preserve">O objetivo da política é elevar, até 2030, a aprendizagem e a empregabilidade dos jovens amapaenses, conectando a escola à tecnologia e à economia do território. A intervenção é necessária porque nenhum ator isolado tem incentivo para coordenar os demais, e é útil porque mobiliza recursos já existentes que hoje estão ociosos. A lógica da intervenção pode ser resumida assim: se a escola usar bem a tecnologia já disponível e se conectar aos problemas reais do território, os jovens aprenderão mais e o território passará a produzir inovação. A Figura 1 detalha o mapa de processo e resultados no formato adotado na disciplina. O valor público gerado tem quatro dimensões: aprendizagem, empregabilidade, densidade econômica e capacidade estatal de decidir com evidências.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Figura 1 – Mapa de processo e resultados do programa Vale do Marco Zero</w:t>
      </w:r>
    </w:p>
    <w:p>
      <w:pPr>
        <w:keepNext/>
        <w:jc w:val="center"/>
      </w:pPr>
      <w:r>
        <w:drawing>
          <wp:inline distT="0" distB="0" distL="0" distR="0">
            <wp:extent cx="5753100" cy="4619625"/>
            <wp:effectExtent t="0" r="0" b="0" l="0"/>
            <wp:docPr id="1" name="fig1" descr="Figura 1 – Mapa de processo e resultados do programa Vale do Marco Zero" title="Mapa de process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40"/>
        <w:jc w:val="left"/>
      </w:pPr>
      <w:r>
        <w:rPr>
          <w:sz w:val="20"/>
          <w:szCs w:val="20"/>
        </w:rPr>
        <w:t xml:space="preserve">Fonte: elaboração própria, segundo o modelo de mapa de processo adotado na disciplina.</w:t>
      </w:r>
    </w:p>
    <w:p>
      <w:pPr>
        <w:keepNext/>
        <w:spacing w:after="100" w:before="160"/>
      </w:pPr>
      <w:r>
        <w:rPr>
          <w:b/>
          <w:bCs/>
        </w:rPr>
        <w:t xml:space="preserve">4.4 Racional econômico e desenho de mecanismos</w:t>
      </w:r>
    </w:p>
    <w:p>
      <w:pPr>
        <w:spacing w:after="120"/>
        <w:ind w:firstLine="709"/>
        <w:jc w:val="both"/>
      </w:pPr>
      <w:r>
        <w:t xml:space="preserve">Três falhas de mercado justificam a intervenção. A primeira é a assimetria de informação: sem evidência sobre a efetividade das soluções, as redes compram mal ou não compram, e bons fornecedores não conseguem se distinguir. A segunda são as externalidades do capital humano e do conhecimento: a formação genérica beneficia todo o território, mas nenhuma empresa a financia sozinha. A terceira é a falha de coordenação associada à autodescoberta (HAUSMANN; RODRIK, 2003): ninguém tem incentivo para arcar sozinho com o custo de testar o que funciona no território. Há ainda falhas de governo, como fragmentação, descontinuidade, compras públicas pouco aptas à contratação de inovação, risco de captura por fornecedores e baixa capacidade técnica municipal. O conjunto configura um problema de ação coletiva no sentido de Olson (1965): os benefícios são difusos e os custos, concentrados.</w:t>
      </w:r>
    </w:p>
    <w:p>
      <w:pPr>
        <w:spacing w:after="120"/>
        <w:ind w:firstLine="709"/>
        <w:jc w:val="both"/>
      </w:pPr>
      <w:r>
        <w:t xml:space="preserve">O desenho de mecanismos responde a esses problemas com uma plataforma de dois lados (ROCHET; TIROLE, 2003). De um lado está a demanda (redes, escolas, professores e municípios); do outro, a oferta (grandes empresas, startups, universidades e institutos). As regras são simples: entrada aberta por credenciamento permanente, sem exclusividade; gratuidade na fase de teste, com selo de evidência e visibilidade nacional para quem comprovar resultados; contrapartidas não monetárias, como acesso a dados anonimizados para pesquisa, nos termos da Lei Geral de Proteção de Dados Pessoais (LGPD), vitrine para relatórios de sustentabilidade e acesso a talentos; e cláusulas contra a dependência de fornecedor, com interoperabilidade, portabilidade de dados e padrões abertos. O selo reduz a assimetria de informação e transforma a evidência em ativo reputacional.</w:t>
      </w:r>
    </w:p>
    <w:p>
      <w:pPr>
        <w:spacing w:after="120"/>
        <w:ind w:firstLine="709"/>
        <w:jc w:val="both"/>
      </w:pPr>
      <w:r>
        <w:t xml:space="preserve">O financiamento dispensa orçamento público novo. A pilha de fontes inclui licenças e créditos de nuvem doados; a obrigação de investimento em pesquisa, desenvolvimento e inovação (PD&amp;I) da Lei nº 8.387/1991, que permite às empresas de informática incentivadas na Zona Franca de Manaus aplicar recursos em instituições credenciadas na Amazônia Ocidental e no Amapá</w:t>
      </w:r>
      <w:r>
        <w:rPr>
          <w:rStyle w:val="EndnoteReference"/>
        </w:rPr>
        <w:endnoteReference w:id="4"/>
      </w:r>
      <w:r>
        <w:t xml:space="preserve">; o Programa de Eficiência Energética regulado pela Aneel, cuja chamada pública de 2026 da distribuidora que atua no Amapá prevê modalidade para o poder público; o investimento social privado de empresas de energia, petróleo e bioeconomia; prêmios de desafios; e, no médio prazo, um fundo patrimonial nos termos da Lei nº 13.800/2019. Cabe uma ressalva: a obrigação de PD&amp;I é contrapartida de um incentivo fiscal, ou seja, de um gasto tributário, e o Programa de Eficiência Energética é custeado pela tarifa de energia. A proposta não cria renúncia nem encargo novo; apenas direciona ao território obrigações que já existem. O orçamento indicativo de cerca de R$ 2,5 milhões anuais cobre uma secretaria executiva enxuta, os desafios, os </w:t>
      </w:r>
      <w:r>
        <w:rPr>
          <w:i/>
          <w:iCs/>
        </w:rPr>
        <w:t xml:space="preserve">bootcamps</w:t>
      </w:r>
      <w:r>
        <w:t xml:space="preserve"> e a avaliação; considerados cerca de cinco mil beneficiários diretos (estudantes das escolas-laboratório, professores e jovens certificados), equivale a aproximadamente R$ 500 por beneficiário ao ano.</w:t>
      </w:r>
    </w:p>
    <w:p>
      <w:pPr>
        <w:spacing w:after="120"/>
        <w:ind w:firstLine="709"/>
        <w:jc w:val="both"/>
      </w:pPr>
      <w:r>
        <w:t xml:space="preserve">Quanto às questões federativas, a proposta respeita as competências da Lei de Diretrizes e Bases da Educação Nacional: o ensino médio cabe ao Estado, o ensino fundamental aos municípios e à União, a coordenação e a função supletiva. Não se cria instrumento novo. A União oferece o ecossistema nacional e os acordos com as empresas (PNRA e PNED); o Estado adere por termo simplificado e protocolo de intenções; os municípios podem se associar em Arranjos de Desenvolvimento da Educação, previstos na Resolução CNE/CEB nº 1/2012, ou em consórcios públicos; as universidades atuam com base na Lei de Inovação; e as organizações da sociedade civil e as startups, por acordos de cooperação sem transferência de recursos e pelo Marco Legal das Startups (Lei Complementar nº 182/2021). Incentivos já existentes que premiam a melhoria da aprendizagem, como o ICMS Educacional e a complementação VAAR do Fundeb, ambos introduzidos pela Emenda Constitucional nº 108/2020, alinham os interesses municipais aos objetivos do programa.</w:t>
      </w:r>
    </w:p>
    <w:p>
      <w:pPr>
        <w:keepNext/>
        <w:spacing w:after="100" w:before="160"/>
      </w:pPr>
      <w:r>
        <w:rPr>
          <w:b/>
          <w:bCs/>
        </w:rPr>
        <w:t xml:space="preserve">4.5 Governança colaborativa e ordem de acesso aberto</w:t>
      </w:r>
    </w:p>
    <w:p>
      <w:pPr>
        <w:spacing w:after="120"/>
        <w:ind w:firstLine="709"/>
        <w:jc w:val="both"/>
      </w:pPr>
      <w:r>
        <w:t xml:space="preserve">A arquitetura institucional é leve e policêntrica. Um Conselho do Pacto Marco Zero, com representantes do Estado, dos municípios, das universidades e institutos, das empresas, de estudantes e de professores, reúne-se semestralmente para definir prioridades. A secretaria executiva é exercida por uma organização-âncora que já existe, como o núcleo de inovação tecnológico ou a fundação de apoio da Universidade Federal do Amapá (UNIFAP), o que corresponde ao </w:t>
      </w:r>
      <w:r>
        <w:rPr>
          <w:i/>
          <w:iCs/>
        </w:rPr>
        <w:t xml:space="preserve">backbone</w:t>
      </w:r>
      <w:r>
        <w:t xml:space="preserve"> de Kania e Kramer (2011) e evita criar estrutura estatal. Um comitê de validação pedagógica, com professores, pesquisadores e entidades especializadas, emite os selos de evidência, como prevê a instância de validação do modelo do MEC/STIC. A rede de escolas-laboratório e três hubs territoriais (Macapá, Oiapoque e Laranjal do Jari), instalados em espaços cedidos, completam a estrutura. O MEC, o Tribunal de Contas do Estado do Amapá (TCE-AP) e convidados da Guiana Francesa participam como observadores.</w:t>
      </w:r>
    </w:p>
    <w:p>
      <w:pPr>
        <w:spacing w:after="120"/>
        <w:ind w:firstLine="709"/>
        <w:jc w:val="both"/>
      </w:pPr>
      <w:r>
        <w:t xml:space="preserve">Para gerar uma ordem de acesso aberto (NORTH; WALLIS; WEINGAST, 2009), as regras são impessoais: qualquer organização pode entrar mediante credenciamento permanente; critérios, avaliações e resultados são publicados; é vedada a exclusividade ou a reserva de mercado; adotam-se padrões abertos e recursos educacionais abertos; e os assentos no conselho são rotativos, com mandatos curtos. Essas regras são a principal proteção contra a captura e materializam as condições de sucesso da governança colaborativa apontadas por Ansell e Gash (2008): transparência do desenho, inclusão ampla e liderança facilitadora.</w:t>
      </w:r>
    </w:p>
    <w:p>
      <w:pPr>
        <w:keepNext/>
        <w:spacing w:after="100" w:before="160"/>
      </w:pPr>
      <w:r>
        <w:rPr>
          <w:b/>
          <w:bCs/>
        </w:rPr>
        <w:t xml:space="preserve">4.6 Vocações territoriais e prospecção econômica</w:t>
      </w:r>
    </w:p>
    <w:p>
      <w:pPr>
        <w:spacing w:after="120"/>
        <w:ind w:firstLine="709"/>
        <w:jc w:val="both"/>
      </w:pPr>
      <w:r>
        <w:t xml:space="preserve">O programa coloca a inovação a serviço do que o território já sabe fazer. Foram identificadas cinco vocações: bioeconomia e sociobiodiversidade (açaí, castanha, óleos e pesca), que demandam rastreabilidade e agregação de valor; energia, com as hidrelétricas e a nova fronteira petrolífera, que demanda mão de obra técnica; a fronteira com a União Europeia e o Porto de Santana, que favorecem serviços bilíngues e logística; a economia criativa e o turismo, ancorados no Marco Zero do Equador, na Fortaleza de São José de Macapá e no Marabaixo; e os serviços digitais remotos, que não dependem de logística física. Para que os municípios aproveitem essas vocações, propõe-se um mapa participativo por município, construído a partir dos estudos de potencialidades econômicas já elaborados pelo Sebrae, e desafios municipais anuais ligados a cada vocação. As políticas multinível passam a considerar essas vocações ao priorizar as linhas de PD&amp;I e os desafios; as transferências que premiam resultados, por sua vez, orientam o esforço municipal. A aproximação com o Estado e os municípios se dá por três vias: a equipe de transição do governo estadual eleito em 2026, a associação de municípios e um kit municipal com termo de adesão simplificado. A sustentabilidade combina o fundo patrimonial, a energia solar nas escolas e a receita das startups.</w:t>
      </w:r>
    </w:p>
    <w:p>
      <w:pPr>
        <w:spacing w:after="120"/>
        <w:ind w:firstLine="709"/>
        <w:jc w:val="both"/>
      </w:pPr>
      <w:r>
        <w:t xml:space="preserve">A visão de futuro é a de um polo de inovação na linha do Equador, à semelhança do que Saxenian (1994) descreve para o Vale do Silício: um ambiente de redes abertas, e não um distrito construído pelo Estado. O roteiro prevê uma fase de semente em 2027, com 20 escolas-laboratório, mil jovens certificados e 15 startups pré-aceleradas; uma fase de crescimento entre 2028 e 2030, com os 16 municípios, dois mil jovens por ano, uma rede de investidores-anjo e a entrada de Roraima; e a consolidação do Vale do Marco Zero entre 2031 e 2035. Em cenário ilustrativo, cada turma de dois mil jovens certificados, com inserção de 25% em ocupações digitais e renda média de R$ 3.000 mensais, geraria cerca de R$ 18 milhões anuais de nova massa salarial, renda que circula no comércio local</w:t>
      </w:r>
      <w:r>
        <w:rPr>
          <w:rStyle w:val="EndnoteReference"/>
        </w:rPr>
        <w:endnoteReference w:id="5"/>
      </w:r>
      <w:r>
        <w:t xml:space="preserve">. Somam-se a isso as startups que vendem para governos e empresas da região, a exportação de serviços digitais e a atração de empresas para a Área de Livre Comércio de Macapá e Santana.</w:t>
      </w:r>
    </w:p>
    <w:p>
      <w:pPr>
        <w:keepNext/>
        <w:spacing w:after="100" w:before="160"/>
      </w:pPr>
      <w:r>
        <w:rPr>
          <w:b/>
          <w:bCs/>
        </w:rPr>
        <w:t xml:space="preserve">4.7 Monitoramento, avaliação e o papel do controle</w:t>
      </w:r>
    </w:p>
    <w:p>
      <w:pPr>
        <w:spacing w:after="120"/>
        <w:ind w:firstLine="709"/>
        <w:jc w:val="both"/>
      </w:pPr>
      <w:r>
        <w:t xml:space="preserve">O monitoramento usa poucos indicadores, todos extraídos de fontes já existentes (Quadro 2). A avaliação de impacto adota implementação escalonada: as escolas elegíveis entram no programa em ondas definidas por sorteio, e as que ainda não entraram funcionam como grupo de comparação, o que permite estimar efeitos por diferenças-em-diferenças sem negar a política a ninguém. Uma avaliação de processo semestral, conduzida por universidade parceira, alimenta o painel público.</w:t>
      </w:r>
    </w:p>
    <w:p>
      <w:pPr>
        <w:keepNext/>
        <w:spacing w:after="60" w:before="120"/>
        <w:jc w:val="center"/>
      </w:pPr>
      <w:r>
        <w:rPr>
          <w:b/>
          <w:bCs/>
          <w:sz w:val="20"/>
          <w:szCs w:val="20"/>
        </w:rPr>
        <w:t xml:space="preserve">Quadro 2 – Indicadores de monitoramento e metas indicativas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300"/>
        <w:gridCol w:w="1400"/>
        <w:gridCol w:w="1400"/>
        <w:gridCol w:w="1400"/>
      </w:tblGrid>
      <w:tr>
        <w:trPr>
          <w:cantSplit/>
          <w:tblHeader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Linha de base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Meta 2027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Meta 2030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D9D9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Fonte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Ideb do ensino médio do Amapá (rede total)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4,0 (2025)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4,2 (Ideb 2027)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4,6 (Ideb 2029)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Inep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Abandono no ensino médio (escolas-laboratório)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−20%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−40%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Censo Escolar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Docentes com uso pedagógico semanal das plataformas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50%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80%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Plataformas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Professores certificados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3.000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Parceiros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Jovens certificados (acumulado)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7.000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Parceiros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Certificados em ocupação digital após seis meses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RAIS/Caged</w:t>
            </w:r>
          </w:p>
        </w:tc>
      </w:tr>
      <w:tr>
        <w:trPr>
          <w:cantSplit/>
          <w:tblHeader w:val="false"/>
        </w:trPr>
        <w:tc>
          <w:tcPr>
            <w:tcW w:type="dxa" w:w="3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Startups pré-aceleradas / com receita</w:t>
            </w:r>
          </w:p>
        </w:tc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15 / 3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80 / 30</w:t>
            </w:r>
          </w:p>
        </w:tc>
        <w:tc>
          <w:tcPr>
            <w:tcW w:type="dxa" w:w="1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keepNext w:val="false"/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Aceleradora</w:t>
            </w:r>
          </w:p>
        </w:tc>
      </w:tr>
    </w:tbl>
    <w:p>
      <w:pPr>
        <w:spacing w:after="160" w:before="40"/>
        <w:jc w:val="left"/>
      </w:pPr>
      <w:r>
        <w:rPr>
          <w:sz w:val="20"/>
          <w:szCs w:val="20"/>
        </w:rPr>
        <w:t xml:space="preserve">Fonte: elaboração própria. Metas a pactuar com a rede estadual e os municípios em 2027.</w:t>
      </w:r>
    </w:p>
    <w:p>
      <w:pPr>
        <w:spacing w:after="120"/>
        <w:ind w:firstLine="709"/>
        <w:jc w:val="both"/>
      </w:pPr>
      <w:r>
        <w:t xml:space="preserve">O controle externo pode contribuir de quatro formas. Primeiro, com atuação preventiva e orientadora desde o desenho, em linha com o referencial do Tribunal de Contas da União para o controle de políticas públicas, que valoriza a avaliação de institucionalização, planejamento, coordenação e monitoramento (TCU, 2020). Segundo, com auditorias operacionais focadas em resultados, e não apenas em conformidade. Terceiro, com o uso dos dados abertos do observatório, que viabilizam o controle social. Quarto, com a segurança jurídica para inovar: os arts. 22 e 28 da Lei de Introdução às Normas do Direito Brasileiro (LINDB) exigem que se considerem as dificuldades reais do gestor e limitam a responsabilização pessoal aos casos de dolo ou erro grosseiro</w:t>
      </w:r>
      <w:r>
        <w:rPr>
          <w:rStyle w:val="EndnoteReference"/>
        </w:rPr>
        <w:endnoteReference w:id="6"/>
      </w:r>
      <w:r>
        <w:t xml:space="preserve">, o que reduz o temor de experimentar.</w:t>
      </w:r>
    </w:p>
    <w:p>
      <w:pPr>
        <w:keepNext/>
        <w:spacing w:after="100" w:before="160"/>
      </w:pPr>
      <w:r>
        <w:rPr>
          <w:b/>
          <w:bCs/>
        </w:rPr>
        <w:t xml:space="preserve">4.8 Análise crítica e riscos</w:t>
      </w:r>
    </w:p>
    <w:p>
      <w:pPr>
        <w:spacing w:after="120"/>
        <w:ind w:firstLine="709"/>
        <w:jc w:val="both"/>
      </w:pPr>
      <w:r>
        <w:t xml:space="preserve">A proposta tem fragilidades que precisam ser reconhecidas. O risco mais relevante é a dependência de grandes empresas de tecnologia, que podem usar a gratuidade inicial para criar aprisionamento tecnológico e acessar dados de estudantes. As salvaguardas são a pluralidade de fornecedores, padrões abertos, portabilidade, recursos educacionais abertos, relatório de impacto à proteção de dados e vedação contratual de uso comercial de dados de crianças e adolescentes. O segundo risco é a conectividade de última milha: o Amapá ficou fora da quarta fase do projeto de conectividade de escolas custeado pelo leilão do 5G</w:t>
      </w:r>
      <w:r>
        <w:rPr>
          <w:rStyle w:val="EndnoteReference"/>
        </w:rPr>
        <w:endnoteReference w:id="7"/>
      </w:r>
      <w:r>
        <w:t xml:space="preserve">, o que exige articulação para incluí-lo nas etapas seguintes e soluções que funcionem sem conexão permanente.</w:t>
      </w:r>
    </w:p>
    <w:p>
      <w:pPr>
        <w:spacing w:after="120"/>
        <w:ind w:firstLine="709"/>
        <w:jc w:val="both"/>
      </w:pPr>
      <w:r>
        <w:t xml:space="preserve">Há ainda o risco de resistência docente, mitigado pela formação entre pares, pelo reconhecimento da carga horária e por prêmios; o de descontinuidade política, relevante porque os governos estaduais eleitos em 2026 tomam posse em 2027, mitigado por um pacto multiator, por fontes privadas e por resultados visíveis já no primeiro ano; e o de fuga de talentos, mitigado pelo trabalho remoto e pela criação de startups locais. Por fim, o caráter voluntário da adesão, que é condição para evitar burocracia, também pode gerar adesões desiguais, concentradas nos municípios com maior capacidade. Por isso, a proposta prevê apoio técnico da organização-âncora aos municípios menores e o uso dos arranjos intermunicipais.</w:t>
      </w:r>
    </w:p>
    <w:p>
      <w:pPr>
        <w:keepNext/>
        <w:spacing w:after="120" w:before="240"/>
      </w:pPr>
      <w:r>
        <w:rPr>
          <w:b/>
          <w:bCs/>
        </w:rPr>
        <w:t xml:space="preserve">5 CONSIDERAÇÕES FINAIS</w:t>
      </w:r>
    </w:p>
    <w:p>
      <w:pPr>
        <w:spacing w:after="120"/>
        <w:ind w:firstLine="709"/>
        <w:jc w:val="both"/>
      </w:pPr>
      <w:r>
        <w:t xml:space="preserve">O artigo propôs o Vale do Marco Zero como resposta à pergunta sobre como pensar uma gestão pública </w:t>
      </w:r>
      <w:r>
        <w:rPr>
          <w:i/>
          <w:iCs/>
        </w:rPr>
        <w:t xml:space="preserve">bottom-up</w:t>
      </w:r>
      <w:r>
        <w:t xml:space="preserve">. A resposta tem três elementos. O primeiro é partir da escola e do município, como sugere o mapeamento reverso de Elmore (1979), perguntando o que cada nível precisa para que o comportamento desejado ocorra na ponta. O segundo é coordenar, mais do que gastar: o programa aproveita acordos, infraestrutura, incentivos e obrigações privadas que já existem, mas estão dispersos. O terceiro é desenhar regras de acesso aberto, que tornam a cooperação atraente para o setor privado sem abrir espaço para a captura.</w:t>
      </w:r>
    </w:p>
    <w:p>
      <w:pPr>
        <w:spacing w:after="120"/>
        <w:ind w:firstLine="709"/>
        <w:jc w:val="both"/>
      </w:pPr>
      <w:r>
        <w:t xml:space="preserve">Quanto aos atributos de um produto técnico-tecnológico, a proposta é inovadora por adaptar um ecossistema nacional à escala territorial com uma plataforma de dois lados; aplicável por usar apenas instrumentos jurídicos vigentes; socialmente relevante por atuar sobre aprendizagem, emprego e inclusão de povos tradicionais; de bom custo-benefício por dispensar orçamento novo; replicável por meio de um kit municipal de cinco passos (aderir aos acordos gratuitos do MEC, associar-se a vizinhos em um arranjo de educação, indicar uma escola-laboratório, propor um desafio anual ligado à vocação local e publicar os dados); e útil por responder diretamente à PNRA, à PNED e ao novo Plano Nacional de Educação, aprovado pela Lei nº 15.388/2026 (BRASIL, 2026).</w:t>
      </w:r>
    </w:p>
    <w:p>
      <w:pPr>
        <w:spacing w:after="120"/>
        <w:ind w:firstLine="709"/>
        <w:jc w:val="both"/>
      </w:pPr>
      <w:r>
        <w:t xml:space="preserve">As limitações incluem o caráter </w:t>
      </w:r>
      <w:r>
        <w:rPr>
          <w:i/>
          <w:iCs/>
        </w:rPr>
        <w:t xml:space="preserve">ex ante</w:t>
      </w:r>
      <w:r>
        <w:t xml:space="preserve"> da análise, a ausência de validação com gestores e comunidades locais e o fato de as metas e o cenário econômico serem indicativos. Como agenda de aplicação, recomenda-se apresentar a proposta à equipe de transição do governo estadual eleito em 2026, submetê-la a consulta pública, estabelecer a linha de base no primeiro semestre de 2027 e pactuar com o TCE-AP um plano de acompanhamento orientador. Se bem-sucedido, o programa poderá fazer do Marco Zero do Equador o marco zero de um novo modelo de desenvolvimento territorial no Norte do país.</w:t>
      </w:r>
    </w:p>
    <w:p>
      <w:pPr>
        <w:keepNext/>
        <w:spacing w:after="120" w:before="240"/>
      </w:pPr>
      <w:r>
        <w:rPr>
          <w:b/>
          <w:bCs/>
        </w:rPr>
        <w:t xml:space="preserve">6 REFERÊNCIAS</w:t>
      </w:r>
    </w:p>
    <w:p>
      <w:pPr>
        <w:spacing w:after="160"/>
        <w:jc w:val="left"/>
      </w:pPr>
      <w:r>
        <w:t xml:space="preserve">ABRAMOVAY, R. O capital social dos territórios: repensando o desenvolvimento rural. </w:t>
      </w:r>
      <w:r>
        <w:rPr>
          <w:i/>
          <w:iCs/>
        </w:rPr>
        <w:t xml:space="preserve">Economia Aplicada</w:t>
      </w:r>
      <w:r>
        <w:t xml:space="preserve">, São Paulo, v. 4, n. 2, p. 379-397, 2000.</w:t>
      </w:r>
    </w:p>
    <w:p>
      <w:pPr>
        <w:spacing w:after="160"/>
        <w:jc w:val="left"/>
      </w:pPr>
      <w:r>
        <w:t xml:space="preserve">ABRUCIO, F. L. A coordenação federativa no Brasil: a experiência do período FHC e os desafios do governo Lula. </w:t>
      </w:r>
      <w:r>
        <w:rPr>
          <w:i/>
          <w:iCs/>
        </w:rPr>
        <w:t xml:space="preserve">Revista de Sociologia e Política</w:t>
      </w:r>
      <w:r>
        <w:t xml:space="preserve">, Curitiba, n. 24, p. 41-67, 2005.</w:t>
      </w:r>
    </w:p>
    <w:p>
      <w:pPr>
        <w:spacing w:after="160"/>
        <w:jc w:val="left"/>
      </w:pPr>
      <w:r>
        <w:t xml:space="preserve">ANSELL, C.; GASH, A. Collaborative governance in theory and practice. </w:t>
      </w:r>
      <w:r>
        <w:rPr>
          <w:i/>
          <w:iCs/>
        </w:rPr>
        <w:t xml:space="preserve">Journal of Public Administration Research and Theory</w:t>
      </w:r>
      <w:r>
        <w:t xml:space="preserve">, v. 18, n. 4, p. 543-571, 2008.</w:t>
      </w:r>
    </w:p>
    <w:p>
      <w:pPr>
        <w:spacing w:after="160"/>
        <w:jc w:val="left"/>
      </w:pPr>
      <w:r>
        <w:t xml:space="preserve">ARRETCHE, M. </w:t>
      </w:r>
      <w:r>
        <w:rPr>
          <w:i/>
          <w:iCs/>
        </w:rPr>
        <w:t xml:space="preserve">Democracia, federalismo e centralização no Brasil</w:t>
      </w:r>
      <w:r>
        <w:t xml:space="preserve">. Rio de Janeiro: FGV; Fiocruz, 2012.</w:t>
      </w:r>
    </w:p>
    <w:p>
      <w:pPr>
        <w:spacing w:after="160"/>
        <w:jc w:val="left"/>
      </w:pPr>
      <w:r>
        <w:t xml:space="preserve">BRANDÃO, C. </w:t>
      </w:r>
      <w:r>
        <w:rPr>
          <w:i/>
          <w:iCs/>
        </w:rPr>
        <w:t xml:space="preserve">Território e desenvolvimento</w:t>
      </w:r>
      <w:r>
        <w:t xml:space="preserve">: as múltiplas escalas entre o local e o global. Campinas: Ed. Unicamp, 2007.</w:t>
      </w:r>
    </w:p>
    <w:p>
      <w:pPr>
        <w:spacing w:after="160"/>
        <w:jc w:val="left"/>
      </w:pPr>
      <w:r>
        <w:t xml:space="preserve">BRASIL. Casa Civil da Presidência da República. </w:t>
      </w:r>
      <w:r>
        <w:rPr>
          <w:i/>
          <w:iCs/>
        </w:rPr>
        <w:t xml:space="preserve">Avaliação de políticas públicas</w:t>
      </w:r>
      <w:r>
        <w:t xml:space="preserve">: guia prático de análise ex ante. Brasília: Ipea, 2018. v. 1.</w:t>
      </w:r>
    </w:p>
    <w:p>
      <w:pPr>
        <w:spacing w:after="160"/>
        <w:jc w:val="left"/>
      </w:pPr>
      <w:r>
        <w:t xml:space="preserve">BRASIL. Decreto nº 11.079, de 23 de maio de 2022. Institui a Política Nacional para Recuperação das Aprendizagens na Educação Básica. </w:t>
      </w:r>
      <w:r>
        <w:rPr>
          <w:i/>
          <w:iCs/>
        </w:rPr>
        <w:t xml:space="preserve">Diário Oficial da União</w:t>
      </w:r>
      <w:r>
        <w:t xml:space="preserve">, Brasília, DF, 24 maio 2022.</w:t>
      </w:r>
    </w:p>
    <w:p>
      <w:pPr>
        <w:spacing w:after="160"/>
        <w:jc w:val="left"/>
      </w:pPr>
      <w:r>
        <w:t xml:space="preserve">BRASIL. Lei nº 14.533, de 11 de janeiro de 2023. Institui a Política Nacional de Educação Digital. </w:t>
      </w:r>
      <w:r>
        <w:rPr>
          <w:i/>
          <w:iCs/>
        </w:rPr>
        <w:t xml:space="preserve">Diário Oficial da União</w:t>
      </w:r>
      <w:r>
        <w:t xml:space="preserve">, Brasília, DF, 11 jan. 2023.</w:t>
      </w:r>
    </w:p>
    <w:p>
      <w:pPr>
        <w:spacing w:after="160"/>
        <w:jc w:val="left"/>
      </w:pPr>
      <w:r>
        <w:t xml:space="preserve">BRASIL. Lei nº 15.388, de 14 de abril de 2026. Aprova o Plano Nacional de Educação. </w:t>
      </w:r>
      <w:r>
        <w:rPr>
          <w:i/>
          <w:iCs/>
        </w:rPr>
        <w:t xml:space="preserve">Diário Oficial da União</w:t>
      </w:r>
      <w:r>
        <w:t xml:space="preserve">, Brasília, DF, 15 abr. 2026.</w:t>
      </w:r>
    </w:p>
    <w:p>
      <w:pPr>
        <w:spacing w:after="160"/>
        <w:jc w:val="left"/>
      </w:pPr>
      <w:r>
        <w:t xml:space="preserve">CARAYANNIS, E. G.; CAMPBELL, D. F. J. ‘Mode 3’ and ‘Quadruple Helix’: toward a 21st century fractal innovation ecosystem. </w:t>
      </w:r>
      <w:r>
        <w:rPr>
          <w:i/>
          <w:iCs/>
        </w:rPr>
        <w:t xml:space="preserve">International Journal of Technology Management</w:t>
      </w:r>
      <w:r>
        <w:t xml:space="preserve">, v. 46, n. 3/4, p. 201-234, 2009.</w:t>
      </w:r>
    </w:p>
    <w:p>
      <w:pPr>
        <w:spacing w:after="160"/>
        <w:jc w:val="left"/>
      </w:pPr>
      <w:r>
        <w:t xml:space="preserve">CHESBROUGH, H. </w:t>
      </w:r>
      <w:r>
        <w:rPr>
          <w:i/>
          <w:iCs/>
        </w:rPr>
        <w:t xml:space="preserve">Open innovation</w:t>
      </w:r>
      <w:r>
        <w:t xml:space="preserve">: the new imperative for creating and profiting from technology. Boston: Harvard Business School Press, 2003.</w:t>
      </w:r>
    </w:p>
    <w:p>
      <w:pPr>
        <w:spacing w:after="160"/>
        <w:jc w:val="left"/>
      </w:pPr>
      <w:r>
        <w:t xml:space="preserve">ELMORE, R. F. Backward mapping: implementation research and policy decisions. </w:t>
      </w:r>
      <w:r>
        <w:rPr>
          <w:i/>
          <w:iCs/>
        </w:rPr>
        <w:t xml:space="preserve">Political Science Quarterly</w:t>
      </w:r>
      <w:r>
        <w:t xml:space="preserve">, v. 94, n. 4, p. 601-616, 1979.</w:t>
      </w:r>
    </w:p>
    <w:p>
      <w:pPr>
        <w:spacing w:after="160"/>
        <w:jc w:val="left"/>
      </w:pPr>
      <w:r>
        <w:t xml:space="preserve">EMERSON, K.; NABATCHI, T.; BALOGH, S. An integrative framework for collaborative governance. </w:t>
      </w:r>
      <w:r>
        <w:rPr>
          <w:i/>
          <w:iCs/>
        </w:rPr>
        <w:t xml:space="preserve">Journal of Public Administration Research and Theory</w:t>
      </w:r>
      <w:r>
        <w:t xml:space="preserve">, v. 22, n. 1, p. 1-29, 2012.</w:t>
      </w:r>
    </w:p>
    <w:p>
      <w:pPr>
        <w:spacing w:after="160"/>
        <w:jc w:val="left"/>
      </w:pPr>
      <w:r>
        <w:t xml:space="preserve">ETZKOWITZ, H.; LEYDESDORFF, L. The dynamics of innovation: from National Systems and “Mode 2” to a Triple Helix of university–industry–government relations. </w:t>
      </w:r>
      <w:r>
        <w:rPr>
          <w:i/>
          <w:iCs/>
        </w:rPr>
        <w:t xml:space="preserve">Research Policy</w:t>
      </w:r>
      <w:r>
        <w:t xml:space="preserve">, v. 29, n. 2, p. 109-123, 2000.</w:t>
      </w:r>
    </w:p>
    <w:p>
      <w:pPr>
        <w:spacing w:after="160"/>
        <w:jc w:val="left"/>
      </w:pPr>
      <w:r>
        <w:t xml:space="preserve">HAUSMANN, R.; RODRIK, D. Economic development as self-discovery. </w:t>
      </w:r>
      <w:r>
        <w:rPr>
          <w:i/>
          <w:iCs/>
        </w:rPr>
        <w:t xml:space="preserve">Journal of Development Economics</w:t>
      </w:r>
      <w:r>
        <w:t xml:space="preserve">, v. 72, n. 2, p. 603-633, 2003.</w:t>
      </w:r>
    </w:p>
    <w:p>
      <w:pPr>
        <w:spacing w:after="160"/>
        <w:jc w:val="left"/>
      </w:pPr>
      <w:r>
        <w:t xml:space="preserve">IBGE – INSTITUTO BRASILEIRO DE GEOGRAFIA E ESTATÍSTICA. </w:t>
      </w:r>
      <w:r>
        <w:rPr>
          <w:i/>
          <w:iCs/>
        </w:rPr>
        <w:t xml:space="preserve">Censo Demográfico 2022</w:t>
      </w:r>
      <w:r>
        <w:t xml:space="preserve">: população e domicílios – primeiros resultados. Rio de Janeiro: IBGE, 2023.</w:t>
      </w:r>
    </w:p>
    <w:p>
      <w:pPr>
        <w:spacing w:after="160"/>
        <w:jc w:val="left"/>
      </w:pPr>
      <w:r>
        <w:t xml:space="preserve">INEP – INSTITUTO NACIONAL DE ESTUDOS E PESQUISAS EDUCACIONAIS ANÍSIO TEIXEIRA. </w:t>
      </w:r>
      <w:r>
        <w:rPr>
          <w:i/>
          <w:iCs/>
        </w:rPr>
        <w:t xml:space="preserve">Índice de Desenvolvimento da Educação Básica (Ideb)</w:t>
      </w:r>
      <w:r>
        <w:t xml:space="preserve">: resultados 2025. Brasília: Inep, 2026.</w:t>
      </w:r>
    </w:p>
    <w:p>
      <w:pPr>
        <w:spacing w:after="160"/>
        <w:jc w:val="left"/>
      </w:pPr>
      <w:r>
        <w:t xml:space="preserve">KANIA, J.; KRAMER, M. Collective impact. </w:t>
      </w:r>
      <w:r>
        <w:rPr>
          <w:i/>
          <w:iCs/>
        </w:rPr>
        <w:t xml:space="preserve">Stanford Social Innovation Review</w:t>
      </w:r>
      <w:r>
        <w:t xml:space="preserve">, v. 9, n. 1, p. 36-41, 2011.</w:t>
      </w:r>
    </w:p>
    <w:p>
      <w:pPr>
        <w:spacing w:after="160"/>
        <w:jc w:val="left"/>
      </w:pPr>
      <w:r>
        <w:t xml:space="preserve">LIPSKY, M. </w:t>
      </w:r>
      <w:r>
        <w:rPr>
          <w:i/>
          <w:iCs/>
        </w:rPr>
        <w:t xml:space="preserve">Street-level bureaucracy</w:t>
      </w:r>
      <w:r>
        <w:t xml:space="preserve">: dilemmas of the individual in public services. New York: Russell Sage Foundation, 1980.</w:t>
      </w:r>
    </w:p>
    <w:p>
      <w:pPr>
        <w:spacing w:after="160"/>
        <w:jc w:val="left"/>
      </w:pPr>
      <w:r>
        <w:t xml:space="preserve">MAZZUCATO, M. </w:t>
      </w:r>
      <w:r>
        <w:rPr>
          <w:i/>
          <w:iCs/>
        </w:rPr>
        <w:t xml:space="preserve">O Estado empreendedor</w:t>
      </w:r>
      <w:r>
        <w:t xml:space="preserve">: desmascarando o mito do setor público vs. setor privado. São Paulo: Portfolio-Penguin, 2014.</w:t>
      </w:r>
    </w:p>
    <w:p>
      <w:pPr>
        <w:spacing w:after="160"/>
        <w:jc w:val="left"/>
      </w:pPr>
      <w:r>
        <w:t xml:space="preserve">NORTH, D. C.; WALLIS, J. J.; WEINGAST, B. R. </w:t>
      </w:r>
      <w:r>
        <w:rPr>
          <w:i/>
          <w:iCs/>
        </w:rPr>
        <w:t xml:space="preserve">Violence and social orders</w:t>
      </w:r>
      <w:r>
        <w:t xml:space="preserve">: a conceptual framework for interpreting recorded human history. Cambridge: Cambridge University Press, 2009.</w:t>
      </w:r>
    </w:p>
    <w:p>
      <w:pPr>
        <w:spacing w:after="160"/>
        <w:jc w:val="left"/>
      </w:pPr>
      <w:r>
        <w:t xml:space="preserve">OECD – ORGANISATION FOR ECONOMIC CO-OPERATION AND DEVELOPMENT. </w:t>
      </w:r>
      <w:r>
        <w:rPr>
          <w:i/>
          <w:iCs/>
        </w:rPr>
        <w:t xml:space="preserve">PISA 2022 results (Volume I)</w:t>
      </w:r>
      <w:r>
        <w:t xml:space="preserve">: the state of learning and equity in education. Paris: OECD Publishing, 2023.</w:t>
      </w:r>
    </w:p>
    <w:p>
      <w:pPr>
        <w:spacing w:after="160"/>
        <w:jc w:val="left"/>
      </w:pPr>
      <w:r>
        <w:t xml:space="preserve">OLSON, M. </w:t>
      </w:r>
      <w:r>
        <w:rPr>
          <w:i/>
          <w:iCs/>
        </w:rPr>
        <w:t xml:space="preserve">The logic of collective action</w:t>
      </w:r>
      <w:r>
        <w:t xml:space="preserve">: public goods and the theory of groups. Cambridge, MA: Harvard University Press, 1965.</w:t>
      </w:r>
    </w:p>
    <w:p>
      <w:pPr>
        <w:spacing w:after="160"/>
        <w:jc w:val="left"/>
      </w:pPr>
      <w:r>
        <w:t xml:space="preserve">OSTROM, E. </w:t>
      </w:r>
      <w:r>
        <w:rPr>
          <w:i/>
          <w:iCs/>
        </w:rPr>
        <w:t xml:space="preserve">Governing the commons</w:t>
      </w:r>
      <w:r>
        <w:t xml:space="preserve">: the evolution of institutions for collective action. Cambridge: Cambridge University Press, 1990.</w:t>
      </w:r>
    </w:p>
    <w:p>
      <w:pPr>
        <w:spacing w:after="160"/>
        <w:jc w:val="left"/>
      </w:pPr>
      <w:r>
        <w:t xml:space="preserve">RNP – REDE NACIONAL DE ENSINO E PESQUISA. </w:t>
      </w:r>
      <w:r>
        <w:rPr>
          <w:i/>
          <w:iCs/>
        </w:rPr>
        <w:t xml:space="preserve">Programa Norte Conectado</w:t>
      </w:r>
      <w:r>
        <w:t xml:space="preserve">: Infovia 00. Rio de Janeiro: RNP, 2022.</w:t>
      </w:r>
    </w:p>
    <w:p>
      <w:pPr>
        <w:spacing w:after="160"/>
        <w:jc w:val="left"/>
      </w:pPr>
      <w:r>
        <w:t xml:space="preserve">ROCHET, J.-C.; TIROLE, J. Platform competition in two-sided markets. </w:t>
      </w:r>
      <w:r>
        <w:rPr>
          <w:i/>
          <w:iCs/>
        </w:rPr>
        <w:t xml:space="preserve">Journal of the European Economic Association</w:t>
      </w:r>
      <w:r>
        <w:t xml:space="preserve">, v. 1, n. 4, p. 990-1029, 2003.</w:t>
      </w:r>
    </w:p>
    <w:p>
      <w:pPr>
        <w:spacing w:after="160"/>
        <w:jc w:val="left"/>
      </w:pPr>
      <w:r>
        <w:t xml:space="preserve">SAXENIAN, A. </w:t>
      </w:r>
      <w:r>
        <w:rPr>
          <w:i/>
          <w:iCs/>
        </w:rPr>
        <w:t xml:space="preserve">Regional advantage</w:t>
      </w:r>
      <w:r>
        <w:t xml:space="preserve">: culture and competition in Silicon Valley and Route 128. Cambridge, MA: Harvard University Press, 1994.</w:t>
      </w:r>
    </w:p>
    <w:p>
      <w:pPr>
        <w:spacing w:after="160"/>
        <w:jc w:val="left"/>
      </w:pPr>
      <w:r>
        <w:t xml:space="preserve">SEGATTO, C. I.; ABRUCIO, F. L. A cooperação em uma federação heterogênea: o regime de colaboração na educação em seis estados brasileiros. </w:t>
      </w:r>
      <w:r>
        <w:rPr>
          <w:i/>
          <w:iCs/>
        </w:rPr>
        <w:t xml:space="preserve">Revista Brasileira de Educação</w:t>
      </w:r>
      <w:r>
        <w:t xml:space="preserve">, Rio de Janeiro, v. 21, n. 65, p. 411-429, 2016.</w:t>
      </w:r>
    </w:p>
    <w:p>
      <w:pPr>
        <w:spacing w:after="160"/>
        <w:jc w:val="left"/>
      </w:pPr>
      <w:r>
        <w:t xml:space="preserve">TCU – TRIBUNAL DE CONTAS DA UNIÃO. </w:t>
      </w:r>
      <w:r>
        <w:rPr>
          <w:i/>
          <w:iCs/>
        </w:rPr>
        <w:t xml:space="preserve">Referencial de controle de políticas públicas</w:t>
      </w:r>
      <w:r>
        <w:t xml:space="preserve">. Brasília: TCU, 2020.</w:t>
      </w:r>
    </w:p>
    <w:p>
      <w:pPr>
        <w:spacing w:after="160"/>
        <w:jc w:val="left"/>
      </w:pPr>
      <w:r>
        <w:t xml:space="preserve">WEISS, C. H. Nothing as practical as good theory: exploring theory-based evaluation for comprehensive community initiatives for children and families. In: CONNELL, J. P. et al. (ed.). </w:t>
      </w:r>
      <w:r>
        <w:rPr>
          <w:i/>
          <w:iCs/>
        </w:rPr>
        <w:t xml:space="preserve">New approaches to evaluating community initiatives</w:t>
      </w:r>
      <w:r>
        <w:t xml:space="preserve">. Washington, DC: Aspen Institute, 1995. p. 65-92.</w:t>
      </w:r>
    </w:p>
    <w:sectPr>
      <w:footerReference w:type="default" r:id="rId7"/>
      <w:endnotePr>
        <w:pos w:val="sectEnd"/>
        <w:numFmt w:val="decimal"/>
      </w:endnotePr>
      <w:pgSz w:w="11906" w:h="16838" w:orient="portrait"/>
      <w:pgMar w:top="1701" w:right="1134" w:bottom="1134" w:left="1701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pPr>
        <w:jc w:val="both"/>
      </w:pPr>
      <w:r>
        <w:rPr>
          <w:rStyle w:val="EndnoteReference"/>
        </w:rPr>
        <w:endnoteRef/>
      </w:r>
      <w:r>
        <w:rPr>
          <w:sz w:val="20"/>
          <w:szCs w:val="20"/>
        </w:rPr>
        <w:t xml:space="preserve">Os valores referem-se à rede total (escolas públicas e privadas), divulgados pelo Inep em 2026. Considerada apenas a rede estadual, o Ideb do ensino médio do Amapá passou de 3,6 para 3,7 no mesmo período.</w:t>
      </w:r>
    </w:p>
  </w:endnote>
  <w:endnote w:id="2">
    <w:p>
      <w:pPr>
        <w:jc w:val="both"/>
      </w:pPr>
      <w:r>
        <w:rPr>
          <w:rStyle w:val="EndnoteReference"/>
        </w:rPr>
        <w:endnoteRef/>
      </w:r>
      <w:r>
        <w:rPr>
          <w:sz w:val="20"/>
          <w:szCs w:val="20"/>
        </w:rPr>
        <w:t xml:space="preserve">Também foi consultado, como material de apoio, um painel compilado de indicadores educacionais referentes ao período 2003–2025. Foram utilizados apenas os dados nele atribuídos a fontes primárias verificáveis (Inep, IBGE e OCDE), sem incorporar as interpretações ou juízos de valor do documento.</w:t>
      </w:r>
    </w:p>
  </w:endnote>
  <w:endnote w:id="3">
    <w:p>
      <w:pPr>
        <w:jc w:val="both"/>
      </w:pPr>
      <w:r>
        <w:rPr>
          <w:rStyle w:val="EndnoteReference"/>
        </w:rPr>
        <w:endnoteRef/>
      </w:r>
      <w:r>
        <w:rPr>
          <w:sz w:val="20"/>
          <w:szCs w:val="20"/>
        </w:rPr>
        <w:t xml:space="preserve">O Programa Norte Conectado é executado pela RNP com recursos do Ministério das Comunicações. A Infovia 00 percorre o leito do rio Amazonas, passando por Almeirim, Monte Alegre e Alenquer (PA), e é operada por um consórcio de operadoras neutras.</w:t>
      </w:r>
    </w:p>
  </w:endnote>
  <w:endnote w:id="4">
    <w:p>
      <w:pPr>
        <w:jc w:val="both"/>
      </w:pPr>
      <w:r>
        <w:rPr>
          <w:rStyle w:val="EndnoteReference"/>
        </w:rPr>
        <w:endnoteRef/>
      </w:r>
      <w:r>
        <w:rPr>
          <w:sz w:val="20"/>
          <w:szCs w:val="20"/>
        </w:rPr>
        <w:t xml:space="preserve">A inclusão do Amapá entre os destinos admitidos para os investimentos em PD&amp;I da Lei nº 8.387/1991 foi feita pela Lei nº 13.674/2018. As instituições locais precisam ser credenciadas pelo Comitê das Atividades de Pesquisa e Desenvolvimento na Amazônia (CAPDA).</w:t>
      </w:r>
    </w:p>
  </w:endnote>
  <w:endnote w:id="5">
    <w:p>
      <w:pPr>
        <w:jc w:val="both"/>
      </w:pPr>
      <w:r>
        <w:rPr>
          <w:rStyle w:val="EndnoteReference"/>
        </w:rPr>
        <w:endnoteRef/>
      </w:r>
      <w:r>
        <w:rPr>
          <w:sz w:val="20"/>
          <w:szCs w:val="20"/>
        </w:rPr>
        <w:t xml:space="preserve">Cálculo: 2.000 jovens × 25% × R$ 3.000 × 12 meses = R$ 18 milhões por ano. Trata-se de cenário ilustrativo, sem efeitos multiplicadores e sem descontar ocupações que existiriam mesmo sem o programa; a estimativa efetiva depende da avaliação de impacto.</w:t>
      </w:r>
    </w:p>
  </w:endnote>
  <w:endnote w:id="6">
    <w:p>
      <w:pPr>
        <w:jc w:val="both"/>
      </w:pPr>
      <w:r>
        <w:rPr>
          <w:rStyle w:val="EndnoteReference"/>
        </w:rPr>
        <w:endnoteRef/>
      </w:r>
      <w:r>
        <w:rPr>
          <w:sz w:val="20"/>
          <w:szCs w:val="20"/>
        </w:rPr>
        <w:t xml:space="preserve">Decreto-Lei nº 4.657/1942, arts. 22 e 28, incluídos pela Lei nº 13.655/2018.</w:t>
      </w:r>
    </w:p>
  </w:endnote>
  <w:endnote w:id="7">
    <w:p>
      <w:pPr>
        <w:jc w:val="both"/>
      </w:pPr>
      <w:r>
        <w:rPr>
          <w:rStyle w:val="EndnoteReference"/>
        </w:rPr>
        <w:endnoteRef/>
      </w:r>
      <w:r>
        <w:rPr>
          <w:sz w:val="20"/>
          <w:szCs w:val="20"/>
        </w:rPr>
        <w:t xml:space="preserve">A Entidade Administradora da Conectividade de Escolas (EACE), criada no leilão do 5G, executa compromissos de cerca de R$ 3,1 bilhões das operadoras vencedoras. Em 2026, o Ministério das Comunicações anunciou uma etapa adicional financiada pelo Fundo de Universalização dos Serviços de Telecomunicações (Fust).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4d4b68dad19906756f1221d2add726e8c6a1663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Vale do Marco Zero</dc:title>
  <dc:creator>Mestrado em Controle Governamental</dc:creator>
  <cp:lastModifiedBy>Un-named</cp:lastModifiedBy>
  <cp:revision>1</cp:revision>
  <dcterms:created xsi:type="dcterms:W3CDTF">2026-10-25T01:59:35.101Z</dcterms:created>
  <dcterms:modified xsi:type="dcterms:W3CDTF">2026-10-25T01:59:35.102Z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