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 w:lineRule="auto"/>
        <w:jc w:val="center"/>
      </w:pPr>
      <w:r>
        <w:rPr>
          <w:b/>
          <w:bCs/>
          <w:sz w:val="28"/>
          <w:szCs w:val="28"/>
        </w:rPr>
        <w:t xml:space="preserve">Referencial Teórico — Nova Fonte (matriz + fichamento)</w:t>
      </w:r>
    </w:p>
    <w:p>
      <w:pPr>
        <w:spacing w:after="60" w:line="360" w:lineRule="auto"/>
        <w:jc w:val="center"/>
      </w:pPr>
      <w:r>
        <w:rPr>
          <w:i/>
          <w:iCs/>
          <w:sz w:val="22"/>
          <w:szCs w:val="22"/>
        </w:rPr>
        <w:t xml:space="preserve">Framework de Auditoria Preventiva Baseado em Inteligência Artificial para Detecção de Assimetria de Informação em Anteprojetos de Grandes Obras Públicas (Contratações Integradas)</w:t>
      </w:r>
    </w:p>
    <w:p>
      <w:pPr>
        <w:spacing w:after="200" w:line="360" w:lineRule="auto"/>
        <w:jc w:val="center"/>
      </w:pPr>
      <w:r>
        <w:rPr>
          <w:sz w:val="22"/>
          <w:szCs w:val="22"/>
        </w:rPr>
        <w:t xml:space="preserve">José de Castro Barreto Junior — Controladoria-Geral da União (CGU)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Nota. </w:t>
      </w:r>
      <w:r>
        <w:t xml:space="preserve">Este material deixa pronta, no mesmo modelo da matriz das 5 fontes, a fonte </w:t>
      </w:r>
      <w:r>
        <w:rPr>
          <w:i/>
          <w:iCs/>
        </w:rPr>
        <w:t xml:space="preserve">OLIVEIRA &amp; LIMA (Revista do TCU, 2021)</w:t>
      </w:r>
      <w:r>
        <w:t xml:space="preserve">. Nenhuma das 5 fontes atuais foi retirada: o objetivo é permitir a decisão posterior de (a) encaixá-la no lugar de uma das 5 — sendo a candidata natural a fonte mais próxima em Eixo 1 — ou (b) mantê-la como reforço da Introdução/justificativa. Classificação por eixo: </w:t>
      </w:r>
      <w:r>
        <w:rPr>
          <w:b/>
          <w:bCs/>
        </w:rPr>
        <w:t xml:space="preserve">Eixo 1</w:t>
      </w:r>
      <w:r>
        <w:t xml:space="preserve"> (controle governamental e auditoria preventiva) como núcleo, com ponte ao </w:t>
      </w:r>
      <w:r>
        <w:rPr>
          <w:b/>
          <w:bCs/>
        </w:rPr>
        <w:t xml:space="preserve">Eixo 3</w:t>
      </w:r>
      <w:r>
        <w:t xml:space="preserve"> (grandes obras/infraestrutura). Não cobre o Eixo 2 (assimetria de informação) nem o Eixo 4 (IA/PLN/DSR).</w:t>
      </w:r>
    </w:p>
    <w:p>
      <w:pPr>
        <w:spacing w:after="160" w:before="320" w:line="360" w:lineRule="auto"/>
      </w:pPr>
      <w:r>
        <w:rPr>
          <w:b/>
          <w:bCs/>
          <w:sz w:val="26"/>
          <w:szCs w:val="26"/>
        </w:rPr>
        <w:t xml:space="preserve">1 Linha da matriz de literatura</w:t>
      </w:r>
    </w:p>
    <w:p>
      <w:pPr>
        <w:spacing w:after="100" w:before="260" w:line="360" w:lineRule="auto"/>
      </w:pPr>
      <w:r>
        <w:rPr>
          <w:b/>
          <w:bCs/>
        </w:rPr>
        <w:t xml:space="preserve">OLIVEIRA, Igor Pereira; LIMA, Bruno Martinello. A relevância da atuação preventiva do controle externo na infraestrutura — Eixo 1 (ponte ao Eixo 3).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Pergunta/objetivo. </w:t>
      </w:r>
      <w:r>
        <w:t xml:space="preserve">Demonstrar a relevância da atuação preventiva do controle externo — em contraste com a atuação essencialmente repressiva — sobre obras de infraestrutura, estimulando a rede de controle e a sociedade a adotar estratégias que impeçam a ocorrência de irregularidades, priorizando a prevenção da corrupção e do desperdício de recursos públicos e a implantação de controles internos estritamente necessários e suficientes.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Base teórica/conceitos. </w:t>
      </w:r>
      <w:r>
        <w:t xml:space="preserve">Dicotomia prevenção × repressão; Convenção das Nações Unidas contra a Corrupção (Mérida, 2003); viabilidade dos empreendimentos (EVTE) como instrumento preventivo; controles internos baseados em risco (Modelo COSO, Lei Sarbanes-Oxley, Green Book/GAO, diretrizes da OCDE e da União Europeia); competência constitucional do TCU para suspender repasses federais a obras sem comprovação de viabilidade (MS 24.510-7/DF, STF, Min. Celso de Mello).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Método. </w:t>
      </w:r>
      <w:r>
        <w:t xml:space="preserve">Ensaio doutrinário-institucional com estudo de caso ilustrativo — a Refinaria Abreu e Lima (Rnest), da Petrobras —, amparado em relatórios de auditoria, acórdãos do TCU (p. ex., Acórdão 1.839/2018-Plenário) e normativos; sem tratamento empírico ou estatístico.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Achados principais. </w:t>
      </w:r>
      <w:r>
        <w:t xml:space="preserve">A atuação preventiva tende a gerar benefícios superiores aos da repressiva. O caso Rnest — empreendimento com inviabilidade econômica comprovada (VPL negativo) e objeto de veto presidencial (Mensagem nº 41/2010) recomendado pelo TCU — evidencia que a intervenção tempestiva (suspensão de repasses a obras sem viabilidade comprovada) neutraliza lesão atual ou iminente ao erário. Em contraste, o modelo repressivo (pós-Lava Jato) padece de morosidade administrativa e judicial, dificuldade de restituição do dano e risco de prescrição. Controles internos eficazes “na medida certa” (evitando também o excesso de controle) são estratégia indispensável de prevenção.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Limitações. </w:t>
      </w:r>
      <w:r>
        <w:t xml:space="preserve">Texto doutrinário e institucional (autores são auditores do TCU), sem validação empírica nem métricas de eficácia; centra-se na prevenção via viabilidade e controles internos, sem tratar de assimetria de informação, contratação integrada ou inteligência artificial; a generalização da conclusão do caso Rnest é expressamente ressalvada pelos próprios autores.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Contribuição para o projeto. </w:t>
      </w:r>
      <w:r>
        <w:t xml:space="preserve">Aporta a autoridade institucional do próprio TCU à tese central da dissertação — prevenção &gt; repressão (o “periculum in mora reverso”). Fornece o marco doutrinário e jurisprudencial (MS 24.510-7/STF) do poder-dever do controle externo de agir antes/durante, sobre a viabilidade do empreendimento; o caso Rnest é evidência concreta de que a insuficiência informacional na fase pré-decisória (viabilidade não comprovada) só se resolve com ação preventiva — exatamente a lacuna que o framework de IA propõe cobrir, atuando sobre o anteprojeto, antes da licitação. Complementa Garbaccio (que, diferentemente, agrega a ponte com o Eixo 4/IA).</w:t>
      </w:r>
    </w:p>
    <w:p>
      <w:pPr>
        <w:spacing w:after="160" w:before="320" w:line="360" w:lineRule="auto"/>
      </w:pPr>
      <w:r>
        <w:rPr>
          <w:b/>
          <w:bCs/>
          <w:sz w:val="26"/>
          <w:szCs w:val="26"/>
        </w:rPr>
        <w:t xml:space="preserve">2 Fichamento — OLIVEIRA &amp; LIMA (atuação preventiva na infraestrutura)</w:t>
      </w:r>
    </w:p>
    <w:p>
      <w:pPr>
        <w:spacing w:after="100" w:before="260" w:line="360" w:lineRule="auto"/>
      </w:pPr>
      <w:r>
        <w:rPr>
          <w:b/>
          <w:bCs/>
        </w:rPr>
        <w:t xml:space="preserve">2.1 Referência completa</w:t>
      </w:r>
    </w:p>
    <w:p>
      <w:pPr>
        <w:spacing w:after="120" w:before="0" w:line="360" w:lineRule="auto"/>
        <w:jc w:val="both"/>
      </w:pPr>
      <w:r>
        <w:t xml:space="preserve">OLIVEIRA, Igor Pereira; LIMA, Bruno Martinello. </w:t>
      </w:r>
      <w:r>
        <w:rPr>
          <w:b/>
          <w:bCs/>
        </w:rPr>
        <w:t xml:space="preserve">A relevância da atuação preventiva do controle externo na infraestrutura. </w:t>
      </w:r>
      <w:r>
        <w:t xml:space="preserve">Revista do TCU, Brasília, n. 147, p. 150-167, jan./jun. 2021. [número/paginação conforme cópia; confirmar na versão final.]</w:t>
      </w:r>
    </w:p>
    <w:p>
      <w:pPr>
        <w:spacing w:after="100" w:before="260" w:line="360" w:lineRule="auto"/>
      </w:pPr>
      <w:r>
        <w:rPr>
          <w:b/>
          <w:bCs/>
        </w:rPr>
        <w:t xml:space="preserve">2.2 Síntese das principais ideias, argumentos e achados</w:t>
      </w:r>
    </w:p>
    <w:p>
      <w:pPr>
        <w:spacing w:after="120" w:before="0" w:line="360" w:lineRule="auto"/>
        <w:jc w:val="both"/>
      </w:pPr>
      <w:r>
        <w:t xml:space="preserve">Partindo da Convenção de Mérida (ONU, 2003), que recomenda não só combater, mas prevenir a corrupção, os autores — dois auditores de infraestrutura do TCU — sustentam que a atuação preventiva do controle externo é mais efetiva do que a essencialmente repressiva para proteger os escassos recursos públicos. O argumento é ilustrado por analogia (“é preferível proteger a residência do roubo do que correr atrás do prejuízo após a invasão”) e, sobretudo, pelo estudo do caso da Refinaria Abreu e Lima (Rnest), da Petrobras: empreendimento de materialidade bilionária cuja inviabilidade econômica foi comprovada pelo Tribunal (valor presente líquido negativo), objeto de restrições orçamentárias e de veto presidencial (Mensagem nº 41/2010) recomendados pelo TCU já em 2010, mas cujas irregularidades só vieram plenamente à tona em 2014, na esteira da Operação Lava Jato.</w:t>
      </w:r>
    </w:p>
    <w:p>
      <w:pPr>
        <w:spacing w:after="120" w:before="0" w:line="360" w:lineRule="auto"/>
        <w:jc w:val="both"/>
      </w:pPr>
      <w:r>
        <w:t xml:space="preserve">A partir do caso, o texto contrasta as duas perspectivas: a repressiva, marcada por delongada instrução, dificuldade real de restituição do dano, morosidade e risco de prescrição; e a preventiva, capaz de neutralizar a lesividade atual ou iminente ao erário. Os autores destacam a competência do TCU para suspender imediatamente repasses federais a empreendimentos sem comprovação de viabilidade — competência reconhecida pelo STF no MS 24.510-7/DF (voto do Min. Celso de Mello) — e situam a exigência de viabilidade (EVTE) num horizonte maior: a implementação de controles internos baseados em risco (COSO, Sarbanes-Oxley, Green Book/GAO, OCDE), “na medida certa”, para mitigar obras paralisadas, empreendimentos inviáveis e a própria corrupção — advertindo, ainda, contra o excesso de controle. Concluem que, diante das resistências ao modelo repressivo, é indispensável fazer avançar o modelo preventivo.</w:t>
      </w:r>
    </w:p>
    <w:p>
      <w:pPr>
        <w:spacing w:after="100" w:before="260" w:line="360" w:lineRule="auto"/>
      </w:pPr>
      <w:r>
        <w:rPr>
          <w:b/>
          <w:bCs/>
        </w:rPr>
        <w:t xml:space="preserve">2.3 Análise crítica (pontos fortes e limitações)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Pontos fortes. </w:t>
      </w:r>
      <w:r>
        <w:t xml:space="preserve">(i) Autoridade institucional: escrito por auditores do TCU e publicado na Revista do próprio Tribunal, confere lastro doutrinário e prático de alto peso à tese da prevenção; (ii) o caso Rnest é evidência concreta e bem documentada (acórdãos, VPL negativo, veto presidencial) do custo de agir tarde; (iii) ancora juridicamente o poder-dever preventivo do controle externo no MS 24.510-7/STF; (iv) equilíbrio ao alertar contra o excesso de controle, evitando um discurso meramente maximalista.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Limitações. </w:t>
      </w:r>
      <w:r>
        <w:t xml:space="preserve">(i) É ensaio doutrinário-institucional, sem método empírico, jurimetria ou métricas de eficácia; (ii) constrói-se sobre um único caso, cuja generalização os próprios autores ressalvam; (iii) trata da prevenção pela ótica da viabilidade e dos controles internos, sem enfrentar os mecanismos econômicos da assimetria de informação (Eixo 2) nem a contratação integrada; (iv) não menciona inteligência artificial — logo, não substitui as fontes do Eixo 4, apenas fundamenta o “porquê” preventivo que a IA operacionaliza.</w:t>
      </w:r>
    </w:p>
    <w:p>
      <w:pPr>
        <w:spacing w:after="100" w:before="260" w:line="360" w:lineRule="auto"/>
      </w:pPr>
      <w:r>
        <w:rPr>
          <w:b/>
          <w:bCs/>
        </w:rPr>
        <w:t xml:space="preserve">2.4 Conexão com o projeto de pesquisa</w:t>
      </w:r>
    </w:p>
    <w:p>
      <w:pPr>
        <w:spacing w:after="120" w:before="0" w:line="360" w:lineRule="auto"/>
        <w:jc w:val="both"/>
      </w:pPr>
      <w:r>
        <w:t xml:space="preserve">O texto é a base institucional da premissa que sustenta toda a dissertação: a superioridade da prevenção sobre a repressão no controle de grandes obras. É âncora do Eixo 1, com ponte ao Eixo 3. Três desdobramentos: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(1) </w:t>
      </w:r>
      <w:r>
        <w:t xml:space="preserve">legitima juridicamente o recorte “agir antes”: se o STF (MS 24.510-7) reconhece ao controle externo o poder de suspender repasses a obras sem viabilidade comprovada, então deslocar a análise para a fase do anteprojeto — como propõe o framework — é aprofundamento coerente desse mesmo poder-dever preventivo, e não inovação sem amparo.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(2) </w:t>
      </w:r>
      <w:r>
        <w:t xml:space="preserve">o caso Rnest fornece a materialização empírica do “periculum in mora reverso”: a informação sobre a inviabilidade existia cedo, mas a inércia converteu-a em dano de difícil reparação — exatamente o custo que a detecção tempestiva de assimetria/insuficiência informacional no anteprojeto busca evitar.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(3) </w:t>
      </w:r>
      <w:r>
        <w:t xml:space="preserve">delimita o papel da fonte no conjunto: ela reforça a justificativa e o Eixo 1, mas não cobre assimetria (Eixo 2) nem IA (Eixo 4). Por isso, se vier a integrar as 5, a substituição natural recai sobre a fonte mais monotemática de Eixo 1 (preservando Garbaccio, que é a única ponte ao Eixo 4); alternativamente, mantém-se como citação de reforço na Introdução, sem ocupar um dos cinco assentos.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2026-09-16T01:58:24.541Z</dcterms:created>
  <dcterms:modified xsi:type="dcterms:W3CDTF">2026-09-16T01:58:24.555Z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