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4"/>
        </w:rPr>
        <w:t>CONTROLADORIA-GERAL DA UNIÃO</w:t>
      </w:r>
    </w:p>
    <w:p>
      <w:pPr>
        <w:jc w:val="center"/>
      </w:pPr>
      <w:r>
        <w:rPr>
          <w:b/>
          <w:color w:val="1F4E79"/>
          <w:sz w:val="26"/>
        </w:rPr>
        <w:t>NOTA TÉCNICA Nº _____/2026  (MINUTA)</w:t>
      </w:r>
    </w:p>
    <w:p>
      <w:pPr>
        <w:jc w:val="center"/>
      </w:pPr>
      <w:r>
        <w:rPr>
          <w:i/>
          <w:sz w:val="21"/>
        </w:rPr>
        <w:t>Avaliação de Programa de Integridade — Pedido de Reabilitação Administrativa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D9E1F2"/>
          </w:tcPr>
          <w:p>
            <w:r/>
            <w:r>
              <w:rPr>
                <w:b/>
                <w:sz w:val="19"/>
              </w:rPr>
              <w:t>PROCESSO Nº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00190.104729/2021-05</w:t>
            </w:r>
          </w:p>
        </w:tc>
      </w:tr>
      <w:tr>
        <w:tc>
          <w:tcPr>
            <w:tcW w:type="dxa" w:w="4320"/>
            <w:shd w:val="clear" w:fill="D9E1F2"/>
          </w:tcPr>
          <w:p>
            <w:r/>
            <w:r>
              <w:rPr>
                <w:b/>
                <w:sz w:val="19"/>
              </w:rPr>
              <w:t>INTERESSADA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JDS Engenharia e Consultoria Ltda. — CNPJ 40.376.139/0001-59</w:t>
            </w:r>
          </w:p>
        </w:tc>
      </w:tr>
      <w:tr>
        <w:tc>
          <w:tcPr>
            <w:tcW w:type="dxa" w:w="4320"/>
            <w:shd w:val="clear" w:fill="D9E1F2"/>
          </w:tcPr>
          <w:p>
            <w:r/>
            <w:r>
              <w:rPr>
                <w:b/>
                <w:sz w:val="19"/>
              </w:rPr>
              <w:t>ASSUNTO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Reavaliação do programa de integridade à luz de documentação complementar, para fins de reabilitação administrativa.</w:t>
            </w:r>
          </w:p>
        </w:tc>
      </w:tr>
      <w:tr>
        <w:tc>
          <w:tcPr>
            <w:tcW w:type="dxa" w:w="4320"/>
            <w:shd w:val="clear" w:fill="D9E1F2"/>
          </w:tcPr>
          <w:p>
            <w:r/>
            <w:r>
              <w:rPr>
                <w:b/>
                <w:sz w:val="19"/>
              </w:rPr>
              <w:t>FUNDAMENTAÇÃO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Art. 163, III, da Lei nº 14.133/2021; Decreto nº 12.304/2024; Portaria Normativa SE/CGU nº 226/2025 (Anexo II).</w:t>
            </w:r>
          </w:p>
        </w:tc>
      </w:tr>
    </w:tbl>
    <w:p>
      <w:pPr>
        <w:spacing w:before="200" w:after="120"/>
      </w:pPr>
      <w:r>
        <w:rPr>
          <w:b/>
          <w:color w:val="1F4E79"/>
          <w:sz w:val="24"/>
        </w:rPr>
        <w:t>1. DO RELATÓRIO</w:t>
      </w:r>
    </w:p>
    <w:p>
      <w:pPr>
        <w:spacing w:after="120"/>
      </w:pPr>
      <w:r>
        <w:rPr>
          <w:b/>
        </w:rPr>
        <w:t xml:space="preserve">1.1. </w:t>
      </w:r>
      <w:r>
        <w:t>Trata-se de pedido de reabilitação administrativa formulado pela pessoa jurídica JDS - Engenharia e Consultoria Ltda., inscrita no CNPJ nº 40.376.139/0001-59, no âmbito do Processo nº 00190.104729/2021-05.</w:t>
      </w:r>
    </w:p>
    <w:p>
      <w:pPr>
        <w:spacing w:after="120"/>
      </w:pPr>
      <w:r>
        <w:rPr>
          <w:b/>
        </w:rPr>
        <w:t xml:space="preserve">1.2. </w:t>
      </w:r>
      <w:r>
        <w:t>A interessada foi declarada inidônea para licitar ou contratar com a Administração Pública em 28 de março de 2024, em razão de omissão deliberada na supervisão técnica de obras rodoviárias (BR-429/RO, "Operação Anjos do Asfalto"), com dano estimado ao erário de R$ 30.884.297,74.</w:t>
      </w:r>
    </w:p>
    <w:p>
      <w:pPr>
        <w:spacing w:after="120"/>
      </w:pPr>
      <w:r>
        <w:rPr>
          <w:b/>
        </w:rPr>
        <w:t xml:space="preserve">1.3. </w:t>
      </w:r>
      <w:r>
        <w:t>A reabilitação, nos termos do art. 163, inciso III, da Lei nº 14.133/2021, pressupõe, entre as condições legais, a implantação ou o aperfeiçoamento de programa de integridade, cuja avaliação observa o Decreto nº 12.304/2024 e a Portaria Normativa SE/CGU nº 226/2025.</w:t>
      </w:r>
    </w:p>
    <w:p>
      <w:pPr>
        <w:spacing w:after="120"/>
      </w:pPr>
      <w:r>
        <w:rPr>
          <w:b/>
        </w:rPr>
        <w:t xml:space="preserve">1.4. </w:t>
      </w:r>
      <w:r>
        <w:t>Encerrado o prazo de 2 (dois) anos da sanção, em 28 de março de 2026, a interessada protocolou o pedido de reabilitação em 9 de abril de 2026, instruído com a documentação do seu programa de integridade.</w:t>
      </w:r>
    </w:p>
    <w:p>
      <w:pPr>
        <w:spacing w:after="120"/>
      </w:pPr>
      <w:r>
        <w:rPr>
          <w:b/>
        </w:rPr>
        <w:t xml:space="preserve">1.5. </w:t>
      </w:r>
      <w:r>
        <w:t>A avaliação técnica aplicou o Formulário de Conformidade previsto no Anexo II da Portaria Normativa SE/CGU nº 226/2025, composto de 113 questões organizadas em 12 áreas temáticas. A avaliação inicial apontou a não superação de diversos elementos e recomendou o indeferimento do pedido.</w:t>
      </w:r>
    </w:p>
    <w:p>
      <w:pPr>
        <w:spacing w:after="120"/>
      </w:pPr>
      <w:r>
        <w:rPr>
          <w:b/>
        </w:rPr>
        <w:t xml:space="preserve">1.6. </w:t>
      </w:r>
      <w:r>
        <w:t>Sobrevindo a apresentação de documentação complementar pela interessada, procedeu-se à presente reavaliação, ora consolidada nesta Nota Técnica.</w:t>
      </w:r>
    </w:p>
    <w:p>
      <w:pPr>
        <w:spacing w:after="120"/>
      </w:pPr>
      <w:r>
        <w:rPr>
          <w:b/>
        </w:rPr>
        <w:t xml:space="preserve">1.7. </w:t>
      </w:r>
      <w:r>
        <w:t>É o relatório.</w:t>
      </w:r>
    </w:p>
    <w:p>
      <w:pPr>
        <w:spacing w:before="200" w:after="120"/>
      </w:pPr>
      <w:r>
        <w:rPr>
          <w:b/>
          <w:color w:val="1F4E79"/>
          <w:sz w:val="24"/>
        </w:rPr>
        <w:t>2. DA TEMPESTIVIDADE</w:t>
      </w:r>
    </w:p>
    <w:p>
      <w:pPr>
        <w:spacing w:after="120"/>
      </w:pPr>
      <w:r>
        <w:rPr>
          <w:b/>
        </w:rPr>
        <w:t xml:space="preserve">2.1. </w:t>
      </w:r>
      <w:r>
        <w:t>A concessão da reabilitação, na forma do art. 163 da Lei nº 14.133/2021, sujeita-se, cumulativamente, à reparação do dano, ao decurso do prazo mínimo da sanção e à implantação/aperfeiçoamento de programa de integridade que demonstre a superação dos motivos determinantes da punição.</w:t>
      </w:r>
    </w:p>
    <w:p>
      <w:pPr>
        <w:spacing w:after="120"/>
      </w:pPr>
      <w:r>
        <w:rPr>
          <w:b/>
        </w:rPr>
        <w:t xml:space="preserve">2.2. </w:t>
      </w:r>
      <w:r>
        <w:t>No caso, a declaração de inidoneidade produziu efeitos a partir de 28 de março de 2024, encerrando-se o prazo mínimo de 2 (dois) anos em 28 de março de 2026.</w:t>
      </w:r>
    </w:p>
    <w:p>
      <w:pPr>
        <w:spacing w:after="120"/>
      </w:pPr>
      <w:r>
        <w:rPr>
          <w:b/>
        </w:rPr>
        <w:t xml:space="preserve">2.3. </w:t>
      </w:r>
      <w:r>
        <w:t>O pedido de reabilitação foi protocolado em 9 de abril de 2026, portanto após o decurso do biênio, revelando-se tempestivo quanto ao requisito temporal, razão pela qual se passa à análise da condição relativa à superação dos motivos determinantes da punição, mediante a avaliação do programa de integridade.</w:t>
      </w:r>
    </w:p>
    <w:p>
      <w:pPr>
        <w:spacing w:before="200" w:after="120"/>
      </w:pPr>
      <w:r>
        <w:rPr>
          <w:b/>
          <w:color w:val="1F4E79"/>
          <w:sz w:val="24"/>
        </w:rPr>
        <w:t>3. DA ANÁLISE</w:t>
      </w:r>
    </w:p>
    <w:p>
      <w:pPr>
        <w:spacing w:after="120"/>
      </w:pPr>
      <w:r>
        <w:rPr>
          <w:b/>
        </w:rPr>
        <w:t xml:space="preserve">3.1. </w:t>
      </w:r>
      <w:r>
        <w:rPr>
          <w:b/>
        </w:rPr>
        <w:t xml:space="preserve">Metodologia. </w:t>
      </w:r>
      <w:r/>
      <w:r>
        <w:t>O Formulário de Conformidade (Anexo II) organiza 113 questões em 12 áreas, com tipologia escalonada (QN1 a QN5). Para os processos de reabilitação, o item 5.1 da Portaria estabelece que o Programa de Integridade será considerado implantado quando presentes os elementos mínimos e fundamentais (questões QN1) e alcançadas as notas mínimas exigidas por área, na Área XII (mínimo de 70%) e no total, de acordo com a faixa de faturamento da pessoa jurídica.</w:t>
      </w:r>
    </w:p>
    <w:p>
      <w:pPr>
        <w:spacing w:after="120"/>
      </w:pPr>
      <w:r>
        <w:rPr>
          <w:b/>
        </w:rPr>
        <w:t xml:space="preserve">3.2. </w:t>
      </w:r>
      <w:r>
        <w:rPr>
          <w:b/>
        </w:rPr>
        <w:t xml:space="preserve">Enquadramento. </w:t>
      </w:r>
      <w:r/>
      <w:r>
        <w:t>Conforme a escrituração contábil (Demonstração do Resultado do Exercício), o faturamento anual da interessada situa-se entre R$ 3,1 milhões e R$ 5,4 milhões, enquadrando-a na Faixa 1 (faturamento até R$ 25 milhões), à qual correspondem os seguintes mínimos: 30% por área, 70% na Área XII e 45% no total.</w:t>
      </w:r>
    </w:p>
    <w:p>
      <w:pPr>
        <w:spacing w:after="120"/>
      </w:pPr>
      <w:r>
        <w:rPr>
          <w:b/>
        </w:rPr>
        <w:t xml:space="preserve">3.3. </w:t>
      </w:r>
      <w:r>
        <w:rPr>
          <w:b/>
        </w:rPr>
        <w:t xml:space="preserve">Evolução. </w:t>
      </w:r>
      <w:r/>
      <w:r>
        <w:t>Com a documentação complementar, as respostas afirmativas (SIM) evoluíram de 33 para 72, no conjunto das 113 questões, refletindo a superação da grande maioria das lacunas apontadas na avaliação inicial.</w:t>
      </w:r>
    </w:p>
    <w:p>
      <w:pPr>
        <w:spacing w:after="120"/>
      </w:pPr>
      <w:r>
        <w:rPr>
          <w:b/>
        </w:rPr>
        <w:t xml:space="preserve">3.4. </w:t>
      </w:r>
      <w:r>
        <w:rPr>
          <w:b/>
        </w:rPr>
        <w:t xml:space="preserve">Elementos mínimos e fundamentais (QN1). </w:t>
      </w:r>
      <w:r/>
      <w:r>
        <w:t>Das 15 questões classificadas como QN1, todas restaram atendidas. A única pendência remanescente — item 17.1 — foi acatada (subitem 3.7.1), de modo que se encontram presentes todos os elementos mínimos e fundamentais exigidos.</w:t>
      </w:r>
    </w:p>
    <w:p>
      <w:pPr>
        <w:spacing w:after="120"/>
      </w:pPr>
      <w:r>
        <w:rPr>
          <w:b/>
        </w:rPr>
        <w:t xml:space="preserve">3.5. </w:t>
      </w:r>
      <w:r>
        <w:rPr>
          <w:b/>
        </w:rPr>
        <w:t xml:space="preserve">Resultado por área. </w:t>
      </w:r>
      <w:r/>
      <w:r>
        <w:t>A pontuação apurada, por área temática, é a seguinte: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Área</w:t>
            </w:r>
          </w:p>
        </w:tc>
        <w:tc>
          <w:tcPr>
            <w:tcW w:type="dxa" w:w="1440"/>
            <w:shd w:val="clear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Pont. máx.</w:t>
            </w:r>
          </w:p>
        </w:tc>
        <w:tc>
          <w:tcPr>
            <w:tcW w:type="dxa" w:w="1440"/>
            <w:shd w:val="clear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Atingida</w:t>
            </w:r>
          </w:p>
        </w:tc>
        <w:tc>
          <w:tcPr>
            <w:tcW w:type="dxa" w:w="1440"/>
            <w:shd w:val="clear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%</w:t>
            </w:r>
          </w:p>
        </w:tc>
        <w:tc>
          <w:tcPr>
            <w:tcW w:type="dxa" w:w="1440"/>
            <w:shd w:val="clear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Mínimo</w:t>
            </w:r>
          </w:p>
        </w:tc>
        <w:tc>
          <w:tcPr>
            <w:tcW w:type="dxa" w:w="1440"/>
            <w:shd w:val="clear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Situação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I — Comprometimento da Alta Direção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154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88,5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57,5%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30%</w:t>
            </w:r>
          </w:p>
        </w:tc>
        <w:tc>
          <w:tcPr>
            <w:tcW w:type="dxa" w:w="1440"/>
            <w:shd w:val="clear" w:fill="C6EFCE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✓ atende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II — Instância Interna Responsável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108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108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100%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30%</w:t>
            </w:r>
          </w:p>
        </w:tc>
        <w:tc>
          <w:tcPr>
            <w:tcW w:type="dxa" w:w="1440"/>
            <w:shd w:val="clear" w:fill="C6EFCE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✓ atende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III — Gestão de Riscos para Integridade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78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78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100%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30%</w:t>
            </w:r>
          </w:p>
        </w:tc>
        <w:tc>
          <w:tcPr>
            <w:tcW w:type="dxa" w:w="1440"/>
            <w:shd w:val="clear" w:fill="C6EFCE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✓ atende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IV — Código de Ética e Conduta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91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73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80,2%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30%</w:t>
            </w:r>
          </w:p>
        </w:tc>
        <w:tc>
          <w:tcPr>
            <w:tcW w:type="dxa" w:w="1440"/>
            <w:shd w:val="clear" w:fill="C6EFCE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✓ atende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V — Políticas e Procedimentos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130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102,5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78,8%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30%</w:t>
            </w:r>
          </w:p>
        </w:tc>
        <w:tc>
          <w:tcPr>
            <w:tcW w:type="dxa" w:w="1440"/>
            <w:shd w:val="clear" w:fill="C6EFCE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✓ atende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VI — Treinamentos e Comunicações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118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77,5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65,7%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30%</w:t>
            </w:r>
          </w:p>
        </w:tc>
        <w:tc>
          <w:tcPr>
            <w:tcW w:type="dxa" w:w="1440"/>
            <w:shd w:val="clear" w:fill="C6EFCE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✓ atende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VII — Controles Contábeis e Auditoria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106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37,7%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30%</w:t>
            </w:r>
          </w:p>
        </w:tc>
        <w:tc>
          <w:tcPr>
            <w:tcW w:type="dxa" w:w="1440"/>
            <w:shd w:val="clear" w:fill="C6EFCE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✓ atende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VIII — Diligências de Terceiros e M&amp;A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114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81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71,1%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30%</w:t>
            </w:r>
          </w:p>
        </w:tc>
        <w:tc>
          <w:tcPr>
            <w:tcW w:type="dxa" w:w="1440"/>
            <w:shd w:val="clear" w:fill="C6EFCE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✓ atende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IX — Canais de Denúncia e Medidas Disciplinares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141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91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64,5%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30%</w:t>
            </w:r>
          </w:p>
        </w:tc>
        <w:tc>
          <w:tcPr>
            <w:tcW w:type="dxa" w:w="1440"/>
            <w:shd w:val="clear" w:fill="C6EFCE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✓ atende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X — Monitoramento do Programa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83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60,2%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30%</w:t>
            </w:r>
          </w:p>
        </w:tc>
        <w:tc>
          <w:tcPr>
            <w:tcW w:type="dxa" w:w="1440"/>
            <w:shd w:val="clear" w:fill="C6EFCE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✓ atende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XI — Responsabilidade Socioamb. e Transparência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83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42,5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51,2%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30%</w:t>
            </w:r>
          </w:p>
        </w:tc>
        <w:tc>
          <w:tcPr>
            <w:tcW w:type="dxa" w:w="1440"/>
            <w:shd w:val="clear" w:fill="C6EFCE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✓ atende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XII — Medidas de Remediação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95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67,5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71,1%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70%</w:t>
            </w:r>
          </w:p>
        </w:tc>
        <w:tc>
          <w:tcPr>
            <w:tcW w:type="dxa" w:w="1440"/>
            <w:shd w:val="clear" w:fill="C6EFCE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✓ atende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/>
                <w:sz w:val="18"/>
              </w:rPr>
              <w:t>TOTAL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/>
                <w:sz w:val="18"/>
              </w:rPr>
              <w:t>1.301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/>
                <w:sz w:val="18"/>
              </w:rPr>
              <w:t>899,5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/>
                <w:sz w:val="18"/>
              </w:rPr>
              <w:t>69,1%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45%</w:t>
            </w:r>
          </w:p>
        </w:tc>
        <w:tc>
          <w:tcPr>
            <w:tcW w:type="dxa" w:w="1440"/>
            <w:shd w:val="clear" w:fill="C6EFCE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✓ atende</w:t>
            </w:r>
          </w:p>
        </w:tc>
      </w:tr>
    </w:tbl>
    <w:p>
      <w:pPr>
        <w:spacing w:after="120"/>
      </w:pPr>
      <w:r>
        <w:rPr>
          <w:b/>
        </w:rPr>
        <w:t xml:space="preserve">3.6. </w:t>
      </w:r>
      <w:r>
        <w:rPr>
          <w:b/>
        </w:rPr>
        <w:t xml:space="preserve">Notas mínimas. </w:t>
      </w:r>
      <w:r/>
      <w:r>
        <w:t>Todas as áreas superam o mínimo de 30%; a Área XII alcança 71,1% (mínimo de 70%); e a pontuação total atinge 69,1% (899,5 de 1.301 pontos), acima do mínimo de 45% aplicável à Faixa 1.</w:t>
      </w:r>
    </w:p>
    <w:p>
      <w:pPr>
        <w:spacing w:after="120"/>
      </w:pPr>
      <w:r>
        <w:rPr>
          <w:b/>
        </w:rPr>
        <w:t xml:space="preserve">3.7. </w:t>
      </w:r>
      <w:r>
        <w:rPr>
          <w:b/>
        </w:rPr>
        <w:t>Pontos que demandaram deliberação específica.</w:t>
      </w:r>
      <w:r/>
    </w:p>
    <w:p>
      <w:r>
        <w:rPr>
          <w:b/>
        </w:rPr>
        <w:t xml:space="preserve">3.7.1. Item 17.1 — Canal de denúncias na página institucional. </w:t>
      </w:r>
      <w:r>
        <w:t>Os registros de teste comprovam canal de denúncias por formulário eletrônico na página institucional (jdseng.com.br/ouvidoria), em português, recebendo denúncias, o que supre a exigência. Verificou-se, contudo, instabilidade de acesso ao sítio (mensagens "Status do Site: Suspeito" e, em 11/08/2026, bloqueio "FortiGuard Intrusion Prevention – Access Blocked"). Diante da comprovação da existência e do funcionamento do canal, ACATA-SE a questão como atendida, com recomendação de aprimoramento (item 4.4).</w:t>
      </w:r>
    </w:p>
    <w:p>
      <w:r>
        <w:rPr>
          <w:b/>
        </w:rPr>
        <w:t xml:space="preserve">3.7.2. Item 23.1 — Manifestação institucional de integridade no sítio. </w:t>
      </w:r>
      <w:r>
        <w:t>Em visita ao sítio institucional, em 27/08/2026, verificou-se aba específica dedicada ao tema "ética e integridade", com indicação do Código de Ética e da área de ouvidoria, o que atende à exigência. Recomenda-se aprimoramento quanto à estabilidade e à atualização permanente (item 4.4).</w:t>
      </w:r>
    </w:p>
    <w:p>
      <w:r>
        <w:rPr>
          <w:b/>
        </w:rPr>
        <w:t xml:space="preserve">3.7.3. Item 24.1 — Medidas disciplinares / responsabilização. </w:t>
      </w:r>
      <w:r>
        <w:t>Considerou-se atendida a questão, à vista: (i) da sentença proferida em 31/07/2026 na Ação Penal nº 0000959-26.2017.4.01.4101, que absolveu o sócio-administrador por insuficiência de provas (art. 386, VII, do CPP) e reconheceu a prescrição quanto ao delito associativo; e (ii) do conjunto de medidas estruturais de remediação implantadas. Recomenda-se, quanto ao ponto, o suporte da área jurídica, notadamente em razão da natureza familiar da sociedade (item 4.5).</w:t>
      </w:r>
    </w:p>
    <w:p>
      <w:pPr>
        <w:spacing w:after="120"/>
      </w:pPr>
      <w:r>
        <w:rPr>
          <w:b/>
        </w:rPr>
        <w:t xml:space="preserve">3.8. </w:t>
      </w:r>
      <w:r>
        <w:rPr>
          <w:b/>
        </w:rPr>
        <w:t xml:space="preserve">Demais pontos. </w:t>
      </w:r>
      <w:r/>
      <w:r>
        <w:t>Permanecem com atendimento parcial questões que dependem de execução continuada (notadamente a realização integral do plano de treinamentos e a produção dos relatórios periódicos de monitoramento), o que não compromete o enquadramento, mas recomenda acompanhamento. O detalhamento questão a questão consta da planilha de avaliação (pontuação), que integra esta Nota.</w:t>
      </w:r>
    </w:p>
    <w:p>
      <w:pPr>
        <w:spacing w:before="200" w:after="120"/>
      </w:pPr>
      <w:r>
        <w:rPr>
          <w:b/>
          <w:color w:val="1F4E79"/>
          <w:sz w:val="24"/>
        </w:rPr>
        <w:t>4. DA CONCLUSÃO</w:t>
      </w:r>
    </w:p>
    <w:p>
      <w:pPr>
        <w:spacing w:after="120"/>
      </w:pPr>
      <w:r>
        <w:rPr>
          <w:b/>
        </w:rPr>
        <w:t xml:space="preserve">4.1. </w:t>
      </w:r>
      <w:r>
        <w:t>A reavaliação do programa de integridade da interessada, à luz da documentação complementar, indica o atendimento cumulativo dos critérios do item 5.1 da Portaria Normativa SE/CGU nº 226/2025: (i) presença dos elementos mínimos e fundamentais (QN1); (ii) nota mínima por área (todas ≥ 30%); (iii) nota mínima na Área XII (71,1% ≥ 70%); e (iv) nota total (69,1% ≥ 45%, Faixa 1).</w:t>
      </w:r>
    </w:p>
    <w:p>
      <w:pPr>
        <w:spacing w:after="120"/>
      </w:pPr>
      <w:r>
        <w:rPr>
          <w:b/>
        </w:rPr>
        <w:t xml:space="preserve">4.2. </w:t>
      </w:r>
      <w:r>
        <w:rPr>
          <w:b/>
          <w:color w:val="2E7D32"/>
        </w:rPr>
        <w:t>Considera-se, portanto, o Programa de Integridade IMPLANTADO.</w:t>
      </w:r>
      <w:r/>
    </w:p>
    <w:p>
      <w:pPr>
        <w:spacing w:after="120"/>
      </w:pPr>
      <w:r>
        <w:rPr>
          <w:b/>
        </w:rPr>
        <w:t xml:space="preserve">4.3. </w:t>
      </w:r>
      <w:r>
        <w:t>Nesses termos, opina-se pelo DEFERIMENTO do pedido de reabilitação no que concerne à avaliação do programa de integridade (superação dos motivos determinantes da punição), sem prejuízo da certificação, nos autos, das demais condições legais (reparação do dano e decurso do prazo).</w:t>
      </w:r>
    </w:p>
    <w:p>
      <w:r>
        <w:rPr>
          <w:b/>
        </w:rPr>
        <w:t>4.4. Recomendações de aprimoramento (a serem comunicadas à interessada, para acompanhamento):</w:t>
      </w:r>
    </w:p>
    <w:p>
      <w:pPr>
        <w:spacing w:after="60"/>
        <w:ind w:left="454"/>
      </w:pPr>
      <w:r>
        <w:t>a) Item 17.1 (canal de denúncias): renomear o acesso para "Canal de Denúncias" na página principal e na página do canal; renomear o formulário para "denúncias ou manifestações"; mover a denúncia por e-mail para posição inferior ao formulário; e manter o sítio institucional permanentemente disponível e estável;</w:t>
      </w:r>
    </w:p>
    <w:p>
      <w:pPr>
        <w:spacing w:after="60"/>
        <w:ind w:left="454"/>
      </w:pPr>
      <w:r>
        <w:t>b) Item 23.1 (transparência digital): aprimorar a estabilidade e a atualização permanente das informações sobre o Programa de Integridade no sítio da empresa.</w:t>
      </w:r>
    </w:p>
    <w:p>
      <w:pPr>
        <w:spacing w:after="120"/>
      </w:pPr>
      <w:r>
        <w:rPr>
          <w:b/>
        </w:rPr>
        <w:t xml:space="preserve">4.5. </w:t>
      </w:r>
      <w:r>
        <w:t>Quanto ao item 24.1 (responsabilização), sugere-se o suporte da área jurídica competente quanto à suficiência das medidas adotadas, consideradas a absolvição criminal do sócio-administrador e a natureza familiar da sociedade.</w:t>
      </w:r>
    </w:p>
    <w:p>
      <w:pPr>
        <w:spacing w:after="120"/>
      </w:pPr>
      <w:r>
        <w:rPr>
          <w:b/>
        </w:rPr>
        <w:t xml:space="preserve">4.6. </w:t>
      </w:r>
      <w:r>
        <w:t>À consideração superior.</w:t>
      </w:r>
    </w:p>
    <w:p/>
    <w:p>
      <w:r>
        <w:rPr>
          <w:sz w:val="20"/>
        </w:rPr>
        <w:t>Brasília/DF, _____ de _______________ de 2026.</w:t>
      </w:r>
    </w:p>
    <w:p>
      <w:r>
        <w:rPr>
          <w:sz w:val="20"/>
        </w:rPr>
      </w:r>
    </w:p>
    <w:p>
      <w:r>
        <w:rPr>
          <w:sz w:val="20"/>
        </w:rPr>
        <w:t>__________________________________________</w:t>
      </w:r>
    </w:p>
    <w:p>
      <w:r>
        <w:rPr>
          <w:sz w:val="20"/>
        </w:rPr>
        <w:t>[Nome do(a) Analista] — [Cargo/Unidade]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