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MATRIZ PRELIMINAR DE LITERATURA E FICHAMENTO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Mestrado Profissional em Controle da Administração Pública — Processo Seletivo 1/2026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Linha de atuação: </w:t>
      </w:r>
      <w:r>
        <w:rPr>
          <w:rFonts w:ascii="Calibri" w:cs="Calibri" w:eastAsia="Calibri" w:hAnsi="Calibri"/>
          <w:sz w:val="22"/>
          <w:szCs w:val="22"/>
        </w:rPr>
        <w:t xml:space="preserve">Linha 2 — Tecnologias para Inovação do Controle e da Gestão Pública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Projeto: </w:t>
      </w:r>
      <w:r>
        <w:rPr>
          <w:rFonts w:ascii="Calibri" w:cs="Calibri" w:eastAsia="Calibri" w:hAnsi="Calibri"/>
          <w:sz w:val="22"/>
          <w:szCs w:val="22"/>
        </w:rPr>
        <w:t xml:space="preserve">Framework de Auditoria Preventiva Baseado em Inteligência Artificial para Detecção de Assimetria de Informação em Anteprojetos de Grandes Obras Públicas: Especificação e Validação no Contexto das Contratações Integradas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Autor: </w:t>
      </w:r>
      <w:r>
        <w:rPr>
          <w:rFonts w:ascii="Calibri" w:cs="Calibri" w:eastAsia="Calibri" w:hAnsi="Calibri"/>
          <w:sz w:val="22"/>
          <w:szCs w:val="22"/>
        </w:rPr>
        <w:t xml:space="preserve">José de Castro Barreto Junior (CGU)</w:t>
      </w:r>
    </w:p>
    <w:p>
      <w:pPr>
        <w:pBdr>
          <w:bottom w:val="single" w:color="9AA5B5" w:sz="6" w:space="1"/>
        </w:pBd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4A7A"/>
          <w:sz w:val="26"/>
          <w:szCs w:val="26"/>
        </w:rPr>
        <w:t xml:space="preserve">Nota metodológica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cinco fontes foram selecionadas para cobrir, de forma equilibrada, os quatro pilares teórico-metodológicos do projeto: (i) o fenômeno-problema — a assimetria de informação e a seleção adversa (Akerlof, 1970; Nóbrega e Jurubeba, 2020); (ii) a ponte com o Direito das licitações brasileiro (Nóbrega e Jurubeba, 2020); (iii) o método de construção do artefato — a Design Science Research (Hevner et al., 2004); e (iv) o domínio de aplicação da IA no setor público e o estado da arte da detecção de irregularidades em contratações (Wirtz, Weyerer e Geyer, 2019; dos Santos et al., 2025). Priorizaram-se obras seminais, uma fonte nacional que conecta a teoria ao objeto jurídico e uma revisão empírica recente (2025) que evidencia lacunas do estado da arte ocupadas pela pesquisa.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Parte 1 — Matriz preliminar de literatura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4A7A"/>
          <w:sz w:val="26"/>
          <w:szCs w:val="26"/>
        </w:rPr>
        <w:t xml:space="preserve">1.1 Visão comparativa (matriz)</w:t>
      </w:r>
    </w:p>
    <w:p>
      <w:pPr>
        <w:spacing w:after="4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 tabela a seguir é apresentada em orientação paisagem para melhor legibilidade.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Quadro 1 — Matriz preliminar de literatura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1600"/>
        <w:gridCol w:w="2600"/>
        <w:gridCol w:w="2298"/>
        <w:gridCol w:w="2600"/>
      </w:tblGrid>
      <w:tr>
        <w:trPr>
          <w:tblHeader/>
        </w:trPr>
        <w:tc>
          <w:tcPr>
            <w:tcW w:type="dxa" w:w="2100"/>
            <w:shd w:fill="D6DCE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Fonte</w:t>
            </w:r>
          </w:p>
        </w:tc>
        <w:tc>
          <w:tcPr>
            <w:tcW w:type="dxa" w:w="2100"/>
            <w:shd w:fill="D6DCE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Pergunta / Objetivo</w:t>
            </w:r>
          </w:p>
        </w:tc>
        <w:tc>
          <w:tcPr>
            <w:tcW w:type="dxa" w:w="2100"/>
            <w:shd w:fill="D6DCE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Base teórica / conceitos</w:t>
            </w:r>
          </w:p>
        </w:tc>
        <w:tc>
          <w:tcPr>
            <w:tcW w:type="dxa" w:w="1600"/>
            <w:shd w:fill="D6DCE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2600"/>
            <w:shd w:fill="D6DCE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Achados principais</w:t>
            </w:r>
          </w:p>
        </w:tc>
        <w:tc>
          <w:tcPr>
            <w:tcW w:type="dxa" w:w="2298"/>
            <w:shd w:fill="D6DCE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Limitações</w:t>
            </w:r>
          </w:p>
        </w:tc>
        <w:tc>
          <w:tcPr>
            <w:tcW w:type="dxa" w:w="2600"/>
            <w:shd w:fill="D6DCE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Contribuição para o projeto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Akerlof (1970) — The Market for "Lemons"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Como a incerteza sobre a qualidade afeta o funcionamento dos mercados?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Economia da informação; seleção adversa; qualidade e incerteza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Modelagem teórico-econômica (analítico-dedutiva)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informação privada do vendedor faz o produto ruim expulsar o bom, reduzindo preço/volume e podendo colapsar o mercado</w:t>
            </w:r>
          </w:p>
        </w:tc>
        <w:tc>
          <w:tcPr>
            <w:tcW w:type="dxa" w:w="22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Modelo abstrato; trata seleção adversa (não risco moral); sem aplicação à contratação pública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Alicerce teórico do problema: o anteprojeto deficiente é o "limão"; justifica mecanismos de revelação de informação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Nóbrega e Jurubeba (2020) — Assimetrias de informação na nova lei de licitações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Como a assimetria/seleção adversa se manifesta na Lei 14.133/2021 e como signaling/screening podem mitigá-la?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Economia da informação (Akerlof, Spence, Stiglitz); signaling e screening; Análise Econômica do Direito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Ensaio teórico-jurídico/doutrinário (qualitativo); análise normativa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Critérios de habilitação são insuficientes para revelar a qualidade dos licitantes; a Nova Lei avançou apenas timidamente em regras de revelação</w:t>
            </w:r>
          </w:p>
        </w:tc>
        <w:tc>
          <w:tcPr>
            <w:tcW w:type="dxa" w:w="22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Ensaio sem validação empírica; foco na habilitação, não no anteprojeto; não trata de IA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Traduz a teoria para o Direito brasileiro das licitações; fornece o vocabulário (signaling/screening/seleção adversa) e reforça a atuação ex ante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Hevner et al. (2004) — Design Science in IS Research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Como conduzir e avaliar pesquisa rigorosa e relevante orientada a artefatos?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Design Science; ciclos de rigor e relevância; tipos de artefato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Ensaio conceitual/metodológico; framework e 7 diretrizes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Sete diretrizes da DSR equilibrando rigor e relevância e exigindo avaliação sistemática do artefato</w:t>
            </w:r>
          </w:p>
        </w:tc>
        <w:tc>
          <w:tcPr>
            <w:tcW w:type="dxa" w:w="22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Diretrizes genéricas; origem em SI corporativos; avaliação nem sempre trivial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Alicerce metodológico: estrutura as 4 fases do projeto e o critério de avaliação (estudo de casos, triangulação, entrevistas)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Wirtz, Weyerer e Geyer (2019) — AI and the Public Sector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Quais as aplicações e os desafios da IA no setor público?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Governo digital; taxonomias de IA; governança tecnológica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Revisão integrativa/conceitual da literatura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 áreas de aplicação; desafios técnicos, jurídicos, éticos e sociais; lacuna entre potencial e adoção</w:t>
            </w:r>
          </w:p>
        </w:tc>
        <w:tc>
          <w:tcPr>
            <w:tcW w:type="dxa" w:w="22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Conceitual, sem validação empírica; anterior aos LLMs; não setorizado para obras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Situa o framework na IA no setor público e fornece a moldura de desafios (ética, explicabilidade, robustez), convergente com a OCDE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dos Santos et al. (2025) — Fraud detection in public procurement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Como métodos data-driven vêm sendo aplicados à detecção de fraude em contratações?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Ciência de dados; machine learning; indicadores de risco (red flags); análise de redes; PLN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Mapeamento sistemático (6.000+ triados; 93 selecionados)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Predomínio de ML para conluio e estatística para favoritismo; poucos chegam a sistemas reais</w:t>
            </w:r>
          </w:p>
        </w:tc>
        <w:tc>
          <w:tcPr>
            <w:tcW w:type="dxa" w:w="22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Foco reativo (fraude ex post); PLN de documentos técnicos subexplorado; escassez de datasets públicos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Evidencia o estado da arte e as lacunas (prevenção, PLN de documentos de engenharia, aplicação real) que o projeto ocupa</w:t>
            </w:r>
          </w:p>
        </w:tc>
      </w:tr>
    </w:tbl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4A7A"/>
          <w:sz w:val="26"/>
          <w:szCs w:val="26"/>
        </w:rPr>
        <w:t xml:space="preserve">1.2 Detalhamento por fonte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E4A7A"/>
          <w:sz w:val="23"/>
          <w:szCs w:val="23"/>
        </w:rPr>
        <w:t xml:space="preserve">Fonte 1 — AKERLOF, George A. (1970)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Pergunta/objetivo: </w:t>
      </w:r>
      <w:r>
        <w:rPr>
          <w:rFonts w:ascii="Calibri" w:cs="Calibri" w:eastAsia="Calibri" w:hAnsi="Calibri"/>
          <w:sz w:val="22"/>
          <w:szCs w:val="22"/>
        </w:rPr>
        <w:t xml:space="preserve">demonstrar como a incerteza quanto à qualidade dos bens — decorrente da assimetria de informação entre vendedor e comprador — afeta o funcionamento e a própria existência dos mercados.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teórica/conceitos: </w:t>
      </w:r>
      <w:r>
        <w:rPr>
          <w:rFonts w:ascii="Calibri" w:cs="Calibri" w:eastAsia="Calibri" w:hAnsi="Calibri"/>
          <w:sz w:val="22"/>
          <w:szCs w:val="22"/>
        </w:rPr>
        <w:t xml:space="preserve">economia da informação; seleção adversa (adverse selection); relação qualidade–incerteza; papel das instituições (garantias, marcas, certificações, licenciamento). Utiliza o mercado de carros usados (os "lemons") como modelo, com extensões para seguros, crédito e mercados de trabalho.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Método: </w:t>
      </w:r>
      <w:r>
        <w:rPr>
          <w:rFonts w:ascii="Calibri" w:cs="Calibri" w:eastAsia="Calibri" w:hAnsi="Calibri"/>
          <w:sz w:val="22"/>
          <w:szCs w:val="22"/>
        </w:rPr>
        <w:t xml:space="preserve">modelagem teórico-econômica de caráter analítico-dedutivo; construção de modelo formal ilustrado por exemplos.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Achados principais: </w:t>
      </w:r>
      <w:r>
        <w:rPr>
          <w:rFonts w:ascii="Calibri" w:cs="Calibri" w:eastAsia="Calibri" w:hAnsi="Calibri"/>
          <w:sz w:val="22"/>
          <w:szCs w:val="22"/>
        </w:rPr>
        <w:t xml:space="preserve">quando o vendedor detém informação privada sobre a qualidade, os produtos de má qualidade tendem a expulsar os bons do mercado; a assimetria reduz preço e volume e pode inviabilizar o mercado; instituições e mecanismos de sinalização emergem para mitigar o problema.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Limitações: </w:t>
      </w:r>
      <w:r>
        <w:rPr>
          <w:rFonts w:ascii="Calibri" w:cs="Calibri" w:eastAsia="Calibri" w:hAnsi="Calibri"/>
          <w:sz w:val="22"/>
          <w:szCs w:val="22"/>
        </w:rPr>
        <w:t xml:space="preserve">modelo abstrato e estilizado; concentra-se na seleção adversa (não modela risco moral nem contratos incompletos de longo prazo); não trata de contratação pública nem de análise de documentos técnicos; sem validação empírica no próprio artigo.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Contribuição para o projeto: </w:t>
      </w:r>
      <w:r>
        <w:rPr>
          <w:rFonts w:ascii="Calibri" w:cs="Calibri" w:eastAsia="Calibri" w:hAnsi="Calibri"/>
          <w:sz w:val="22"/>
          <w:szCs w:val="22"/>
        </w:rPr>
        <w:t xml:space="preserve">fornece o fundamento conceitual do fenômeno que a pesquisa combate. Nas contratações integradas, o anteprojeto com lacunas técnicas equivale ao "limão": o Estado transaciona sob informação incompleta, e o particular, detentor do conhecimento de projeto, explora a assimetria. Justifica a necessidade de mecanismos de revelação/verificação de informação na fase pré-licitatória — precisamente o que o framework de IA operacionaliza.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E4A7A"/>
          <w:sz w:val="23"/>
          <w:szCs w:val="23"/>
        </w:rPr>
        <w:t xml:space="preserve">Fonte 2 — NÓBREGA, Marcos; JURUBEBA, Diego Franco de Araújo (2020)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Pergunta/objetivo: </w:t>
      </w:r>
      <w:r>
        <w:rPr>
          <w:rFonts w:ascii="Calibri" w:cs="Calibri" w:eastAsia="Calibri" w:hAnsi="Calibri"/>
          <w:sz w:val="22"/>
          <w:szCs w:val="22"/>
        </w:rPr>
        <w:t xml:space="preserve">analisar como a assimetria de informação e a seleção adversa se manifestam na Nova Lei de Licitações (Lei 14.133/2021), examinando dispositivos de habilitação e a possibilidade de empregar mecanismos de signaling e screening para mitigar a assimetria entre a Administração e os licitantes.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teórica/conceitos: </w:t>
      </w:r>
      <w:r>
        <w:rPr>
          <w:rFonts w:ascii="Calibri" w:cs="Calibri" w:eastAsia="Calibri" w:hAnsi="Calibri"/>
          <w:sz w:val="22"/>
          <w:szCs w:val="22"/>
        </w:rPr>
        <w:t xml:space="preserve">economia da informação (Akerlof, Spence, Stiglitz/Rothschild); seleção adversa; sinalização (signaling) e filtragem (screening); a licitação como mecanismo de revelação de informação; conhecimento disperso (Hayek); Análise Econômica do Direito.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Método: </w:t>
      </w:r>
      <w:r>
        <w:rPr>
          <w:rFonts w:ascii="Calibri" w:cs="Calibri" w:eastAsia="Calibri" w:hAnsi="Calibri"/>
          <w:sz w:val="22"/>
          <w:szCs w:val="22"/>
        </w:rPr>
        <w:t xml:space="preserve">ensaio teórico-jurídico/doutrinário, de abordagem qualitativa; revisão de literatura combinada com análise normativa dos dispositivos legais sob a ótica da análise econômica do direito.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Achados principais: </w:t>
      </w:r>
      <w:r>
        <w:rPr>
          <w:rFonts w:ascii="Calibri" w:cs="Calibri" w:eastAsia="Calibri" w:hAnsi="Calibri"/>
          <w:sz w:val="22"/>
          <w:szCs w:val="22"/>
        </w:rPr>
        <w:t xml:space="preserve">os critérios tradicionais de habilitação (Lei 8.666/93 e correlatas) são insuficientes para revelar as verdadeiras qualidades dos licitantes, mantendo "anuviada" informação relevante (governança, capacidade administrativa, qualidade da execução); a Nova Lei perdeu grande oportunidade de avançar em regras de revelação, embora contenha, de forma tímida, mecanismos de signaling e rating bem-vindos.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Limitações: </w:t>
      </w:r>
      <w:r>
        <w:rPr>
          <w:rFonts w:ascii="Calibri" w:cs="Calibri" w:eastAsia="Calibri" w:hAnsi="Calibri"/>
          <w:sz w:val="22"/>
          <w:szCs w:val="22"/>
        </w:rPr>
        <w:t xml:space="preserve">ensaio doutrinário sem validação empírica; foco na fase de habilitação, sem tratar do anteprojeto de engenharia nem do regime de contratação integrada; não considera soluções tecnológicas/IA; transposição simplificada dos modelos econômicos para o Direito.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Contribuição para o projeto: </w:t>
      </w:r>
      <w:r>
        <w:rPr>
          <w:rFonts w:ascii="Calibri" w:cs="Calibri" w:eastAsia="Calibri" w:hAnsi="Calibri"/>
          <w:sz w:val="22"/>
          <w:szCs w:val="22"/>
        </w:rPr>
        <w:t xml:space="preserve">constrói a ponte direta entre a teoria econômica da informação e o Direito brasileiro das licitações, oferecendo o arcabouço conceitual que o projeto adota e estende da habilitação para o anteprojeto. Reforça a tese de que a mitigação da assimetria deve ocorrer ex ante, no desenho do certame — o momento pré-licitatório em que o framework atua. (Fonte selecionada para o fichamento.)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E4A7A"/>
          <w:sz w:val="23"/>
          <w:szCs w:val="23"/>
        </w:rPr>
        <w:t xml:space="preserve">Fonte 3 — HEVNER, Alan R.; MARCH, Salvatore T.; PARK, Jinsoo; RAM, Sudha (2004)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Pergunta/objetivo: </w:t>
      </w:r>
      <w:r>
        <w:rPr>
          <w:rFonts w:ascii="Calibri" w:cs="Calibri" w:eastAsia="Calibri" w:hAnsi="Calibri"/>
          <w:sz w:val="22"/>
          <w:szCs w:val="22"/>
        </w:rPr>
        <w:t xml:space="preserve">estabelecer um arcabouço conceitual e diretrizes para conduzir e avaliar pesquisa em Sistemas de Informação orientada à criação de artefatos, conciliando rigor científico e relevância prática.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teórica/conceitos: </w:t>
      </w:r>
      <w:r>
        <w:rPr>
          <w:rFonts w:ascii="Calibri" w:cs="Calibri" w:eastAsia="Calibri" w:hAnsi="Calibri"/>
          <w:sz w:val="22"/>
          <w:szCs w:val="22"/>
        </w:rPr>
        <w:t xml:space="preserve">ciências do artificial (Simon); contraste entre os paradigmas behavioral science e design science; ciclos de rigor e relevância; tipologia de artefatos (constructs, models, methods, instantiations).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Método: </w:t>
      </w:r>
      <w:r>
        <w:rPr>
          <w:rFonts w:ascii="Calibri" w:cs="Calibri" w:eastAsia="Calibri" w:hAnsi="Calibri"/>
          <w:sz w:val="22"/>
          <w:szCs w:val="22"/>
        </w:rPr>
        <w:t xml:space="preserve">ensaio conceitual/metodológico; proposição de um framework conceitual e de sete diretrizes para a Design Science Research (DSR).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Achados principais: </w:t>
      </w:r>
      <w:r>
        <w:rPr>
          <w:rFonts w:ascii="Calibri" w:cs="Calibri" w:eastAsia="Calibri" w:hAnsi="Calibri"/>
          <w:sz w:val="22"/>
          <w:szCs w:val="22"/>
        </w:rPr>
        <w:t xml:space="preserve">as sete diretrizes — design como artefato, relevância do problema, avaliação do design, contribuições de pesquisa, rigor, design como processo de busca e comunicação — orientam a produção e a avaliação sistemática do artefato, equilibrando rigor e relevância.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Limitações: </w:t>
      </w:r>
      <w:r>
        <w:rPr>
          <w:rFonts w:ascii="Calibri" w:cs="Calibri" w:eastAsia="Calibri" w:hAnsi="Calibri"/>
          <w:sz w:val="22"/>
          <w:szCs w:val="22"/>
        </w:rPr>
        <w:t xml:space="preserve">diretrizes genéricas e não prescritivas quanto a técnicas específicas; concebidas para SI corporativos, exigindo adaptação ao setor público; a exigência de avaliação rigorosa nem sempre é facilmente satisfeita em contextos organizacionais reais.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Contribuição para o projeto: </w:t>
      </w:r>
      <w:r>
        <w:rPr>
          <w:rFonts w:ascii="Calibri" w:cs="Calibri" w:eastAsia="Calibri" w:hAnsi="Calibri"/>
          <w:sz w:val="22"/>
          <w:szCs w:val="22"/>
        </w:rPr>
        <w:t xml:space="preserve">é o alicerce metodológico da pesquisa, que produz um artefato (o framework). As diretrizes estruturam as quatro fases do projeto (identificação do problema → modelagem/especificação → desenvolvimento demonstrativo → avaliação) e fundamentam o critério de avaliação por estudo de casos com triangulação e entrevistas, além de legitimar o mestrado profissional orientado à solução.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E4A7A"/>
          <w:sz w:val="23"/>
          <w:szCs w:val="23"/>
        </w:rPr>
        <w:t xml:space="preserve">Fonte 4 — WIRTZ, Bernd W.; WEYERER, Jan C.; GEYER, Carolin (2019)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Pergunta/objetivo: </w:t>
      </w:r>
      <w:r>
        <w:rPr>
          <w:rFonts w:ascii="Calibri" w:cs="Calibri" w:eastAsia="Calibri" w:hAnsi="Calibri"/>
          <w:sz w:val="22"/>
          <w:szCs w:val="22"/>
        </w:rPr>
        <w:t xml:space="preserve">oferecer uma visão integrativa das principais aplicações da Inteligência Artificial no setor público e dos desafios a elas associados.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teórica/conceitos: </w:t>
      </w:r>
      <w:r>
        <w:rPr>
          <w:rFonts w:ascii="Calibri" w:cs="Calibri" w:eastAsia="Calibri" w:hAnsi="Calibri"/>
          <w:sz w:val="22"/>
          <w:szCs w:val="22"/>
        </w:rPr>
        <w:t xml:space="preserve">governo digital/e-government; taxonomias de aplicação de IA; governança de tecnologia; abordagem conceitual-integrativa da literatura.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Método: </w:t>
      </w:r>
      <w:r>
        <w:rPr>
          <w:rFonts w:ascii="Calibri" w:cs="Calibri" w:eastAsia="Calibri" w:hAnsi="Calibri"/>
          <w:sz w:val="22"/>
          <w:szCs w:val="22"/>
        </w:rPr>
        <w:t xml:space="preserve">revisão integrativa/conceitual da literatura científica, com síntese qualitativa; proposição de dez áreas de aplicação de IA no setor público e mapeamento dos desafios (tecnologia/implementação, direito/regulação, ética e sociedade).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Achados principais: </w:t>
      </w:r>
      <w:r>
        <w:rPr>
          <w:rFonts w:ascii="Calibri" w:cs="Calibri" w:eastAsia="Calibri" w:hAnsi="Calibri"/>
          <w:sz w:val="22"/>
          <w:szCs w:val="22"/>
        </w:rPr>
        <w:t xml:space="preserve">a IA tem amplo potencial em funções públicas, inclusive de fiscalização e detecção; persiste lacuna entre potencial e adoção; os desafios não são apenas técnicos, mas também jurídicos, éticos (transparência, explicabilidade, viés) e sociais, exigindo governança responsável.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Limitações: </w:t>
      </w:r>
      <w:r>
        <w:rPr>
          <w:rFonts w:ascii="Calibri" w:cs="Calibri" w:eastAsia="Calibri" w:hAnsi="Calibri"/>
          <w:sz w:val="22"/>
          <w:szCs w:val="22"/>
        </w:rPr>
        <w:t xml:space="preserve">estudo conceitual, sem validação empírica; caráter genérico (não setorizado para auditoria de obras); baseia-se em literatura anterior a 2018, precedendo os avanços recentes de PLN (grandes modelos de linguagem); perspectiva internacional, não brasileira.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Contribuição para o projeto: </w:t>
      </w:r>
      <w:r>
        <w:rPr>
          <w:rFonts w:ascii="Calibri" w:cs="Calibri" w:eastAsia="Calibri" w:hAnsi="Calibri"/>
          <w:sz w:val="22"/>
          <w:szCs w:val="22"/>
        </w:rPr>
        <w:t xml:space="preserve">situa o framework no campo consolidado da IA no setor público e fornece a moldura de desafios (ética, explicabilidade, robustez) que dialoga com os princípios da OCDE citados no projeto. Reforça que a inovação no controle exige o tratamento de aspectos de governança, e não apenas de viabilidade técnica, sustentando a aderência à Linha 2.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E4A7A"/>
          <w:sz w:val="23"/>
          <w:szCs w:val="23"/>
        </w:rPr>
        <w:t xml:space="preserve">Fonte 5 — dos SANTOS, Everton S.; dos SANTOS, Matheus M.; CASTRO, Márcio; CARVALHO, Jônata T. (2025)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Pergunta/objetivo: </w:t>
      </w:r>
      <w:r>
        <w:rPr>
          <w:rFonts w:ascii="Calibri" w:cs="Calibri" w:eastAsia="Calibri" w:hAnsi="Calibri"/>
          <w:sz w:val="22"/>
          <w:szCs w:val="22"/>
        </w:rPr>
        <w:t xml:space="preserve">mapear sistematicamente como métodos data-driven (aprendizado de máquina, estatística, análise de redes e PLN) vêm sendo aplicados à detecção de fraude e irregularidades em contratações públicas.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teórica/conceitos: </w:t>
      </w:r>
      <w:r>
        <w:rPr>
          <w:rFonts w:ascii="Calibri" w:cs="Calibri" w:eastAsia="Calibri" w:hAnsi="Calibri"/>
          <w:sz w:val="22"/>
          <w:szCs w:val="22"/>
        </w:rPr>
        <w:t xml:space="preserve">ciência de dados aplicada ao controle; aprendizado de máquina; indicadores de risco de corrupção (Corruption Risk Indicators)/red flags; análise de redes; processamento de linguagem natural.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Método: </w:t>
      </w:r>
      <w:r>
        <w:rPr>
          <w:rFonts w:ascii="Calibri" w:cs="Calibri" w:eastAsia="Calibri" w:hAnsi="Calibri"/>
          <w:sz w:val="22"/>
          <w:szCs w:val="22"/>
        </w:rPr>
        <w:t xml:space="preserve">mapeamento sistemático da literatura (systematic mapping study), com triagem de mais de 6.000 trabalhos e seleção final de 93, categorizados por tipo de fraude, técnica e fonte de dados.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Achados principais: </w:t>
      </w:r>
      <w:r>
        <w:rPr>
          <w:rFonts w:ascii="Calibri" w:cs="Calibri" w:eastAsia="Calibri" w:hAnsi="Calibri"/>
          <w:sz w:val="22"/>
          <w:szCs w:val="22"/>
        </w:rPr>
        <w:t xml:space="preserve">a maioria dos trabalhos emprega machine learning para detectar conluio e análise estatística para favoritismo; predominam abordagens baseadas em red flags; o uso de PLN sobre dados textuais ainda é pouco explorado; poucas soluções chegam a sistemas reais.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Limitações: </w:t>
      </w:r>
      <w:r>
        <w:rPr>
          <w:rFonts w:ascii="Calibri" w:cs="Calibri" w:eastAsia="Calibri" w:hAnsi="Calibri"/>
          <w:sz w:val="22"/>
          <w:szCs w:val="22"/>
        </w:rPr>
        <w:t xml:space="preserve">foco predominantemente reativo (detecção de fraude ex post); escassez de aplicação em sistemas reais para descobrir novos casos; falta de datasets públicos, dificultando a replicação e disseminação das metodologias.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Contribuição para o projeto: </w:t>
      </w:r>
      <w:r>
        <w:rPr>
          <w:rFonts w:ascii="Calibri" w:cs="Calibri" w:eastAsia="Calibri" w:hAnsi="Calibri"/>
          <w:sz w:val="22"/>
          <w:szCs w:val="22"/>
        </w:rPr>
        <w:t xml:space="preserve">evidência empírica e atualizada que fundamenta e diferencia a pesquisa. Confirma a viabilidade e a tendência do uso de métodos data-driven no controle; e identifica lacunas — foco preventivo, análise textual (PLN) de documentos técnicos e aplicação em casos reais — que o framework ocupa de forma original, ao atuar na fase pré-licitatória sobre anteprojetos, com cruzamento SINAPI/SICRO. Reforça a exigência de validação em casos reais, alinhada ao DSR.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Parte 2 — Fichamento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4A7A"/>
          <w:sz w:val="26"/>
          <w:szCs w:val="26"/>
        </w:rPr>
        <w:t xml:space="preserve">2.1 Referência completa da obra fichada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NÓBREGA, Marcos; JURUBEBA, Diego Franco de Araújo.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Assimetrias de informação na nova Lei de Licitações e o problema da seleção adversa.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Revista Brasileira de Direito Público – RBDP</w:t>
      </w:r>
      <w:r>
        <w:rPr>
          <w:rFonts w:ascii="Calibri" w:cs="Calibri" w:eastAsia="Calibri" w:hAnsi="Calibri"/>
          <w:sz w:val="22"/>
          <w:szCs w:val="22"/>
        </w:rPr>
        <w:t xml:space="preserve">, Belo Horizonte, ano 18, n. 69, p. 9-32, abr./jun. 2020. (Versão atualizada em ago. 2021, disponível em: licitacaoecontrato.com.br.)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4A7A"/>
          <w:sz w:val="26"/>
          <w:szCs w:val="26"/>
        </w:rPr>
        <w:t xml:space="preserve">2.2 Síntese das principais ideias, argumentos e achados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artigo aplica o instrumental da Análise Econômica do Direito ao regime das contratações públicas, tomando como marco a edição da Nova Lei de Licitações (Lei 14.133/2021). A tese central é que o estudo jurídico das licitações no Brasil, tradicionalmente confinado à análise descritiva das normas, precisa avançar para explicar, prever e compreender o comportamento dos atores envolvidos no certame — e que a economia da informação oferece as ferramentas para isso.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autores partem da noção de assimetria de informação: a distribuição desigual de conhecimento entre as partes de uma transação. Recuperam os fundamentos seminais da teoria — o problema dos "limões" de Akerlof, a sinalização de Spence e a filtragem de Stiglitz/Rothschild — e o argumento de Hayek sobre o conhecimento disperso. A partir daí, sustentam que a licitação deve ser entendida como um mecanismo de revelação de informação: seu desenho institucional determina quanta informação relevante sobre os licitantes se torna observável pela Administração.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argumento aplicado é que os critérios de habilitação vigentes (herdados da Lei 8.666/93 e da legislação correlata) são insuficientes para revelar as verdadeiras qualidades dos licitantes. Requisitos como regularidade fiscal ou qualificação técnica capturam pouco; aspectos decisivos — governança corporativa, capacidade administrativa, qualidade e quantidade efetivas na execução — permanecem "anuviados pelo manto da assimetria informacional". Disso decorre risco de seleção adversa: na ausência de bons sinais, o licitante de pior qualidade pode prevalecer.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principal achado crítico-normativo é que a Nova Lei de Licitações perdeu uma oportunidade relevante de avançar em regras de revelação de informação e de redução de assimetrias, ainda que contenha, de forma tímida, dispositivos de signaling e rating que representam avanços bem-vindos. A conclusão adverte contra a leitura do novo marco pelas lentes de um "retrovisor jurisprudencial" e da doutrina tradicional, defendendo a incorporação de mecanismos econômicos de desenho de incentivos.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4A7A"/>
          <w:sz w:val="26"/>
          <w:szCs w:val="26"/>
        </w:rPr>
        <w:t xml:space="preserve">2.3 Análise crítica (pontos fortes e limitações)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Pontos fortes. </w:t>
      </w:r>
      <w:r>
        <w:rPr>
          <w:rFonts w:ascii="Calibri" w:cs="Calibri" w:eastAsia="Calibri" w:hAnsi="Calibri"/>
          <w:sz w:val="22"/>
          <w:szCs w:val="22"/>
        </w:rPr>
        <w:t xml:space="preserve">(i) Rigor teórico e interdisciplinaridade: mobiliza com precisão autores centrais da economia da informação e os articula ao Direito das licitações, o que é raro na doutrina nacional. (ii) Relevância e atualidade: trata do marco legal em vigor (Lei 14.133/2021), com implicações diretas para a prática do controle. (iii) Poder explicativo: ao enquadrar a licitação como mecanismo de revelação, desloca o foco da mera legalidade formal para os incentivos e o comportamento estratégico dos atores. (iv) Clareza conceitual: distingue com didatismo seleção adversa, signaling e screening.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Limitações. </w:t>
      </w:r>
      <w:r>
        <w:rPr>
          <w:rFonts w:ascii="Calibri" w:cs="Calibri" w:eastAsia="Calibri" w:hAnsi="Calibri"/>
          <w:sz w:val="22"/>
          <w:szCs w:val="22"/>
        </w:rPr>
        <w:t xml:space="preserve">(i) Ausência de validação empírica: é ensaio doutrinário, sem dados ou casos que dimensionem a magnitude do problema no Brasil. (ii) Recorte na habilitação: concentra-se na qualificação dos licitantes, não abordando o anteprojeto de engenharia nem, especificamente, o regime de contratação integrada — em que a assimetria é ainda mais aguda, pois o particular elabora os projetos básico e executivo. (iii) Silêncio quanto a soluções tecnológicas: diagnostica o problema e sugere mecanismos jurídico-econômicos, mas não explora instrumentos de IA/PLN para operacionalizar a revelação de informação. (iv) Transposição simplificada: a aplicação dos modelos econômicos ao Direito é, por vezes, mais ilustrativa do que formal.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4A7A"/>
          <w:sz w:val="26"/>
          <w:szCs w:val="26"/>
        </w:rPr>
        <w:t xml:space="preserve">2.4 Conexão com o projeto de pesquisa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artigo é base conceitual direta do projeto e, ao mesmo tempo, delimita com clareza o espaço de contribuição original da dissertação. A conexão se dá em quatro planos: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Fundamentação do problema. </w:t>
      </w:r>
      <w:r>
        <w:rPr>
          <w:rFonts w:ascii="Calibri" w:cs="Calibri" w:eastAsia="Calibri" w:hAnsi="Calibri"/>
          <w:sz w:val="22"/>
          <w:szCs w:val="22"/>
        </w:rPr>
        <w:t xml:space="preserve">os autores confirmam, no plano jurídico-econômico nacional, a hipótese que sustenta a pesquisa: a licitação brasileira convive com assimetria de informação estrutural e risco de seleção adversa. O projeto transpõe esse diagnóstico da fase de habilitação para o anteprojeto de engenharia, onde a assimetria — reconhecida pelo TCU no Acórdão 686/2026-Plenário — se materializa em lacunas técnicas (ausência de sondagens, falhas de dimensionamento, inconformidade com SINAPI/SICRO).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Vocabulário e moldura teórica. </w:t>
      </w:r>
      <w:r>
        <w:rPr>
          <w:rFonts w:ascii="Calibri" w:cs="Calibri" w:eastAsia="Calibri" w:hAnsi="Calibri"/>
          <w:sz w:val="22"/>
          <w:szCs w:val="22"/>
        </w:rPr>
        <w:t xml:space="preserve">o projeto adota os conceitos de signaling, screening e seleção adversa aqui sistematizados, integrando-os à teoria da agência e dos custos de transação (Williamson) que compõem seu referencial.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Ocupação da lacuna. </w:t>
      </w:r>
      <w:r>
        <w:rPr>
          <w:rFonts w:ascii="Calibri" w:cs="Calibri" w:eastAsia="Calibri" w:hAnsi="Calibri"/>
          <w:sz w:val="22"/>
          <w:szCs w:val="22"/>
        </w:rPr>
        <w:t xml:space="preserve">as três principais limitações do artigo — ausência de validação empírica, silêncio sobre o anteprojeto/contratação integrada e sobre soluções tecnológicas — correspondem ao objeto do projeto: um framework de IA (PLN + cruzamento referencial) que operacionaliza a revelação de informação ex ante, validado em editais reais de contratação integrada.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Deslocamento do momento de intervenção. </w:t>
      </w:r>
      <w:r>
        <w:rPr>
          <w:rFonts w:ascii="Calibri" w:cs="Calibri" w:eastAsia="Calibri" w:hAnsi="Calibri"/>
          <w:sz w:val="22"/>
          <w:szCs w:val="22"/>
        </w:rPr>
        <w:t xml:space="preserve">o artigo defende a mitigação da assimetria no desenho do certame; o projeto concretiza a intervenção na etapa pré-licitatória, único momento em que a correção é viável sem configurar o periculum in mora reverso documentado pelo TCU. A pesquisa avança do plano normativo (o que a lei deveria prever) para o plano instrumental (como o controle pode detectar e mitigar a assimetria na prática).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Referências</w:t>
      </w:r>
    </w:p>
    <w:p>
      <w:pPr>
        <w:spacing w:after="120" w:line="276"/>
        <w:ind w:left="340" w:hanging="340"/>
      </w:pPr>
      <w:r>
        <w:rPr>
          <w:rFonts w:ascii="Calibri" w:cs="Calibri" w:eastAsia="Calibri" w:hAnsi="Calibri"/>
          <w:sz w:val="22"/>
          <w:szCs w:val="22"/>
        </w:rPr>
        <w:t xml:space="preserve">AKERLOF, George A. The market for "lemons": quality uncertainty and the market mechanism. The Quarterly Journal of Economics, Cambridge, v. 84, n. 3, p. 488-500, 1970.</w:t>
      </w:r>
    </w:p>
    <w:p>
      <w:pPr>
        <w:spacing w:after="120" w:line="276"/>
        <w:ind w:left="340" w:hanging="340"/>
      </w:pPr>
      <w:r>
        <w:rPr>
          <w:rFonts w:ascii="Calibri" w:cs="Calibri" w:eastAsia="Calibri" w:hAnsi="Calibri"/>
          <w:sz w:val="22"/>
          <w:szCs w:val="22"/>
        </w:rPr>
        <w:t xml:space="preserve">DOS SANTOS, Everton Schneider; DOS SANTOS, Matheus Machado; CASTRO, Márcio; CARVALHO, Jônata Tyska. Detection of fraud in public procurement using data-driven methods: a systematic mapping study. EPJ Data Science, v. 14, art. 52, 2025. DOI: 10.1140/epjds/s13688-025-00569-3.</w:t>
      </w:r>
    </w:p>
    <w:p>
      <w:pPr>
        <w:spacing w:after="120" w:line="276"/>
        <w:ind w:left="340" w:hanging="340"/>
      </w:pPr>
      <w:r>
        <w:rPr>
          <w:rFonts w:ascii="Calibri" w:cs="Calibri" w:eastAsia="Calibri" w:hAnsi="Calibri"/>
          <w:sz w:val="22"/>
          <w:szCs w:val="22"/>
        </w:rPr>
        <w:t xml:space="preserve">HEVNER, Alan R.; MARCH, Salvatore T.; PARK, Jinsoo; RAM, Sudha. Design science in information systems research. MIS Quarterly, Minneapolis, v. 28, n. 1, p. 75-105, 2004.</w:t>
      </w:r>
    </w:p>
    <w:p>
      <w:pPr>
        <w:spacing w:after="120" w:line="276"/>
        <w:ind w:left="340" w:hanging="340"/>
      </w:pPr>
      <w:r>
        <w:rPr>
          <w:rFonts w:ascii="Calibri" w:cs="Calibri" w:eastAsia="Calibri" w:hAnsi="Calibri"/>
          <w:sz w:val="22"/>
          <w:szCs w:val="22"/>
        </w:rPr>
        <w:t xml:space="preserve">NÓBREGA, Marcos; JURUBEBA, Diego Franco de Araújo. Assimetrias de informação na nova Lei de Licitações e o problema da seleção adversa. Revista Brasileira de Direito Público – RBDP, Belo Horizonte, ano 18, n. 69, p. 9-32, abr./jun. 2020.</w:t>
      </w:r>
    </w:p>
    <w:p>
      <w:pPr>
        <w:spacing w:after="120" w:line="276"/>
        <w:ind w:left="340" w:hanging="340"/>
      </w:pPr>
      <w:r>
        <w:rPr>
          <w:rFonts w:ascii="Calibri" w:cs="Calibri" w:eastAsia="Calibri" w:hAnsi="Calibri"/>
          <w:sz w:val="22"/>
          <w:szCs w:val="22"/>
        </w:rPr>
        <w:t xml:space="preserve">WIRTZ, Bernd W.; WEYERER, Jan C.; GEYER, Carolin. Artificial intelligence and the public sector—applications and challenges. International Journal of Public Administration, New York, v. 42, n. 7, p. 596-615, 2019. DOI: 10.1080/01900692.2018.1498103.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2026-09-14T12:18:30.610Z</dcterms:created>
  <dcterms:modified xsi:type="dcterms:W3CDTF">2026-09-14T12:18:30.610Z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