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POVO COMO PRINCIPAL E O HIATO DE EXPECTATIVAS: A PUBLICIDADE DOS ACHADOS COMO CONDIÇÃO DE EFETIVIDADE DEMOCRÁTICA DO CONTROLE GOVERNAMENTAL</w:t>
      </w:r>
    </w:p>
    <w:p>
      <w:pPr>
        <w:spacing w:after="0" w:line="360"/>
        <w:ind w:firstLine="6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auditoria governamental costuma ser apresentada como instrumento técnico de verificação de contas, mas sua razão de existir é política: trata-se de um mecanismo pelo qual o titular do poder controla aqueles a quem delegou o seu exercício. Entre os três princípios que Gustavson (2015) propõe como fundamento de uma “boa auditoria governamental” — independência, profissionalismo e reconhecimento do povo como principal —, este texto recorta deliberadamente o terceiro, por ser, a um só tempo, o menos desenvolvido na literatura técnica e o mais decisivo do ponto de vista democrático. O aspecto que se pretende examinar é a tensão, identificada pela autora, entre aquilo que a sociedade espera do controle — a detecção e a denúncia de fraude e corrupção — e aquilo que a profissão de auditoria assume como sua responsabilidade, bem como a condição operacional que permite converter o povo em principal efetivo: a publicidade dos achados. A análise ancora-se empiricamente no caso brasileiro das auditorias municipais sorteadas, estudado por Ferraz e Finan (2008), e dirige-se criticamente às instituições nacionais de controle. Trata-se, portanto, de um recorte sobre os fundamentos e os limites do controle governamental, e não sobre a técnica de auditoria em si.</w:t>
      </w:r>
    </w:p>
    <w:p>
      <w:pPr>
        <w:spacing w:after="0" w:line="360"/>
        <w:ind w:firstLine="6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pano de fundo teórico é o problema principal-agente. McCubbins, Noll e Weingast (1987) sustentam que, uma vez que o principal delega a execução das políticas ao agente, surge o risco permanente de desvio de finalidade, de omissão e de corrupção, o que justifica mecanismos de controle capazes de reduzir a assimetria de informação entre quem delega e quem executa. A dificuldade, contudo, está em identificar quem é o principal. Brandsma e Schillemans (2012) observam que, ao longo da cadeia de delegação — do povo aos políticos eleitos, destes à alta gestão e aos servidores —, a figura do principal se desloca conforme o ponto que se escolhe observar. O argumento de Gustavson (2015) é normativo e direto: de uma perspectiva democrática, o principal por excelência, cuja vontade e cujo poder são delegados, é, em última instância, sempre o povo. A consequência crítica é imediata — se os relatórios de auditoria se esgotam na gestão administrativa e na liderança política, o controle jamais alcança o seu verdadeiro titular e permanece um assunto interno ao aparato estatal.</w:t>
      </w:r>
    </w:p>
    <w:p>
      <w:pPr>
        <w:spacing w:after="0" w:line="360"/>
        <w:ind w:firstLine="6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Essa vocação democrática não é invenção recente. Já em Aristóteles (1996), a fiscalização das contas — a euthyna ateniense — nascia com o propósito explícito de flagrar a apropriação indevida do dinheiro público: “se detectam alguém que tenha sido culpado de desvio, o júri o condena por furto do dinheiro público [...] se demonstram que alguém aceitou subornos”. A trajetória posterior da profissão, porém, distanciou-se dessa origem. Power (1999) registra que, por volta da década de 1940, firmou-se entre os estudiosos o consenso de que a detecção de fraude não deveria integrar os objetivos centrais da auditoria, ainda que assim fosse quando esta se estabeleceu. Larsson (2005) descreve o efeito social dessa mudança: o público continua a esperar que fraudes e corrupção sejam descobertas e reportadas pelos auditores, ao passo que a profissão qualifica essa expectativa como um “mal-entendido” quanto ao seu papel. Aqui reside o ponto crítico central: Gustavson (2015) inverte o sentido usual do chamado hiato de expectativas. O problema não é a incompreensão do público, mas um déficit democrático da própria profissão, que estreitou o seu objeto a ponto de perder a finalidade que lhe deu origem.</w:t>
      </w:r>
    </w:p>
    <w:p>
      <w:pPr>
        <w:spacing w:after="0" w:line="360"/>
        <w:ind w:firstLine="6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Esse estreitamento é especialmente grave quando se observa onde a corrupção efetivamente se aloja. Cullinan e Sutton (2002) demonstram que a maioria das fraudes relevantes envolve a alta administração e que processos de auditoria “reengenheirados”, orientados à eficiência e à padronização, tendem a reduzir a probabilidade de detecção justamente das irregularidades mais graves. A esse viés soma-se outro, sintetizado por Bevan e Hood (2006) na fórmula de que “o que é medido é o que importa”: ao tornar as organizações auditáveis, desloca-se a atenção para o que é mensurável e formalmente verificável, em detrimento da substância da atividade controlada, o que estimula comportamentos de manipulação de indicadores. A síntese crítica é que um controle circunscrito à legalidade formal e à conformidade mensurável deixa sistematicamente de fora aquilo que mais interessa ao cidadão-principal — a apropriação de recursos e o abuso de poder no topo da hierarquia. No debate brasileiro, essa crítica encontra eco na tensão entre o controle de conformidade, centrado na regularidade formal do ato e do documento, e o controle finalístico, voltado ao resultado e à economicidade da despesa: quando o primeiro prevalece de modo exclusivo, o controle pode declarar “contas regulares” sem tocar no essencial — se o recurso, de fato, beneficiou o cidadão a que se destinava.</w:t>
      </w:r>
    </w:p>
    <w:p>
      <w:pPr>
        <w:spacing w:after="0" w:line="360"/>
        <w:ind w:firstLine="6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Reconhecer o povo como principal exige, portanto, mais do que produzir relatórios tecnicamente competentes; exige devolver a informação a quem detém a titularidade do poder. O’Donnell (1999) é preciso ao distinguir a accountability horizontal — o controle que órgãos estatais exercem sobre outros órgãos — da accountability vertical, exercida pelo eleitorado, e ao advertir que a primeira só cumpre função democrática quando alimenta a segunda. É nesse elo que se situa a terceira exigência de Gustavson (2015): a comunicação regular dos resultados ao público, inclusive daqueles inconvenientes ao governo. Não se trata de gesto de relações públicas, mas do ato que constitui o controle como mecanismo democrático. Os próprios dados da autora confirmam a relevância dessa dimensão: no modelo empírico, a comunicação dos achados apresenta coeficiente de 0,236, estatisticamente significativo mesmo quando se controla a liberdade de imprensa — resultado convergente com a constatação de que os cidadãos confiam mais na informação de órgãos de auditoria independentes do que na mídia em geral (James 2011).</w:t>
      </w:r>
    </w:p>
    <w:p>
      <w:pPr>
        <w:spacing w:after="0" w:line="360"/>
        <w:ind w:firstLine="6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Há ainda uma razão estrutural para que o controle não se contente em reportar à cúpula. Como observam Cullinan e Sutton (2002), a fração mais lesiva das fraudes envolve a própria alta administração — precisamente a instância a quem os relatórios costumam ser dirigidos. Confiar a essa cúpula a decisão sobre o destino dos achados equivale, em muitos casos, a submeter o vigiado ao papel de guardião das conclusões que o incriminam. É o antigo problema de “quem vigia os vigias”, que só se resolve quando a informação transborda o circuito interno do Estado e chega ao eleitorado, na chave da accountability vertical de O’Donnell (1999). A publicidade dos achados, portanto, não é mera transparência formal: é a garantia de que o controle não fique refém do controlado.</w:t>
      </w:r>
    </w:p>
    <w:p>
      <w:pPr>
        <w:spacing w:after="0" w:line="360"/>
        <w:ind w:firstLine="6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caso brasileiro oferece a evidência empírica mais eloquente dessa proposição. Ferraz e Finan (2008) analisaram o Programa de Fiscalização por Sorteios Públicos, pelo qual a Controladoria-Geral da União sorteava municípios para auditoria e divulgava publicamente os relatórios. Os autores constataram que a divulgação dos achados antes das eleições reduziu de maneira significativa as chances de reeleição de prefeitos flagrados em irregularidades e que esse efeito se concentrava nos municípios que dispunham de rádio local capaz de disseminar a informação. O desenho do programa — a seleção aleatória dos municípios por sorteio — é o que confere robustez causal ao achado, pois torna a auditoria independente de escolhas políticas e permite comparar o comportamento eleitoral em municípios auditados antes e depois do pleito. O efeito não é marginal: a exposição pública penalizou eleitoralmente os gestores corruptos de forma expressiva, e sua magnitude crescia com a densidade de meios locais de comunicação. Em outras palavras, uma mesma auditoria — idêntico grau de independência e de competência técnica — produzia consequências democráticas radicalmente distintas conforme a informação chegasse, ou não, ao principal. O achado corrobora e ilustra o mecanismo teorizado por Gustavson (2015): o controle só se converte em accountability quando o cidadão recebe o resultado e pode agir sobre ele, seja pelo voto, seja pela pressão social.</w:t>
      </w:r>
    </w:p>
    <w:p>
      <w:pPr>
        <w:spacing w:after="0" w:line="360"/>
        <w:ind w:firstLine="6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Transposta para as instituições brasileiras de controle externo — os tribunais de contas — e interno — a Controladoria-Geral da União —, a análise sugere um deslocamento de prioridades. Pelos padrões internacionais, o profissionalismo e a independência desses órgãos são comparativamente elevados; a fronteira a avançar é a comunicação com o cidadão-principal. Persistem, porém, obstáculos concretos: relatórios e acórdãos redigidos em linguagem técnica de difícil acesso, cuja repercussão depende da intermediação de imprensa especializada que alcança sobretudo elites; a tramitação sob sigilo de parte relevante dos processos; e, principalmente, a dependência que Gustavson (2015) identifica como um vício — o fato de o impacto do controle variar conforme o modo como a gestão administrativa e a liderança política “recebem” as recomendações. Se o povo é o principal, essa variação deveria ser minimizada. A proposição que decorre da análise é a de institucionalizar a comunicação como função nuclear do controle, e não como acessório: sínteses em linguagem simples, disseminação territorializada, dados abertos e articulação com os momentos de accountability vertical. Menos ênfase em produzir mais relatórios e mais garantia de que o principal os receba, compreenda e possa deles se valer. Os instrumentos já existem e poderiam ser mais bem explorados: a Lei de Acesso à Informação, os portais de transparência e os dados abertos oferecem a infraestrutura; o que falta, muitas vezes, é a tradução do achado técnico em informação inteligível e tempestiva para o eleitor. Comunicar não é apenas publicar o acórdão integral no diário oficial, mas assegurar que a mensagem essencial — houve, ou não, desvio; o recurso chegou, ou não, ao seu destino — alcance o principal em linguagem e em tempo úteis à sua deliberação.</w:t>
      </w:r>
    </w:p>
    <w:p>
      <w:pPr>
        <w:spacing w:after="0" w:line="360"/>
        <w:ind w:firstLine="6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leitura dos dados de Gustavson (2015), contudo, impõe cautela contra o entusiasmo com a publicidade tomada isoladamente. Quando os três princípios são testados separadamente, a independência — tradicionalmente reputada a pedra angular da auditoria — exibe o efeito mais fraco (coeficiente de 0,199), o profissionalismo revela o mais forte (0,328) e a comunicação situa-se no meio (0,236). Duas conclusões se extraem daí. A primeira é que a comunicação é a alavanca democrática mais acionável do ponto de vista de política institucional, porque converte de modo direto controle em accountability. A segunda, de sinal oposto, é que a publicidade é vazia sem substância profissional: divulgar amplamente achados frágeis ou tecnicamente pobres não fortalece o principal, mas o desinforma. Os três princípios, como insiste a autora, são complementares — a diferença entre seus efeitos não é grande —, e é essa complementaridade que sustenta um setor público de qualidade.</w:t>
      </w:r>
    </w:p>
    <w:p>
      <w:pPr>
        <w:spacing w:after="0" w:line="360"/>
        <w:ind w:firstLine="6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conclusão, o princípio do reconhecimento do povo como principal reposiciona o próprio sentido do controle governamental. Ele deixa de ser o ritual introspectivo de verificação que Power (1999) associou à “sociedade de auditoria”, voltado a produzir legitimidade para o próprio aparato, e passa a ser um mecanismo cuja legitimidade democrática depende de restituir ao soberano a informação verificada sobre o uso do poder e do dinheiro que lhe pertencem. O hiato de expectativas não deve ser fechado pela redução das expectativas do público, mas pela reaproximação da profissão aos seus fundamentos democráticos. Para o controle brasileiro, a lição empírica convergente de Ferraz e Finan (2008) e de Gustavson (2015) é clara: o valor democrático marginal do controle reside menos em auditar mais do que em assegurar que o cidadão-principal efetivamente receba os achados e sobre eles possa deliberar. Fazer da publicidade dos resultados uma função essencial — e não secundária — do controle é, nesse sentido, condição de sua própria efetividade.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12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ARISTÓTELES. The Politics and the Constitution of Athens. Edição de S. Everson. Cambridge: Cambridge University Press, 1996.</w:t>
      </w:r>
    </w:p>
    <w:p>
      <w:pPr>
        <w:spacing w:after="12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BEVAN, G.; HOOD, C. What’s measured is what matters: targets and gaming in the English public health care sector. Public Administration, v. 84, p. 517-538, 2006.</w:t>
      </w:r>
    </w:p>
    <w:p>
      <w:pPr>
        <w:spacing w:after="12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BRANDSMA, G. J.; SCHILLEMANS, T. The accountability cube: measuring accountability. Journal of Public Administration Research and Theory, v. 27, p. 953-975, 2012.</w:t>
      </w:r>
    </w:p>
    <w:p>
      <w:pPr>
        <w:spacing w:after="12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CULLINAN, C. P.; SUTTON, S. G. Defrauding the public interest: a critical examination of reengineered audit processes and the likelihood of detecting fraud. Critical Perspectives on Accounting, v. 13, p. 297-310, 2002.</w:t>
      </w:r>
    </w:p>
    <w:p>
      <w:pPr>
        <w:spacing w:after="12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FERRAZ, C.; FINAN, F. Exposing corrupt politicians: the effects of Brazil’s publicly released audits on electoral outcomes. The Quarterly Journal of Economics, v. 123, n. 2, p. 703-745, 2008.</w:t>
      </w:r>
    </w:p>
    <w:p>
      <w:pPr>
        <w:spacing w:after="12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GUSTAVSON, M. Does good auditing generate quality of government? QoG Working Paper Series, Gotemburgo, n. 2015:15, ago. 2015.</w:t>
      </w:r>
    </w:p>
    <w:p>
      <w:pPr>
        <w:spacing w:after="12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JAMES, O. Performance measures and democracy: information effects on citizens in field and laboratory experiments. Journal of Public Administration Research and Theory, v. 21, n. 3, p. 399-418, 2011.</w:t>
      </w:r>
    </w:p>
    <w:p>
      <w:pPr>
        <w:spacing w:after="12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LARSSON, B. Auditor regulation and economic crime policy in Sweden, 1965-2000. Accounting, Organizations and Society, v. 30, p. 127-144, 2005.</w:t>
      </w:r>
    </w:p>
    <w:p>
      <w:pPr>
        <w:spacing w:after="12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McCUBBINS, M. D.; NOLL, R. G.; WEINGAST, B. R. Administrative procedures as instruments of political control. Journal of Law, Economics and Organization, v. 3, n. 2, p. 243-277, 1987.</w:t>
      </w:r>
    </w:p>
    <w:p>
      <w:pPr>
        <w:spacing w:after="12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O’DONNELL, G. Horizontal accountability in new democracies. In: SCHEDLER, A.; DIAMOND, L.; PLATTNER, M. F. (Ed.). The self-restraining state: power and accountability in new democracies. Boulder: Lynne Rienner Publishers, 1999. p. 29-51.</w:t>
      </w:r>
    </w:p>
    <w:p>
      <w:pPr>
        <w:spacing w:after="12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POWER, M. The audit society: rituals of verification. 2. ed. Oxford: Oxford University Press, 1999.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Insight analítico — Controle governamental</dc:title>
  <dc:creator>Insight analítico</dc:creator>
  <cp:lastModifiedBy>Un-named</cp:lastModifiedBy>
  <cp:revision>1</cp:revision>
  <dcterms:created xsi:type="dcterms:W3CDTF">2026-08-12T14:28:41.716Z</dcterms:created>
  <dcterms:modified xsi:type="dcterms:W3CDTF">2026-08-12T14:28:41.716Z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