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0"/>
          <w:szCs w:val="30"/>
        </w:rPr>
        <w:t xml:space="preserve">A BOA AUDITORIA GERA QUALIDADE DE GOVERNO?</w:t>
      </w:r>
    </w:p>
    <w:p>
      <w:pPr>
        <w:spacing w:after="60" w:line="360"/>
        <w:jc w:val="center"/>
      </w:pPr>
      <w:r>
        <w:rPr>
          <w:rFonts w:ascii="Times New Roman" w:cs="Times New Roman" w:eastAsia="Times New Roman" w:hAnsi="Times New Roman"/>
          <w:b/>
          <w:bCs/>
          <w:sz w:val="24"/>
          <w:szCs w:val="24"/>
        </w:rPr>
        <w:t xml:space="preserve">Maria Gustavson</w:t>
      </w:r>
    </w:p>
    <w:p>
      <w:pPr>
        <w:spacing w:after="120"/>
      </w:pPr>
    </w:p>
    <w:p>
      <w:pPr>
        <w:spacing w:after="60" w:line="360"/>
        <w:jc w:val="center"/>
      </w:pPr>
      <w:r>
        <w:rPr>
          <w:rFonts w:ascii="Times New Roman" w:cs="Times New Roman" w:eastAsia="Times New Roman" w:hAnsi="Times New Roman"/>
          <w:sz w:val="24"/>
          <w:szCs w:val="24"/>
        </w:rPr>
        <w:t xml:space="preserve">Série de Working Papers do QoG 2015:15</w:t>
      </w:r>
    </w:p>
    <w:p>
      <w:pPr>
        <w:spacing w:after="60" w:line="360"/>
        <w:jc w:val="center"/>
      </w:pPr>
      <w:r>
        <w:rPr>
          <w:rFonts w:ascii="Times New Roman" w:cs="Times New Roman" w:eastAsia="Times New Roman" w:hAnsi="Times New Roman"/>
          <w:sz w:val="24"/>
          <w:szCs w:val="24"/>
        </w:rPr>
        <w:t xml:space="preserve">QoG — The Quality of Government Institute</w:t>
      </w:r>
    </w:p>
    <w:p>
      <w:pPr>
        <w:spacing w:after="60" w:line="360"/>
        <w:jc w:val="center"/>
      </w:pPr>
      <w:r>
        <w:rPr>
          <w:rFonts w:ascii="Times New Roman" w:cs="Times New Roman" w:eastAsia="Times New Roman" w:hAnsi="Times New Roman"/>
          <w:sz w:val="24"/>
          <w:szCs w:val="24"/>
        </w:rPr>
        <w:t xml:space="preserve">Departamento de Ciência Política — Universidade de Gotemburgo</w:t>
      </w:r>
    </w:p>
    <w:p>
      <w:pPr>
        <w:spacing w:after="60" w:line="360"/>
        <w:jc w:val="center"/>
      </w:pPr>
      <w:r>
        <w:rPr>
          <w:rFonts w:ascii="Times New Roman" w:cs="Times New Roman" w:eastAsia="Times New Roman" w:hAnsi="Times New Roman"/>
          <w:sz w:val="24"/>
          <w:szCs w:val="24"/>
        </w:rPr>
        <w:t xml:space="preserve">Box 711, SE 405 30 Gotemburgo — Agosto de 2015</w:t>
      </w:r>
    </w:p>
    <w:p>
      <w:pPr>
        <w:spacing w:after="60" w:line="360"/>
        <w:jc w:val="center"/>
      </w:pPr>
      <w:r>
        <w:rPr>
          <w:rFonts w:ascii="Times New Roman" w:cs="Times New Roman" w:eastAsia="Times New Roman" w:hAnsi="Times New Roman"/>
          <w:sz w:val="24"/>
          <w:szCs w:val="24"/>
        </w:rPr>
        <w:t xml:space="preserve">ISSN 1653-8919 — © 2015 Maria Gustavson. Todos os direitos reservados.</w:t>
      </w:r>
    </w:p>
    <w:p>
      <w:pPr>
        <w:pBdr>
          <w:bottom w:val="single" w:color="888888" w:sz="6" w:space="8"/>
        </w:pBdr>
        <w:spacing w:after="200"/>
      </w:pPr>
    </w:p>
    <w:p>
      <w:pPr>
        <w:spacing w:after="200" w:line="360"/>
        <w:jc w:val="both"/>
      </w:pPr>
      <w:r>
        <w:rPr>
          <w:rFonts w:ascii="Times New Roman" w:cs="Times New Roman" w:eastAsia="Times New Roman" w:hAnsi="Times New Roman"/>
          <w:i/>
          <w:iCs/>
          <w:sz w:val="20"/>
          <w:szCs w:val="20"/>
        </w:rPr>
        <w:t xml:space="preserve">Nota: tradução livre para o português, para fins de estudo, do working paper de Maria Gustavson, “Does Good Auditing Generate Quality of Government?” (QoG Working Paper Series 2015:15). As referências bibliográficas foram mantidas no idioma original das obras.</w:t>
      </w:r>
    </w:p>
    <w:p>
      <w:pPr>
        <w:spacing w:after="120" w:before="240" w:line="360"/>
      </w:pPr>
      <w:r>
        <w:rPr>
          <w:rFonts w:ascii="Times New Roman" w:cs="Times New Roman" w:eastAsia="Times New Roman" w:hAnsi="Times New Roman"/>
          <w:b/>
          <w:bCs/>
          <w:sz w:val="26"/>
          <w:szCs w:val="26"/>
        </w:rPr>
        <w:t xml:space="preserve">RESUMO</w:t>
      </w:r>
    </w:p>
    <w:p>
      <w:pPr>
        <w:spacing w:after="120" w:line="360"/>
        <w:ind w:firstLine="567"/>
        <w:jc w:val="both"/>
      </w:pPr>
      <w:r>
        <w:rPr>
          <w:rFonts w:ascii="Times New Roman" w:cs="Times New Roman" w:eastAsia="Times New Roman" w:hAnsi="Times New Roman"/>
          <w:sz w:val="24"/>
          <w:szCs w:val="24"/>
        </w:rPr>
        <w:t xml:space="preserve">Apesar do amplo foco, tanto na pesquisa quanto na prática, sobre atividades de auditoria, inspeção e supervisão, há poucos estudos empíricos que demonstrem os efeitos da auditoria sobre o desempenho do setor público. Assim, temos pouco conhecimento sobre se a auditoria conduz a efeitos positivos, negativos ou nulos sobre o setor público. Este artigo argumenta que é necessário conectar os estudos empíricos de auditoria a um arcabouço teórico geral, que defina em que consiste a “boa auditoria governamental”, a fim de estudar se tal auditoria produz efeitos positivos sobre o desempenho do setor público. O artigo apresenta uma definição de boa auditoria governamental construída sobre três princípios centrais: independência, profissionalismo e reconhecimento do povo como principal, definição que é operacionalizada e testada empiricamente no trabalho. Utilizando dados de uma pesquisa mundial única com especialistas, abrangendo 122 países, os resultados demonstram claramente que a boa auditoria governamental tem um efeito positivo, distinto e estatisticamente significativo sobre o desempenho do setor público. Esses achados indicam que a mera realização de auditorias do setor público não é suficiente: a auditoria também precisa ser organizada segundo determinados princípios, a fim de contribuir para administrações públicas que funcionem bem.</w:t>
      </w:r>
    </w:p>
    <w:p>
      <w:pPr>
        <w:spacing w:after="120" w:line="360"/>
        <w:ind w:firstLine="567"/>
        <w:jc w:val="both"/>
      </w:pPr>
      <w:r>
        <w:rPr>
          <w:rFonts w:ascii="Times New Roman" w:cs="Times New Roman" w:eastAsia="Times New Roman" w:hAnsi="Times New Roman"/>
          <w:i/>
          <w:iCs/>
          <w:sz w:val="24"/>
          <w:szCs w:val="24"/>
        </w:rPr>
        <w:t xml:space="preserve">Maria Gustavson — The Quality of Government Institute, Departamento de Ciência Política, Universidade de Gotemburgo — maria.gustavson@gu.se</w:t>
      </w:r>
    </w:p>
    <w:p>
      <w:pPr>
        <w:spacing w:after="120" w:before="240" w:line="360"/>
      </w:pPr>
      <w:r>
        <w:rPr>
          <w:rFonts w:ascii="Times New Roman" w:cs="Times New Roman" w:eastAsia="Times New Roman" w:hAnsi="Times New Roman"/>
          <w:b/>
          <w:bCs/>
          <w:sz w:val="26"/>
          <w:szCs w:val="26"/>
        </w:rPr>
        <w:t xml:space="preserve">Introdução</w:t>
      </w:r>
    </w:p>
    <w:p>
      <w:pPr>
        <w:spacing w:after="120" w:line="360"/>
        <w:ind w:firstLine="567"/>
        <w:jc w:val="both"/>
      </w:pPr>
      <w:r>
        <w:rPr>
          <w:rFonts w:ascii="Times New Roman" w:cs="Times New Roman" w:eastAsia="Times New Roman" w:hAnsi="Times New Roman"/>
          <w:sz w:val="24"/>
          <w:szCs w:val="24"/>
        </w:rPr>
        <w:t xml:space="preserve">Na última década, um grande foco entre acadêmicos e profissionais da administração pública tem sido a grande mudança na governança e no controle do setor público: da regulação central e das instruções detalhadas para a descentralização, as soluções de mercado e os controles a posteriori, tudo dentro do pacote de reformas da Nova Gestão Pública (New Public Management — NPM). Essa mudança aumentou a demanda por supervisão, inspeção e auditoria do setor público, a tal ponto que Power (1999) afirmou que estamos diante de uma “sociedade de auditoria”. Power (1999) argumentou que isso traria diversas consequências indesejáveis para a sociedade e, em linha com ele, boa parte da literatura tem, em geral, se concentrado no impacto nocivo das atividades de inspeção e auditoria. Argumenta-se que, ao tornar as organizações auditáveis, a mensurabilidade das atividades se torna mais importante do que o tipo de atividade efetivamente realizada nas organizações. Isso, por sua vez, levaria a menores níveis de eficiência, à desprofissionalização e à desconfiança e resistência entre os servidores públicos (Bevan e Hood 2006; Dahlström e Lapuente 2010; Levi 2005; Pentland 2000; Power 1996; 1999). Embora muitos estudiosos tenham tendido a destacar os efeitos negativos, houve apenas um número limitado de estudos empíricos demonstrando o impacto da supervisão, das inspeções e da auditoria sobre o desempenho do setor público (Andrews et al. 2008; Boyne 2003; Cabral e Lazzarini 2014; Walker, Boyne e Brewer 2010).</w:t>
      </w:r>
    </w:p>
    <w:p>
      <w:pPr>
        <w:spacing w:after="120" w:line="360"/>
        <w:ind w:firstLine="567"/>
        <w:jc w:val="both"/>
      </w:pPr>
      <w:r>
        <w:rPr>
          <w:rFonts w:ascii="Times New Roman" w:cs="Times New Roman" w:eastAsia="Times New Roman" w:hAnsi="Times New Roman"/>
          <w:sz w:val="24"/>
          <w:szCs w:val="24"/>
        </w:rPr>
        <w:t xml:space="preserve">Os estudos empíricos existentes fornecem um quadro misto sobre como as atividades de monitoramento, tais como a auditoria, impactam o desempenho das organizações do setor público. Alguns estudos demonstram correlações positivas; outros, correlações insignificantes ou negativas entre a auditoria e um melhor desempenho do setor público (Bevan e Hood 2006; Boyne 2003; Carlson, Cowen e Fleming 2013; Rutherford 2014). O mesmo tipo de atividade de auditoria também demonstrou impactar o desempenho de maneiras diferentes dentro de uma mesma organização. Em seu estudo sobre escolas de baixo desempenho, Rutherford (2014) constata que intervenções de auditoria nas escolas aumentaram seu desempenho em alguns indicadores, ao mesmo tempo em que não houve melhorias em outros indicadores de desempenho. Embora Rutherford (2014) argumente que o monitoramento pode levar a melhorias, um contra-argumento comum na literatura é o de que melhorias de desempenho em algumas áreas muito provavelmente têm consequências negativas em outras áreas, em razão de recursos e atenção serem direcionados primordialmente às áreas objeto das auditorias (Bevan e Hood 2006).</w:t>
      </w:r>
    </w:p>
    <w:p>
      <w:pPr>
        <w:spacing w:after="120" w:line="360"/>
        <w:ind w:firstLine="567"/>
        <w:jc w:val="both"/>
      </w:pPr>
      <w:r>
        <w:rPr>
          <w:rFonts w:ascii="Times New Roman" w:cs="Times New Roman" w:eastAsia="Times New Roman" w:hAnsi="Times New Roman"/>
          <w:sz w:val="24"/>
          <w:szCs w:val="24"/>
        </w:rPr>
        <w:t xml:space="preserve">Assim, a auditoria parece impactar o desempenho público de maneiras diferentes e, como parte da explicação de quando ela gera resultados positivos, uma linha de pesquisa demonstrou que o modo como a auditoria é organizada pode ser significativo. Principalmente, esses estudos centraram-se em como a comunicação dos resultados da auditoria pode desempenhar um papel importante. Os resultados das auditorias demonstraram impactar positivamente o desempenho da organização quando foram tornados públicos para os cidadãos (Carlson, Cowen e Fleming 2013; Bevan e Hood 2006; Ferraz e Finan 2008). Em particular, tal informação mostrou-se significativa em setores públicos descentralizados com soluções de mercado, nos quais os cidadãos podem escolher entre diversos prestadores de serviço. Para poder fazer uma escolha, os cidadãos precisam de informação, e os prestadores de serviço público precisam ter bom desempenho nos relatórios publicados a fim de atrair cidadãos como “clientes” (Carlson, Cowen e Fleming 2013). Além disso, a fonte da informação de desempenho também se mostrou importante. Em comparação com informações de desempenho produzidas pela mídia de massa, pelo próprio prestador de serviço público ou pelo governo local, os cidadãos tendem a confiar mais em informações produzidas por órgãos de auditoria que sejam independentes (James 2010). Adicionalmente, a capacidade do órgão de auditoria, em termos de expertise e habilidades entre os auditores, demonstrou impactar sua possibilidade de cumprir sua missão. Em particular em países pobres, restrições de capacidade — como a falta de educação e expertise entre os auditores — impõem grandes limitações ao modo como os órgãos de auditoria nesses países podem operar (Gustavson 2014; Isaksson e Bigsten 2012).</w:t>
      </w:r>
    </w:p>
    <w:p>
      <w:pPr>
        <w:spacing w:after="120" w:line="360"/>
        <w:ind w:firstLine="567"/>
        <w:jc w:val="both"/>
      </w:pPr>
      <w:r>
        <w:rPr>
          <w:rFonts w:ascii="Times New Roman" w:cs="Times New Roman" w:eastAsia="Times New Roman" w:hAnsi="Times New Roman"/>
          <w:sz w:val="24"/>
          <w:szCs w:val="24"/>
        </w:rPr>
        <w:t xml:space="preserve">Quase todos os países do mundo possuem um órgão nacional de auditoria estabelecido, que monitora o desempenho de todo o setor público em seu país. Esses órgãos nacionais de auditoria, contudo, variam em diversos aspectos significativos, tais como estrutura, grau de profissionalismo, grau de independência em relação ao governo e se comunicam ou não seus resultados ao público. Como demonstrado, a pesquisa anterior enfatiza que algumas dessas características são importantes para gerar melhor desempenho do setor público. Tais características, entretanto, não estão conectadas a uma compreensão teórica geral de como a auditoria deveria ser organizada para gerar melhor desempenho do setor público, nem foram testadas empiricamente de forma mais sistemática (cf. Boyne, Day e Walker 2002; Cabral e Lazzarini 2014; Walker, Boyne e Brewer 2010). Além disso, a pesquisa empírica existente sobre o impacto da auditoria no desempenho do setor público consiste em estudos de organizações isoladas do setor público ou de campos isolados dentro do setor público, tais como a saúde ou as escolas, dentro de um mesmo país. Este estudo pretende expandir esse campo de pesquisa ao examinar como a “boa auditoria governamental” impacta o desempenho do setor público em um estudo comparativo internacional.</w:t>
      </w:r>
    </w:p>
    <w:p>
      <w:pPr>
        <w:spacing w:after="120" w:before="240" w:line="360"/>
      </w:pPr>
      <w:r>
        <w:rPr>
          <w:rFonts w:ascii="Times New Roman" w:cs="Times New Roman" w:eastAsia="Times New Roman" w:hAnsi="Times New Roman"/>
          <w:b/>
          <w:bCs/>
          <w:sz w:val="26"/>
          <w:szCs w:val="26"/>
        </w:rPr>
        <w:t xml:space="preserve">Teoria: a organização da auditoria e seu impacto no desempenho do setor público</w:t>
      </w:r>
    </w:p>
    <w:p>
      <w:pPr>
        <w:spacing w:after="120" w:line="360"/>
        <w:ind w:firstLine="567"/>
        <w:jc w:val="both"/>
      </w:pPr>
      <w:r>
        <w:rPr>
          <w:rFonts w:ascii="Times New Roman" w:cs="Times New Roman" w:eastAsia="Times New Roman" w:hAnsi="Times New Roman"/>
          <w:sz w:val="24"/>
          <w:szCs w:val="24"/>
        </w:rPr>
        <w:t xml:space="preserve">A supervisão do setor público é comumente descrita, no plano teórico, como seguindo a lógica do problema principal-agente (Bendor, Glazer e Hammond 2001; McCubbins, Noll e Weingast 1987; Weingast 1984). Como os principais — os representantes políticos e, em última instância, o povo — delegam a execução dos assuntos públicos aos agentes — os funcionários públicos —, surge a necessidade de controlar suas ações e desempenho. Caso não houvesse supervisão dos funcionários públicos, haveria um risco iminente de desvio de política (policy drift), de omissão (shirking) ou de corrupção nas organizações do setor público (McCubbins, Noll e Weingast 1987). Essa necessidade de controle é reforçada pela relação assimétrica de informação entre os principais e os agentes. Em particular, em sociedades modernas, com administrações altamente complexas e especializadas, os representantes políticos e os cidadãos comuns podem ter dificuldade em constituir um controle democrático suficiente apenas por meio do acesso e da inspeção das organizações do setor público. Isso deu origem à necessidade de órgãos governamentais específicos que controlem outras partes do setor público, tais como os órgãos de auditoria ou de inspeção (O’Donnell 1999; Scott 2000). Afora essa compreensão teórica abrangente sobre a necessidade e o propósito dos órgãos de auditoria nas democracias, não há um arcabouço teórico compreensivo estabelecido para entender como a organização de tais órgãos afeta o desempenho da administração auditada (cf. Boyne, Day e Walker 2002). Contudo, diferentes características são enfatizadas por diferentes autores como geradoras de melhores resultados de um processo de auditoria.</w:t>
      </w:r>
    </w:p>
    <w:p>
      <w:pPr>
        <w:spacing w:after="120" w:before="240" w:line="360"/>
      </w:pPr>
      <w:r>
        <w:rPr>
          <w:rFonts w:ascii="Times New Roman" w:cs="Times New Roman" w:eastAsia="Times New Roman" w:hAnsi="Times New Roman"/>
          <w:b/>
          <w:bCs/>
          <w:sz w:val="24"/>
          <w:szCs w:val="24"/>
        </w:rPr>
        <w:t xml:space="preserve">Princípios da boa auditoria governamental¹</w:t>
      </w:r>
    </w:p>
    <w:p>
      <w:pPr>
        <w:spacing w:after="120" w:line="360"/>
        <w:ind w:firstLine="567"/>
        <w:jc w:val="both"/>
      </w:pPr>
      <w:r>
        <w:rPr>
          <w:rFonts w:ascii="Times New Roman" w:cs="Times New Roman" w:eastAsia="Times New Roman" w:hAnsi="Times New Roman"/>
          <w:sz w:val="24"/>
          <w:szCs w:val="24"/>
        </w:rPr>
        <w:t xml:space="preserve">Argumento que há três princípios principais que, na literatura, encontram-se estabelecidos — embora separadamente — como princípios daquilo que pode ser considerado elementos essenciais em uma definição de “boa auditoria” do setor público. O primeiro é o princípio da independência (Flint 1988; Mautz e Sharaf 1961; Normanton 1966; Power 1999; 2005; Hollingsworth e White 1998). Se considerarmos a auditoria como um mecanismo para que o principal controle o agente, a separação entre o agente e o órgão de auditoria torna-se central. Se não houver separação entre o mecanismo de supervisão e a administração pública submetida a controle, o mecanismo de supervisão funcionaria antes como uma função de autoavaliação (Wildavsky 1979). A auditoria interna serve como tal mecanismo e opera como uma função de controle interno para que a gestão avalie e controle a organização. Embora possa ser um instrumento valioso para a gestão no setor público, para que políticos e o público aumentem a eficiência e previnam desvios de política, fraudes e corrupção na administração, depender de mecanismos autoavaliativos tem limitações severas. A fim de apresentar uma imagem bem-sucedida da organização, há o risco imediato de que autoestimativas superestimem o desempenho e minimizem o baixo desempenho e outros problemas da organização. A história da auditoria na teoria da democracia também ilustra como a independência tem sido um elemento essencial na relação entre os auditores e a administração pública. Em A Política, Aristóteles considerava necessário que os funcionários que manejavam o dinheiro público fossem controlados por outros funcionários, que fossem separados deles e não tivessem nenhuma outra função: “mas, como algumas — para não dizer todas — dessas magistraturas manejam o dinheiro público, deve haver necessariamente outra magistratura que as examine e audite, e que não tenha nenhuma outra função” (Aristóteles, A Política, Livro VI, 1322b5-15). De modo semelhante a Aristóteles, John Stuart Mill esclarece a necessidade de criar sistemas de controle da administração e a necessidade de separar “esses ofícios de controle e crítica” da administração cujo trabalho eles devem examinar (Mill, (1861) 2001, p. 70). Como a independência está bem estabelecida como pedra angular da auditoria, a questão discutida na literatura não é se a independência é ou não necessária, mas sim como suas várias dimensões podem ser garantidas — tais como a independência financeira, a proteção contra interferências no planejamento, na seleção e na execução das auditorias e a ética individual entre os auditores (Antle 1984; Bayou, Reinstein e Williams 2011; Cullinan e Sutton 2002; Gendron, Cooper e Townely 2000; Preston et al. 1995; Sikka e Willmott 1995; INTOSAI 1998).</w:t>
      </w:r>
    </w:p>
    <w:p>
      <w:pPr>
        <w:spacing w:after="120" w:line="360"/>
        <w:ind w:firstLine="567"/>
        <w:jc w:val="both"/>
      </w:pPr>
      <w:r>
        <w:rPr>
          <w:rFonts w:ascii="Times New Roman" w:cs="Times New Roman" w:eastAsia="Times New Roman" w:hAnsi="Times New Roman"/>
          <w:sz w:val="24"/>
          <w:szCs w:val="24"/>
        </w:rPr>
        <w:t xml:space="preserve">O segundo princípio da “boa auditoria governamental” é o profissionalismo. A criação de órgãos de auditoria específicos baseia-se na noção de que os funcionários que trabalham nesses órgãos têm melhores possibilidades do que os cidadãos comuns e os políticos de controlar transações financeiras e o desempenho de organizações muito complexas, como são as administrações públicas nas sociedades contemporâneas. O profissionalismo entre os funcionários que conduzem atividades de supervisão também é apontado por estudiosos como gerador de melhores resultados em termos de melhoria do desempenho do auditado (Boyne, Day e Walker 2002; Gustavson 2014; Isaksson e Bigsten 2012). A falta de expertise profissional cria maior dependência em relação ao auditado e possibilidades mais limitadas de assumir uma postura crítica diante da informação obtida no processo de auditoria (Isaksson e Bigsten 2012), além de impactar negativamente a confiabilidade de suas avaliações, opiniões e relatórios (Flint 1988). Além do propósito de controlar o setor público, a auditoria também se apoia em recomendações ao auditado com o objetivo de melhorar seu desempenho (Reichborn-Kjennerud 2013). Para que essas recomendações efetivamente conduzam a melhorias, a compreensão da área pelos auditores deve ser maior do que a dos funcionários públicos que trabalham nessas organizações (cf. Boyne, Day e Walker 2002, p. 1199).</w:t>
      </w:r>
    </w:p>
    <w:p>
      <w:pPr>
        <w:spacing w:after="120" w:line="360"/>
        <w:ind w:firstLine="567"/>
        <w:jc w:val="both"/>
      </w:pPr>
      <w:r>
        <w:rPr>
          <w:rFonts w:ascii="Times New Roman" w:cs="Times New Roman" w:eastAsia="Times New Roman" w:hAnsi="Times New Roman"/>
          <w:sz w:val="24"/>
          <w:szCs w:val="24"/>
        </w:rPr>
        <w:t xml:space="preserve">Em comparação com outros órgãos de supervisão, constituir uma profissão específica tem implicações sobre como a expertise entre os auditores é governada. Uma profissão é definida pela reivindicação de conhecimento abstrato e pela aplicação de tal conhecimento a casos particulares (Abbott 1988, p. 8). A fim de manter a legitimidade da profissão, os grupos profissionais exercem autoridade e controle sobre seus membros de várias maneiras. A entrada na profissão é geralmente regulada por meio de exigências de educação e exames específicos e, afora os arcabouços legais nacionais, o trabalho contínuo é internamente regulado por requisitos de observância de normas profissionais, tais como padrões e diretrizes específicos (Byington, Sutton e Munter 1990; Bédard 1989; Preston et al. 1995). Parte da confiança na competência dos auditores baseia-se também no fato de eles seguirem ou não as normas estabelecidas pela profissão para seu trabalho (Gustavson e Rothstein 2013). Em consequência disso, a profissão de auditoria tem lidado com ameaças externas à sua autorregulação e ao seu monopólio profissional por meio de uma emissão crescente de padrões e diretrizes (Power 2003). Em particular, na esteira de crises financeiras e escândalos de auditoria, a reafirmação da independência e da ética da auditoria pela profissão tem sido enfatizar a importância de seguir os padrões profissionais no trabalho de auditoria (Sikka 2009). Ainda que os padrões sejam regulação branda (soft regulation) e não haja obrigação legal de observância (Brunsson e Jacobsson 2000), sua importância se evidencia quando se fazem avaliações para determinar se os auditores deixaram de executar adequadamente sua missão. Em decisões judiciais sobre acusações de negligência profissional, os padrões profissionais são usados como indicadores para medir se um trabalho apropriado e suficiente foi realizado (Byington, Sutton e Munter 1990).</w:t>
      </w:r>
    </w:p>
    <w:p>
      <w:pPr>
        <w:spacing w:after="120" w:line="360"/>
        <w:ind w:firstLine="567"/>
        <w:jc w:val="both"/>
      </w:pPr>
      <w:r>
        <w:rPr>
          <w:rFonts w:ascii="Times New Roman" w:cs="Times New Roman" w:eastAsia="Times New Roman" w:hAnsi="Times New Roman"/>
          <w:sz w:val="24"/>
          <w:szCs w:val="24"/>
        </w:rPr>
        <w:t xml:space="preserve">O terceiro e último princípio que, argumento, constitui o fundamento da boa auditoria governamental é o reconhecimento do povo como principal. A organização das administrações públicas em sociedades democráticas pode ser descrita como uma cadeia de delegação. O povo delega autoridade a políticos eleitos, que por sua vez delegam poder a diversos órgãos públicos, à sua gestão e aos funcionários públicos individuais. Quem deve ser considerado o principal nesse arcabouço de accountability vertical depende, então, de onde nos posicionamos na cadeia de delegação (Brandsma e Schillemans 2012). Embora a delegação se apoie em um deslocamento de quem deve ser considerado o principal, de uma perspectiva democrática pode-se argumentar que o principal por excelência, cuja vontade e poder são delegados, é, em última instância, sempre o povo. A questão passa a ser, então, como a auditoria pode ser organizada para permitir que o povo se torne um verdadeiro principal, perante o qual os órgãos de auditoria responsabilizem as organizações do setor público.</w:t>
      </w:r>
    </w:p>
    <w:p>
      <w:pPr>
        <w:spacing w:after="120" w:line="360"/>
        <w:ind w:firstLine="567"/>
        <w:jc w:val="both"/>
      </w:pPr>
      <w:r>
        <w:rPr>
          <w:rFonts w:ascii="Times New Roman" w:cs="Times New Roman" w:eastAsia="Times New Roman" w:hAnsi="Times New Roman"/>
          <w:sz w:val="24"/>
          <w:szCs w:val="24"/>
        </w:rPr>
        <w:t xml:space="preserve">Os auditores têm sido criticados por não agir no interesse de partes interessadas, como os cidadãos, e por não se preocuparem se a sociedade tem sobre eles expectativas distintas daquilo que consideram ser sua responsabilidade (Cullinan e Sutton 2002; Larsson 2005; Sikka 2009; Öhman et al. 2006). Uma área em que essa lacuna de expectativas entre auditores e público em geral se torna notável diz respeito a se é ou não responsabilidade dos auditores descobrir e reportar fraude e corrupção. Power (1999) afirma que se debateu longamente entre os estudiosos se tais práticas indevidas deveriam fazer parte da auditoria e, segundo ele, o debate chegou a um consenso geral na década de 1940 de que isso não deveria fazer parte dos objetivos da auditoria, ainda que possa ter sido um propósito quando a auditoria foi estabelecida. Contudo, o público em geral ainda acredita e espera que essas práticas indevidas sejam detectadas e reportadas pelos auditores, mesmo que a profissão de auditoria argumente que se trata de um mal-entendido por parte do público quanto ao papel e à responsabilidade dos auditores (Larsson 2005). Voltando-se às origens democráticas da auditoria, torna-se claro como o estabelecimento de um ofício público de auditoria na democracia era primordialmente uma questão de detectar má administração, tal como desvios, subornos e outras formas de corrupção: “Se eles [os auditores] detectam alguém que tenha sido culpado de desvio, o júri o condena por furto do dinheiro público /.../ se demonstram que alguém aceitou subornos /.../ Se o condenam por má administração /.../” (Aristóteles, A Constituição de Atenas, XLIX-LIV). É evidente que as atribuições da auditoria precisam mudar quando a sociedade se moderniza e as administrações auditadas se tornam mais complexas. No entanto, parece que a profissão de auditoria alterou seu papel e sua responsabilidade a tal ponto que seu propósito democrático se perdeu. Se não cabe a eles descobrir e prevenir fraude e corrupção no setor público, então a quem cabe? Em linha com o terceiro princípio de reconhecer o povo como principal, é necessário que os órgãos de auditoria passem a agir no interesse do principal e, por conseguinte, passem a atender às expectativas do povo quanto ao seu papel e à sua responsabilidade na sociedade. Agir no interesse do principal também tem implicações sobre como organizar a relação entre o povo e o órgão de auditoria. O modo como os relatórios e as recomendações de auditoria são levados em conta pela gestão administrativa e pela liderança política varia, o que, por sua vez, evidentemente também tem consequências sobre como a auditoria pode impactar as administrações (Freides 1992; Hanberger 2009; Andersson e Bergman 2009). Se o povo deve ser considerado o principal por excelência, deveria haver pouco espaço para que a variação do impacto da auditoria dependesse primordialmente de como os achados e relatórios são tratados pela gestão administrativa e pela liderança política. Especialmente considerando que uma grande maioria dos problemas de fraude e corrupção tende a envolver a alta gestão (Cullinan e Sutton 2002). Para cumprir o terceiro princípio, os órgãos de auditoria precisam ter uma ambição maior do que meramente reportar à gestão e aos políticos. Eles também precisam alcançar o público em geral para dar visibilidade aos seus achados. Naturalmente, não há possibilidade de informar o público em geral sobre todos os achados de auditoria, mas os órgãos de auditoria precisam considerar seriamente qual seria a forma mais frutífera de tratar os achados de auditoria, tendo em vista o interesse do público. Isso inclui comunicar ao público também os resultados de auditoria que sejam inconvenientes para o governo. Como demonstrado por estudos anteriores, os resultados das auditorias mostraram impactar positivamente o desempenho da organização quando foram tornados públicos para os cidadãos (Carlson, Cowen e Fleming 2013; Bevan e Hood 2006; Ferraz e Finan 2008).</w:t>
      </w:r>
    </w:p>
    <w:p>
      <w:pPr>
        <w:spacing w:after="120" w:line="360"/>
        <w:ind w:firstLine="567"/>
        <w:jc w:val="both"/>
      </w:pPr>
      <w:r>
        <w:rPr>
          <w:rFonts w:ascii="Times New Roman" w:cs="Times New Roman" w:eastAsia="Times New Roman" w:hAnsi="Times New Roman"/>
          <w:sz w:val="24"/>
          <w:szCs w:val="24"/>
        </w:rPr>
        <w:t xml:space="preserve">Em suma, delineei três princípios principais daquilo que pode ser considerado boa auditoria governamental, de uma perspectiva democrática, e proponho a seguinte definição: a boa auditoria governamental caracteriza-se pelo reconhecimento do povo como principal, pela independência em relação ao auditado e pelo profissionalismo no exercício da prática de auditoria. A compreensão teórica geral é, portanto, a de que esses princípios, juntos, organizam a auditoria de um modo que gera um setor público de melhor desempenho, isto é, em países nos quais os órgãos nacionais de auditoria têm altas pontuações nesses princípios, eles também têm altas pontuações quanto ao bom funcionamento do setor público. Isso conduz à seguinte hipótese:</w:t>
      </w:r>
    </w:p>
    <w:p>
      <w:pPr>
        <w:spacing w:after="120" w:line="360"/>
        <w:ind w:firstLine="567"/>
        <w:jc w:val="both"/>
      </w:pPr>
      <w:r>
        <w:rPr>
          <w:rFonts w:ascii="Times New Roman" w:cs="Times New Roman" w:eastAsia="Times New Roman" w:hAnsi="Times New Roman"/>
          <w:i/>
          <w:iCs/>
          <w:sz w:val="24"/>
          <w:szCs w:val="24"/>
        </w:rPr>
        <w:t xml:space="preserve">H1: Se o órgão nacional de auditoria se caracteriza pela boa auditoria governamental, ele gera melhor desempenho do setor público.</w:t>
      </w:r>
    </w:p>
    <w:p>
      <w:pPr>
        <w:spacing w:after="120" w:line="360"/>
        <w:ind w:firstLine="567"/>
        <w:jc w:val="both"/>
      </w:pPr>
      <w:r>
        <w:rPr>
          <w:rFonts w:ascii="Times New Roman" w:cs="Times New Roman" w:eastAsia="Times New Roman" w:hAnsi="Times New Roman"/>
          <w:sz w:val="24"/>
          <w:szCs w:val="24"/>
        </w:rPr>
        <w:t xml:space="preserve">Embora a compreensão teórica geral do que caracteriza a boa auditoria governamental se apoie na combinação dos três princípios, é razoável supor que cada um dos princípios tenha um efeito independente sobre o quanto a auditoria pode gerar um setor público de bom desempenho. Ou seja, se o órgão de auditoria é independente, ele terá maiores possibilidades de monitorar o setor público de uma maneira que conduza a melhor desempenho. Do mesmo modo, se os auditores que trabalham nos órgãos nacionais de auditoria têm as habilidades e a educação apropriadas, eles poderão conduzir as auditorias de um modo que produza melhor desempenho do setor público; assim como, se comunicam regularmente seus resultados ao público, é provável que seus resultados conduzam a um impacto que, ao fim, gere melhor desempenho do setor público. Isso conduz às três hipóteses seguintes:</w:t>
      </w:r>
    </w:p>
    <w:p>
      <w:pPr>
        <w:spacing w:after="120" w:line="360"/>
        <w:ind w:firstLine="567"/>
        <w:jc w:val="both"/>
      </w:pPr>
      <w:r>
        <w:rPr>
          <w:rFonts w:ascii="Times New Roman" w:cs="Times New Roman" w:eastAsia="Times New Roman" w:hAnsi="Times New Roman"/>
          <w:i/>
          <w:iCs/>
          <w:sz w:val="24"/>
          <w:szCs w:val="24"/>
        </w:rPr>
        <w:t xml:space="preserve">H2: Se o órgão nacional de auditoria é independente do governo, ele gera melhor desempenho do setor público.</w:t>
      </w:r>
    </w:p>
    <w:p>
      <w:pPr>
        <w:spacing w:after="120" w:line="360"/>
        <w:ind w:firstLine="567"/>
        <w:jc w:val="both"/>
      </w:pPr>
      <w:r>
        <w:rPr>
          <w:rFonts w:ascii="Times New Roman" w:cs="Times New Roman" w:eastAsia="Times New Roman" w:hAnsi="Times New Roman"/>
          <w:i/>
          <w:iCs/>
          <w:sz w:val="24"/>
          <w:szCs w:val="24"/>
        </w:rPr>
        <w:t xml:space="preserve">H3: Se o órgão nacional de auditoria é profissional, isto é, possui as habilidades e a educação apropriadas, ele gera melhor desempenho do setor público.</w:t>
      </w:r>
    </w:p>
    <w:p>
      <w:pPr>
        <w:spacing w:after="120" w:line="360"/>
        <w:ind w:firstLine="567"/>
        <w:jc w:val="both"/>
      </w:pPr>
      <w:r>
        <w:rPr>
          <w:rFonts w:ascii="Times New Roman" w:cs="Times New Roman" w:eastAsia="Times New Roman" w:hAnsi="Times New Roman"/>
          <w:i/>
          <w:iCs/>
          <w:sz w:val="24"/>
          <w:szCs w:val="24"/>
        </w:rPr>
        <w:t xml:space="preserve">H4: Se o órgão nacional de auditoria comunica regularmente seus resultados ao público, ele gera melhor desempenho do setor público.</w:t>
      </w:r>
    </w:p>
    <w:p>
      <w:pPr>
        <w:spacing w:after="120" w:before="240" w:line="360"/>
      </w:pPr>
      <w:r>
        <w:rPr>
          <w:rFonts w:ascii="Times New Roman" w:cs="Times New Roman" w:eastAsia="Times New Roman" w:hAnsi="Times New Roman"/>
          <w:b/>
          <w:bCs/>
          <w:sz w:val="26"/>
          <w:szCs w:val="26"/>
        </w:rPr>
        <w:t xml:space="preserve">Dados e métodos</w:t>
      </w:r>
    </w:p>
    <w:p>
      <w:pPr>
        <w:spacing w:after="120" w:line="360"/>
        <w:ind w:firstLine="567"/>
        <w:jc w:val="both"/>
      </w:pPr>
      <w:r>
        <w:rPr>
          <w:rFonts w:ascii="Times New Roman" w:cs="Times New Roman" w:eastAsia="Times New Roman" w:hAnsi="Times New Roman"/>
          <w:sz w:val="24"/>
          <w:szCs w:val="24"/>
        </w:rPr>
        <w:t xml:space="preserve">Para captar o desempenho do setor público em escala internacional, este artigo utiliza a definição e a medida de qualidade de governo estabelecidas por Rothstein e Teorell (2008), que definem a qualidade de governo como imparcialidade no exercício da autoridade pública. A imparcialidade é uma definição mais inclusiva da qualidade da administração do que a mera ausência de corrupção. Para que os funcionários públicos sejam imparciais, isso significa também que, além da corrupção, eles não podem estar envolvidos em práticas correlatas, tais como nepotismo, patronagem ou discriminação. É também uma definição mais precisa do que a de boa governança do Banco Mundial, uma vez que esta última inclui todo tipo de instituição por meio da qual a autoridade pública é exercida, o que abrange desde a formulação de políticas sólidas até normas sociais entre as pessoas (Kaufmann, Kraay e Mastruzzi 2009). Para mensurar a imparcialidade, este artigo utiliza dados originais da Pesquisa de Especialistas sobre Qualidade de Governo de 2015 (Quality of Government Expert Survey 2015). A pesquisa baseia-se em 1.294 especialistas de país, abrangendo 122 países. Cada país é representado por três ou mais especialistas (Dahlström et al. 2015a). O artigo utiliza um índice de imparcialidade construído a partir de cinco questões da pesquisa. Cada medida foi ponderada pela carga fatorial de uma análise fatorial por componentes principais e somada ao índice. A agregação em nível de país foi então feita utilizando-se o valor médio de todos os especialistas por país. O índice é construído de modo que valores altos representem altos níveis de imparcialidade. Os cinco itens da pesquisa a seguir foram incluídos no índice: 1) se alguns grupos da sociedade são tratados de forma injusta quando as políticas são implementadas em casos individuais; 2) se contatos pessoais fortes são favorecidos quando funcionários públicos concedem licenças para abrir empresas privadas; 3) em que medida os empregados do setor público agem de forma imparcial ao decidir sobre a implementação de uma política em um caso individual; 4) se empresas que oferecem as propinas mais favoráveis a altos funcionários são contempladas em contratos de compras públicas em detrimento de empresas que apresentam o menor lance; 5) que percentual do dinheiro destinado aos necessitados efetivamente chega aos necessitados (Dahlström et al. 2015b).</w:t>
      </w:r>
    </w:p>
    <w:p>
      <w:pPr>
        <w:spacing w:after="120" w:line="360"/>
        <w:ind w:firstLine="567"/>
        <w:jc w:val="both"/>
      </w:pPr>
      <w:r>
        <w:rPr>
          <w:rFonts w:ascii="Times New Roman" w:cs="Times New Roman" w:eastAsia="Times New Roman" w:hAnsi="Times New Roman"/>
          <w:sz w:val="24"/>
          <w:szCs w:val="24"/>
        </w:rPr>
        <w:t xml:space="preserve">Para mensurar a variável independente, sigo minha proposta de definição do que constitui a boa auditoria governamental. Três questões específicas, captando cada um dos três princípios, foram formuladas na Pesquisa de Especialistas sobre Qualidade de Governo descrita acima. As questões foram formuladas da seguinte forma: em que medida você diria que o seguinte se aplica hoje ao país para o qual você escolheu enviar suas respostas? 1) O Órgão Nacional de Auditoria é independente do governo. 2) Os auditores do Órgão Nacional de Auditoria têm a educação e as qualificações apropriadas. 3) O Órgão Nacional de Auditoria comunica regularmente seus resultados — inclusive resultados que possam ser inconvenientes para o governo — ao público em geral. Afora a opção “sem resposta”, as opções de resposta variam de 1 a 7, em que 1 representa “de modo algum” e 7 “em muito grande medida”. As respostas foram agregadas em nível de país tomando-se a média de todos os especialistas por país. O índice de boa auditoria governamental foi então criado tomando-se a média dos valores das três questões (Alfa de Cronbach = 0,939). A Figura 1 demonstra a relação bivariada entre o índice de boa auditoria governamental e a qualidade da burocracia.</w:t>
      </w:r>
    </w:p>
    <w:p>
      <w:pPr>
        <w:spacing w:after="120" w:line="360"/>
        <w:ind w:firstLine="567"/>
        <w:jc w:val="both"/>
      </w:pPr>
      <w:r>
        <w:rPr>
          <w:rFonts w:ascii="Times New Roman" w:cs="Times New Roman" w:eastAsia="Times New Roman" w:hAnsi="Times New Roman"/>
          <w:sz w:val="24"/>
          <w:szCs w:val="24"/>
        </w:rPr>
        <w:t xml:space="preserve">A Figura 1 (relação bivariada entre boa auditoria governamental e qualidade da administração pública) revela uma correlação bivariada razoavelmente forte entre o quão bem o órgão nacional de auditoria é percebido como funcionando e a qualidade da administração pública (R² = 0,644). Como esperado, os países nórdicos encontram-se no canto superior direito, ao lado de países como Nova Zelândia, Países Baixos, Alemanha e França, com boa auditoria governamental e administrações públicas que funcionam bem. O fato de países que representam diferentes tipos de sistemas de auditoria — o sistema parlamentar (países nórdicos, Nova Zelândia e Alemanha) e o sistema jurídico (França e Países Baixos) — encontrarem-se no topo indica que pode não importar que tipo de sistema de auditoria esteja estabelecido no país, desde que se trate de um órgão de auditoria independente e profissional que se comunique com o público em geral. No canto inferior esquerdo encontram-se países como Afeganistão, Venezuela, Tadjiquistão e Bangladesh, países nos quais a qualidade do setor público é percebida como muito baixa; esses países também se distinguem por não possuir um órgão nacional de auditoria que funcione bem.</w:t>
      </w:r>
    </w:p>
    <w:p>
      <w:pPr>
        <w:spacing w:after="120" w:line="360"/>
        <w:ind w:firstLine="567"/>
        <w:jc w:val="both"/>
      </w:pPr>
      <w:r>
        <w:rPr>
          <w:rFonts w:ascii="Times New Roman" w:cs="Times New Roman" w:eastAsia="Times New Roman" w:hAnsi="Times New Roman"/>
          <w:sz w:val="24"/>
          <w:szCs w:val="24"/>
        </w:rPr>
        <w:t xml:space="preserve">Para assegurar que as correlações não reflitam meramente níveis gerais de desenvolvimento econômico e para captar outras explicações alternativas, o modelo apresentado na Tabela 1 inclui diversas variáveis de controle que, em estudos comparativos entre países, são consideradas fatores geradores de qualidade das administrações públicas. Para controlar o desenvolvimento econômico, utilizo o produto interno bruto (PIB) per capita a preços correntes de Gleditsch (2010). A integração internacional demonstrou ser um fator significativo que afeta os níveis de corrupção em um país (Sandholtz e Gray 2003). Nos modelos, a integração internacional é especificada por meio de três medidas diferentes. A primeira é a abertura comercial do país, medida pela soma das exportações e importações dividida pelo PIB (World Bank Development Indicators 2010). A segunda e a terceira são dois índices dos índices de globalização de Axel Dreher (2010). A globalização política é um índice do número de altas comissões e embaixadas no país, do número de organizações internacionais das quais o país é membro, do número de missões de paz da ONU das quais o país participou e do número de tratados internacionais que o país assinou desde 1945. O índice de globalização social é construído por três categorias de indicadores. O primeiro indicador são os contatos pessoais e inclui medidas como tráfego telefônico, transferências (percentual do PIB), turismo internacional, população estrangeira (percentual da população total) e cartas internacionais per capita. O segundo indicador são os dados sobre fluxos de informação, que incluem o número de usuários de internet e televisão (por 1.000 pessoas) e o comércio de jornais (percentual do PIB). Os dados sobre proximidade cultural constituem a terceira categoria de indicadores e consistem no número de restaurantes McDonald’s e no número de lojas Ikea (ambos per capita), bem como no comércio de livros (percentual do PIB). Incluo também uma variável dummy para indicar se o país foi ou não uma colônia britânica (a partir de Hadenius e Teorell 2007), pois diversos estudiosos argumentaram que os britânicos deixaram normas e estruturas legais em suas colônias que, após a independência, fizeram esses países ter desempenho comparativamente melhor do que outras ex-colônias, em termos de possuir administrações baseadas no Estado de Direito (Bäck e Hadenius 2008; Charron e Lapuente 2010; La Porta et al. 1999; Treisman 2000). Parte da boa auditoria governamental é a comunicação dos achados de auditoria ao público em geral; assim, para assegurar que a relevância dos órgãos de auditoria sobre a qualidade da administração não esteja, na verdade, captando os níveis de liberdade de imprensa no país, uma medida de Liberdade de Imprensa (da Freedom House, 2010) é adicionada como variável de controle aos modelos. A variável foi invertida de modo que pontuações altas indiquem altos níveis de liberdade de imprensa.</w:t>
      </w:r>
    </w:p>
    <w:p>
      <w:pPr>
        <w:spacing w:after="120" w:before="240" w:line="360"/>
      </w:pPr>
      <w:r>
        <w:rPr>
          <w:rFonts w:ascii="Times New Roman" w:cs="Times New Roman" w:eastAsia="Times New Roman" w:hAnsi="Times New Roman"/>
          <w:b/>
          <w:bCs/>
          <w:sz w:val="26"/>
          <w:szCs w:val="26"/>
        </w:rPr>
        <w:t xml:space="preserve">Resultados</w:t>
      </w:r>
    </w:p>
    <w:p>
      <w:pPr>
        <w:spacing w:after="120" w:line="360"/>
        <w:ind w:firstLine="567"/>
        <w:jc w:val="both"/>
      </w:pPr>
      <w:r>
        <w:rPr>
          <w:rFonts w:ascii="Times New Roman" w:cs="Times New Roman" w:eastAsia="Times New Roman" w:hAnsi="Times New Roman"/>
          <w:sz w:val="24"/>
          <w:szCs w:val="24"/>
        </w:rPr>
        <w:t xml:space="preserve">A Tabela 1 apresenta sete modelos empíricos nos quais as hipóteses do artigo são testadas. Os Modelos 1 a 5 utilizam o índice de imparcialidade como variável dependente. O primeiro e mais restritivo modelo testa a primeira hipótese, de que a boa auditoria governamental conduz a uma administração pública de melhor desempenho, mas inclui apenas as variáveis de controle mais consolidadas na pesquisa sobre o que pode determinar a qualidade da burocracia em escala internacional. Isto é, PIB per capita, abertura comercial e ter sido ex-colônia britânica (Bäck e Hadenius 2008; Charron e Lapuente 2010; Dahlström, Lapuente e Teorell 2012; La Porta et al. 1999; Treisman 2000). Vemos que o índice de boa auditoria governamental tem um efeito relativamente forte, com um coeficiente de 0,298, significativo ao nível de 0,01, apesar da adição desses controles. Como esperado, o PIB per capita tem um efeito significativo independente. De modo mais surpreendente, nem a abertura comercial nem ter sido ex-colônia britânica têm efeitos significativos na análise. No Modelo 2, a primeira hipótese é testada em um modelo estendido, no qual a globalização política e social, bem como a liberdade de imprensa, são adicionadas como variáveis de controle. Como os resultados demonstram, o impacto da boa auditoria governamental cai apenas ligeiramente e permanece significativo ao nível de 0,01. A liberdade de imprensa tem apenas um efeito marginalmente significativo, e as três variáveis que controlam a dimensão de internacionalização — abertura comercial, globalização política e social — não apresentam impacto significativo. O impacto claro e estatisticamente significativo da boa auditoria governamental sobre o desempenho do setor público, apesar do controle por esses fatores, é um tanto inesperado, mas revela a importância de como a auditoria é organizada para sua possibilidade de ter um impacto positivo sobre o setor público — uma dimensão negligenciada em pesquisas anteriores. De acordo com a teoria, espera-se também que os três princípios da boa auditoria governamental tenham efeitos independentes sobre o desempenho do setor público. Assim, no Modelo 3 é testada a segunda hipótese: se o órgão nacional de auditoria é independente do governo, ele gera melhor desempenho do setor público. O Modelo 4 investiga a terceira hipótese: se o órgão nacional de auditoria é profissional, isto é, possui as habilidades e a educação apropriadas, ele gera melhor desempenho do setor público; e o Modelo 5 testa a quarta hipótese: se o órgão nacional de auditoria comunica regularmente seus resultados ao público, ele gera melhor desempenho do setor público.</w:t>
      </w:r>
    </w:p>
    <w:p>
      <w:pPr>
        <w:spacing w:after="120" w:before="240" w:line="360"/>
      </w:pPr>
      <w:r>
        <w:rPr>
          <w:rFonts w:ascii="Times New Roman" w:cs="Times New Roman" w:eastAsia="Times New Roman" w:hAnsi="Times New Roman"/>
          <w:b/>
          <w:bCs/>
          <w:sz w:val="24"/>
          <w:szCs w:val="24"/>
        </w:rPr>
        <w:t xml:space="preserve">Tabela 1 — Boa auditoria governamental e desempenho do setor público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029"/>
        <w:gridCol w:w="1029"/>
        <w:gridCol w:w="1029"/>
        <w:gridCol w:w="1029"/>
        <w:gridCol w:w="1029"/>
        <w:gridCol w:w="1029"/>
        <w:gridCol w:w="1029"/>
      </w:tblGrid>
      <w:tr>
        <w:tc>
          <w:tcPr>
            <w:tcW w:type="dxa" w:w="2400"/>
            <w:shd w:fill="E8E8E8" w:color="auto" w:val="clear"/>
            <w:tcMar>
              <w:top w:type="dxa" w:w="30"/>
              <w:left w:type="dxa" w:w="60"/>
              <w:bottom w:type="dxa" w:w="30"/>
              <w:right w:type="dxa" w:w="60"/>
            </w:tcMar>
          </w:tcPr>
          <w:p>
            <w:pPr>
              <w:spacing w:line="240"/>
              <w:jc w:val="left"/>
            </w:pPr>
            <w:r>
              <w:rPr>
                <w:rFonts w:ascii="Times New Roman" w:cs="Times New Roman" w:eastAsia="Times New Roman" w:hAnsi="Times New Roman"/>
                <w:b/>
                <w:bCs/>
                <w:sz w:val="18"/>
                <w:szCs w:val="18"/>
              </w:rPr>
              <w:t xml:space="preserve">Variável</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1</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2</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3</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4</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5</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6</w:t>
            </w:r>
          </w:p>
        </w:tc>
        <w:tc>
          <w:tcPr>
            <w:tcW w:type="dxa" w:w="1029"/>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 7</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Índice Boa Auditoria Gov.</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0,345***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0,298***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0,191***</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0,318**</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(0,038)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(0,046)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(0,132)</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Independência da auditoria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0,199***</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(0,038)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Profissionalismo da auditoria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0,328***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(0,048)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Comunicação da auditoria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0,236***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(0,040)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PIB/capita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0,209***</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0,132*</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0,168**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0,133*</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0,140*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0,215***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0,463**</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Abertura comercial</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0,065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-0,002</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0,031</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-0,134</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Globalização política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-0,002</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0,001</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-0,004</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Globalização social</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0,004</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0,004</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0,004</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0,013***</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0,026*</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Ex-colônia britânica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-0,113</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-0,087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-0,016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-0,095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0,137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0,360</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Liberdade de imprensa</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0,006**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0,011***</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0,032***</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N.º de países</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105</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Constante</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-3,878***</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-3,106***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-3,097***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-3,380***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-3,127***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-4,037***</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-3,592*</w:t>
            </w:r>
          </w:p>
        </w:tc>
      </w:tr>
      <w:tr>
        <w:tc>
          <w:tcPr>
            <w:tcW w:type="dxa" w:w="24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R² ajustado</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0,710</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0,736</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0,682</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0,724</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0,695</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0,812</w:t>
            </w:r>
          </w:p>
        </w:tc>
        <w:tc>
          <w:tcPr>
            <w:tcW w:type="dxa" w:w="1029"/>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0,705</w:t>
            </w:r>
          </w:p>
        </w:tc>
      </w:tr>
    </w:tbl>
    <w:p>
      <w:pPr>
        <w:spacing w:after="160" w:before="80" w:line="240"/>
      </w:pPr>
      <w:r>
        <w:rPr>
          <w:rFonts w:ascii="Times New Roman" w:cs="Times New Roman" w:eastAsia="Times New Roman" w:hAnsi="Times New Roman"/>
          <w:i/>
          <w:iCs/>
          <w:sz w:val="18"/>
          <w:szCs w:val="18"/>
        </w:rPr>
        <w:t xml:space="preserve">Nota: todas as estimativas são coeficientes de regressão não padronizados, com erros-padrão entre parênteses. Nos Modelos 1-5, a variável dependente é o “índice de imparcialidade” da Quality of Government Expert Survey, 2015. A variável dependente do Modelo 6 é o indicador de “efetividade governamental” do Banco Mundial (2010) e, no Modelo 7, o “índice de percepção da corrupção” da Transparência Internacional (2012). *p &lt; 0,10; **p &lt; 0,05; ***p &lt; 0,01.</w:t>
      </w:r>
    </w:p>
    <w:p>
      <w:pPr>
        <w:spacing w:after="120" w:line="360"/>
        <w:ind w:firstLine="567"/>
        <w:jc w:val="both"/>
      </w:pPr>
      <w:r>
        <w:rPr>
          <w:rFonts w:ascii="Times New Roman" w:cs="Times New Roman" w:eastAsia="Times New Roman" w:hAnsi="Times New Roman"/>
          <w:sz w:val="24"/>
          <w:szCs w:val="24"/>
        </w:rPr>
        <w:t xml:space="preserve">Executar o modelo completo de regressão estendido com cada uma das três partes do índice de boa auditoria governamental também torna possível verificar se alguma das partes do índice é mais importante do que as outras e talvez esteja impulsionando os resultados do índice como um todo. Os Modelos 3 a 5 ilustram como cada um dos princípios da boa auditoria governamental tem um impacto claro sobre a qualidade da burocracia, significativo ao nível de 0,01. À luz da literatura sobre auditoria, que enfatiza primordialmente a importância da independência, é um tanto surpreendente ver como o princípio da independência demonstra o efeito mais fraco dos três princípios, com um coeficiente de 0,199. O efeito mais forte é encontrado no profissionalismo (0,328), enquanto a comunicação se situa no meio, com um efeito de 0,236. Como se vê, contudo, não há grande diferença entre os três princípios. No Modelo 5, é interessante notar como comunicar os resultados de auditoria ao público permanece significativo, com um impacto relativamente alto sobre a variável dependente, mesmo quando se controla a liberdade de imprensa. Embora esses resultados estejam em linha com estudos anteriores que demonstram como as pessoas confiam mais em informações de desempenho de órgãos de auditoria independentes do que na mídia em geral (James 2010), para um público mais amplo, a liberdade de imprensa provavelmente seria considerada mais importante para sustentar uma burocracia de bom desempenho, pois diversos estudos demonstraram como a liberdade de imprensa tem impacto significativo sobre os níveis de corrupção (por exemplo, Brunetti e Weder 2003). De modo semelhante ao Modelo 2, o PIB per capita e a liberdade de imprensa permanecem significativos nas três regressões, enquanto as demais variáveis de controle não apresentam impacto significativo.</w:t>
      </w:r>
    </w:p>
    <w:p>
      <w:pPr>
        <w:spacing w:after="120" w:line="360"/>
        <w:ind w:firstLine="567"/>
        <w:jc w:val="both"/>
      </w:pPr>
      <w:r>
        <w:rPr>
          <w:rFonts w:ascii="Times New Roman" w:cs="Times New Roman" w:eastAsia="Times New Roman" w:hAnsi="Times New Roman"/>
          <w:sz w:val="24"/>
          <w:szCs w:val="24"/>
        </w:rPr>
        <w:t xml:space="preserve">Nos Modelos 6 e 7, a robustez dos resultados é testada mudando-se a variável dependente: no Modelo 6, para efetividade governamental (World Bank Governance Indicators, 2010) e, no Modelo 7, para níveis de corrupção (Transparência Internacional, Índice de Percepção da Corrupção, 2012). A escala do índice de percepção da corrupção é organizada de modo que valores mais altos indiquem níveis mais baixos de corrupção. O coeficiente da boa auditoria governamental cai ligeiramente no Modelo 6, mas ainda tem um impacto claro e permanece significativo ao nível de 0,01. Mudar a variável dependente para efetividade governamental fez a globalização social se tornar significativa ao nível de 0,01, embora seu efeito seja bastante limitado, com efeito estimado de 0,013. Usando percepções de corrupção como variável dependente no Modelo 7, o efeito da boa auditoria governamental aumenta, mas seu nível de significância cai ligeiramente para 0,05. Uma mudança semelhante é observada para o PIB per capita (aumento no efeito, mas queda no nível de significância), enquanto o efeito da liberdade de imprensa aumenta e permanece significativo ao nível de 0,01. Como o princípio de ter auditores profissionais demonstrou o efeito mais forte da parte da boa auditoria governamental, a robustez dos resultados também é testada controlando-se a multicolinearidade com a profissionalização da burocracia em geral. Pesquisas anteriores mostraram como o recrutamento meritocrático de funcionários públicos tem efeito forte e significativo sobre os níveis de corrupção (Dahlström, Lapuente e Teorell 2012); assim, poderia haver o risco de que essa parte do índice, na verdade, estivesse captando a profissionalização em geral. Para controlar isso, utiliza-se o índice de profissionalização da Quality of Government Expert Survey 2015, que mede em que medida a administração pública é profissional em vez de politizada. Valores mais altos indicam uma administração mais profissional (Dahlström et al. 2015b). Como esperado, a correlação entre o índice de profissionalização e o profissionalismo da auditoria é alta (correlação de Pearson = 0,691) e significativa ao nível de 0,01; contudo, os valores não são tão altos a ponto de sinalizar problemas de multicolinearidade. Para controlar adicionalmente a multicolinearidade, executo um modelo de regressão com a imparcialidade da administração pública como variável dependente e o índice de profissionalização e o profissionalismo da auditoria como variáveis independentes. Para esse modelo, o diagnóstico de colinearidade apresenta um valor de VIF de 1,880, não indicando, portanto, quaisquer problemas de multicolinearidade entre as variáveis. Para realizar testes adicionais de robustez dos resultados, executo dois modelos de regressão incluindo o índice de profissionalização como variável de controle.</w:t>
      </w:r>
    </w:p>
    <w:p>
      <w:pPr>
        <w:spacing w:after="120" w:before="240" w:line="360"/>
      </w:pPr>
      <w:r>
        <w:rPr>
          <w:rFonts w:ascii="Times New Roman" w:cs="Times New Roman" w:eastAsia="Times New Roman" w:hAnsi="Times New Roman"/>
          <w:b/>
          <w:bCs/>
          <w:sz w:val="24"/>
          <w:szCs w:val="24"/>
        </w:rPr>
        <w:t xml:space="preserve">Tabela 2 — Teste de robustez da boa auditoria governamental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tblGrid>
      <w:tr>
        <w:tc>
          <w:tcPr>
            <w:tcW w:type="dxa" w:w="4000"/>
            <w:shd w:fill="E8E8E8" w:color="auto" w:val="clear"/>
            <w:tcMar>
              <w:top w:type="dxa" w:w="30"/>
              <w:left w:type="dxa" w:w="60"/>
              <w:bottom w:type="dxa" w:w="30"/>
              <w:right w:type="dxa" w:w="60"/>
            </w:tcMar>
          </w:tcPr>
          <w:p>
            <w:pPr>
              <w:spacing w:line="240"/>
              <w:jc w:val="left"/>
            </w:pPr>
            <w:r>
              <w:rPr>
                <w:rFonts w:ascii="Times New Roman" w:cs="Times New Roman" w:eastAsia="Times New Roman" w:hAnsi="Times New Roman"/>
                <w:b/>
                <w:bCs/>
                <w:sz w:val="18"/>
                <w:szCs w:val="18"/>
              </w:rPr>
              <w:t xml:space="preserve">Variável</w:t>
            </w:r>
          </w:p>
        </w:tc>
        <w:tc>
          <w:tcPr>
            <w:tcW w:type="dxa" w:w="1600"/>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Modelo 1</w:t>
            </w:r>
          </w:p>
        </w:tc>
        <w:tc>
          <w:tcPr>
            <w:tcW w:type="dxa" w:w="1600"/>
            <w:shd w:fill="E8E8E8" w:color="auto" w:val="clear"/>
            <w:tcMar>
              <w:top w:type="dxa" w:w="30"/>
              <w:left w:type="dxa" w:w="60"/>
              <w:bottom w:type="dxa" w:w="30"/>
              <w:right w:type="dxa" w:w="60"/>
            </w:tcMar>
          </w:tcPr>
          <w:p>
            <w:pPr>
              <w:spacing w:line="240"/>
              <w:jc w:val="center"/>
            </w:pPr>
            <w:r>
              <w:rPr>
                <w:rFonts w:ascii="Times New Roman" w:cs="Times New Roman" w:eastAsia="Times New Roman" w:hAnsi="Times New Roman"/>
                <w:b/>
                <w:bCs/>
                <w:sz w:val="18"/>
                <w:szCs w:val="18"/>
              </w:rPr>
              <w:t xml:space="preserve">Modelo 2</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Índice Boa Auditoria Gov.</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0,195***</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(0,039)</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Profissionalismo da auditoria</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0,210***</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(0,045)</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Administração Pública profissional</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0,315***</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0,310***</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(0,049)</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(0,050)</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N.º de países</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103</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104</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Constante</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-3,091</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-3,218</w:t>
            </w:r>
          </w:p>
        </w:tc>
      </w:tr>
      <w:tr>
        <w:tc>
          <w:tcPr>
            <w:tcW w:type="dxa" w:w="4000"/>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8"/>
                <w:szCs w:val="18"/>
              </w:rPr>
              <w:t xml:space="preserve">R² ajustado</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0,818</w:t>
            </w:r>
          </w:p>
        </w:tc>
        <w:tc>
          <w:tcPr>
            <w:tcW w:type="dxa" w:w="1600"/>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8"/>
                <w:szCs w:val="18"/>
              </w:rPr>
              <w:t xml:space="preserve">0,817</w:t>
            </w:r>
          </w:p>
        </w:tc>
      </w:tr>
    </w:tbl>
    <w:p>
      <w:pPr>
        <w:spacing w:after="160" w:before="80" w:line="240"/>
      </w:pPr>
      <w:r>
        <w:rPr>
          <w:rFonts w:ascii="Times New Roman" w:cs="Times New Roman" w:eastAsia="Times New Roman" w:hAnsi="Times New Roman"/>
          <w:i/>
          <w:iCs/>
          <w:sz w:val="18"/>
          <w:szCs w:val="18"/>
        </w:rPr>
        <w:t xml:space="preserve">Nota: as estimativas são coeficientes de regressão não padronizados, com erros-padrão entre parênteses. Em ambos os modelos, a variável dependente é o “índice de imparcialidade” da QoG Survey 2015. Os modelos incluem as mesmas variáveis de controle do Modelo 2 da Tabela 1: PIB/capita, abertura comercial, globalização política e social, ex-colônia britânica e liberdade de imprensa. *p &lt; 0,10; **p &lt; 0,05; ***p &lt; 0,01.</w:t>
      </w:r>
    </w:p>
    <w:p>
      <w:pPr>
        <w:spacing w:after="120" w:line="360"/>
        <w:ind w:firstLine="567"/>
        <w:jc w:val="both"/>
      </w:pPr>
      <w:r>
        <w:rPr>
          <w:rFonts w:ascii="Times New Roman" w:cs="Times New Roman" w:eastAsia="Times New Roman" w:hAnsi="Times New Roman"/>
          <w:sz w:val="24"/>
          <w:szCs w:val="24"/>
        </w:rPr>
        <w:t xml:space="preserve">Os resultados são apresentados na Tabela 2. Como se vê no Modelo 1, o efeito da boa auditoria governamental cai de 0,298 (Modelo 2, Tabela 1) para 0,195 quando a profissionalização geral da administração pública é adicionada ao modelo. Ele permanece, contudo, com um impacto claro, significativo ao nível de 0,01. De modo semelhante, o efeito do profissionalismo da auditoria cai de 0,328 (Modelo 4, Tabela 1) para 0,210 no Modelo 2 (Tabela 2), mas permanece significativo ao nível de 0,01. Como esperado, o índice geral de profissionalismo tem impacto maior sobre a qualidade da administração pública do que o índice de boa auditoria governamental e o profissionalismo da auditoria, com valores de coeficiente de 0,315 (Modelo 1) e 0,310 (Modelo 2), significativos ao nível de 0,01. Embora os efeitos da auditoria caiam em certa medida quando o profissionalismo geral é adicionado aos modelos, o efeito da boa auditoria governamental sobre a qualidade da administração pública permanece claro e estatisticamente significativo, o que confere suporte robusto aos achados iniciais.</w:t>
      </w:r>
    </w:p>
    <w:p>
      <w:pPr>
        <w:spacing w:after="120" w:before="240" w:line="360"/>
      </w:pPr>
      <w:r>
        <w:rPr>
          <w:rFonts w:ascii="Times New Roman" w:cs="Times New Roman" w:eastAsia="Times New Roman" w:hAnsi="Times New Roman"/>
          <w:b/>
          <w:bCs/>
          <w:sz w:val="26"/>
          <w:szCs w:val="26"/>
        </w:rPr>
        <w:t xml:space="preserve">Discussão conclusiva</w:t>
      </w:r>
    </w:p>
    <w:p>
      <w:pPr>
        <w:spacing w:after="120" w:line="360"/>
        <w:ind w:firstLine="567"/>
        <w:jc w:val="both"/>
      </w:pPr>
      <w:r>
        <w:rPr>
          <w:rFonts w:ascii="Times New Roman" w:cs="Times New Roman" w:eastAsia="Times New Roman" w:hAnsi="Times New Roman"/>
          <w:sz w:val="24"/>
          <w:szCs w:val="24"/>
        </w:rPr>
        <w:t xml:space="preserve">Verificar e controlar como os recursos são utilizados quando manejados por alguém que não seja seu proprietário original é um procedimento normativo com longa história em diferentes tipos de sociedade ao redor do mundo, tanto em autocracias quanto em democracias. Em nosso mundo contemporâneo, quase todos os países possuem um órgão nacional de auditoria para monitorar e avaliar as finanças e o desempenho da administração pública, a fim de assegurar que os recursos públicos sejam utilizados corretamente e de maneira eficiente. Não obstante, se a auditoria efetivamente conduz a uma administração pública de bom desempenho é uma questão que não foi adequadamente respondida em pesquisas anteriores. Diversos estudiosos levantaram o temor de que a auditoria tenha impacto negativo sobre as organizações submetidas a auditoria, levando à desconfiança, à desprofissionalização e a um viés em favor de atividades mensuráveis em vez do foco na substância das atividades. Os estudos empíricos sobre o impacto da auditoria no desempenho do setor público têm sido limitados e, em geral, concentrados em organizações isoladas ou campos isolados dentro do setor público, em um mesmo país. A pesquisa sobre atividades de auditoria e inspeção em organizações também demonstrou resultados mistos, em que alguns estudos mostram impacto positivo e outros, impacto negativo ou nulo. Uma razão para os resultados mistos, bem como para os temores que os estudiosos levantaram sobre a auditoria, poderia ser a falta de um arcabouço teórico geral que estabeleça o que pode constituir a “boa auditoria” do setor público. De modo semelhante ao fato de não ser certo que a mera “governança” conduza a quaisquer resultados positivos em um país, simplesmente ter “auditoria” não assegura que a administração seja monitorada de um modo benéfico para o seu funcionamento. Os estudiosos definiram e debateram o que constitui a “boa governança” ou a “qualidade de governo”, uma vez que a presença dessas condições em um país demonstrou conduzir a diversos resultados positivos, tais como menos pobreza, menor mortalidade infantil e melhor saúde entre os cidadãos (Azfar e Gurgur 2005; Gupta, Davoodi e Alonso-Terme 2002; Holmberg, Rothstein e Nasiritousi 2009). Argumentei que há três princípios centrais sobre os quais uma definição de “boa auditoria governamental” deveria ser construída e, neste artigo, esses princípios foram operacionalizados e testados empiricamente.</w:t>
      </w:r>
    </w:p>
    <w:p>
      <w:pPr>
        <w:spacing w:after="120" w:line="360"/>
        <w:ind w:firstLine="567"/>
        <w:jc w:val="both"/>
      </w:pPr>
      <w:r>
        <w:rPr>
          <w:rFonts w:ascii="Times New Roman" w:cs="Times New Roman" w:eastAsia="Times New Roman" w:hAnsi="Times New Roman"/>
          <w:sz w:val="24"/>
          <w:szCs w:val="24"/>
        </w:rPr>
        <w:t xml:space="preserve">Os resultados demonstram evidentemente que, se a auditoria é organizada de acordo com esses princípios, ela tem uma influência positiva distinta e estatisticamente significativa sobre o desempenho do setor público, mesmo quando se controla por diversas explicações alternativas e se alteram as medidas de uma administração pública de bom desempenho. A independência da auditoria demonstra o efeito mais fraco dos três princípios quando testados separadamente, o que, à luz da literatura, é bastante surpreendente, pois a independência é considerada a pedra angular da auditoria. Em vez disso, o profissionalismo da auditoria demonstra o impacto mais positivo sobre o desempenho do setor público. Esses resultados estão em linha com pesquisas anteriores que ilustram como um alto grau de conhecimento, por parte das pessoas que conduzem os controles, na área que está sendo monitorada é altamente significativo para as possibilidades de um impacto positivo do controle (cf. Boyne, Day e Walker 2002). Em particular, em países pobres — que também tendem a ter os maiores problemas com setores públicos disfuncionais —, ter auditores com habilidades e educação apropriadas demonstrou-se, em estudos anteriores, crucial para que o órgão de auditoria cumpra sua missão (Gustavson 2014; Isaksson e Bigsten 2012). Embora o profissionalismo da auditoria demonstre o efeito mais forte, as diferenças entre os efeitos do índice de “boa auditoria governamental” e de cada um dos três princípios não são muito grandes. Isso indica que cada parte da boa auditoria governamental é central para criar um setor público de alta qualidade.</w:t>
      </w:r>
    </w:p>
    <w:p>
      <w:pPr>
        <w:spacing w:after="120" w:line="360"/>
        <w:ind w:firstLine="567"/>
        <w:jc w:val="both"/>
      </w:pPr>
      <w:r>
        <w:rPr>
          <w:rFonts w:ascii="Times New Roman" w:cs="Times New Roman" w:eastAsia="Times New Roman" w:hAnsi="Times New Roman"/>
          <w:sz w:val="24"/>
          <w:szCs w:val="24"/>
        </w:rPr>
        <w:t xml:space="preserve">A principal implicação de política pública desses achados é continuar a apoiar os órgãos nacionais de auditoria em países em desenvolvimento por meio de diversos programas de cooperação para o desenvolvimento, pois isso se mostra um fator importante que contribui para setores públicos que funcionem melhor. Uma administração pública de alta qualidade, por sua vez, demonstrou gerar diversos bons resultados na sociedade, tais como menor mortalidade infantil, menos pobreza e melhor saúde entre a população. Assim, como a auditoria, de acordo com os resultados deste artigo, parece contribuir indiretamente para tais resultados desejados, promover órgãos de auditoria em países pobres deveria ser uma área prioritária dentro da ajuda ao desenvolvimento. Os efeitos significativos e independentes dos três princípios da boa auditoria governamental indicam que essas três áreas poderiam ser um foco produtivo de tais programas. Se a independência e a comunicação ao público — inclusive de resultados inconvenientes — forem difíceis de promover em razão de restrições políticas, direcionar recursos para construir conhecimento, habilidades e expertise entre os auditores públicos é um caminho construtivo para gerar melhor qualidade do setor público.</w:t>
      </w:r>
    </w:p>
    <w:p>
      <w:pPr>
        <w:spacing w:after="120" w:line="360"/>
        <w:ind w:firstLine="567"/>
        <w:jc w:val="both"/>
      </w:pPr>
      <w:r>
        <w:rPr>
          <w:rFonts w:ascii="Times New Roman" w:cs="Times New Roman" w:eastAsia="Times New Roman" w:hAnsi="Times New Roman"/>
          <w:sz w:val="24"/>
          <w:szCs w:val="24"/>
        </w:rPr>
        <w:t xml:space="preserve">Por fim, se não houvesse nenhum controle e monitoramento dos funcionários públicos, haveria o risco iminente de que fraude, corrupção e outras formas de má gestão aumentassem (McCubbins, Noll e Weingast 1987). Contudo, uma rápida observação empírica do mundo nos diz que meramente ter um órgão nacional de auditoria conduzindo auditorias do setor público não produz o efeito desejado de conter tais práticas indevidas. Neste artigo, demonstrei como a auditoria pode, de fato, desempenhar um papel essencial na criação de setores públicos que funcionem bem, mas isso ainda requer que ela seja organizada de acordo com os princípios apropriados, isto é, os princípios da boa auditoria governamental.</w:t>
      </w:r>
    </w:p>
    <w:p>
      <w:pPr>
        <w:pBdr>
          <w:top w:val="single" w:color="999999" w:sz="4" w:space="6"/>
        </w:pBdr>
        <w:spacing w:after="60" w:before="240"/>
      </w:pPr>
      <w:r>
        <w:rPr>
          <w:rFonts w:ascii="Times New Roman" w:cs="Times New Roman" w:eastAsia="Times New Roman" w:hAnsi="Times New Roman"/>
          <w:i/>
          <w:iCs/>
          <w:sz w:val="18"/>
          <w:szCs w:val="18"/>
        </w:rPr>
        <w:t xml:space="preserve">¹ Esta seção baseia-se em Gustavson (no prelo), “What is Good Government Auditing? Seeking the Democratic Foundations of a Horizontal Accountability Mechanism”.</w:t>
      </w:r>
    </w:p>
    <w:p>
      <w:pPr>
        <w:spacing w:after="120" w:before="240" w:line="360"/>
      </w:pPr>
      <w:r>
        <w:rPr>
          <w:rFonts w:ascii="Times New Roman" w:cs="Times New Roman" w:eastAsia="Times New Roman" w:hAnsi="Times New Roman"/>
          <w:b/>
          <w:bCs/>
          <w:sz w:val="26"/>
          <w:szCs w:val="26"/>
        </w:rPr>
        <w:t xml:space="preserve">REFERÊNCIAS</w:t>
      </w:r>
    </w:p>
    <w:p>
      <w:pPr>
        <w:spacing w:after="80" w:line="240"/>
        <w:ind w:left="567" w:hanging="567"/>
        <w:jc w:val="both"/>
      </w:pPr>
      <w:r>
        <w:rPr>
          <w:rFonts w:ascii="Times New Roman" w:cs="Times New Roman" w:eastAsia="Times New Roman" w:hAnsi="Times New Roman"/>
          <w:sz w:val="22"/>
          <w:szCs w:val="22"/>
        </w:rPr>
        <w:t xml:space="preserve">ABBOTT, A. D. The system of professions: an essay on the division of expert labor. Chicago: University of Chicago Press, 1988.</w:t>
      </w:r>
    </w:p>
    <w:p>
      <w:pPr>
        <w:spacing w:after="80" w:line="240"/>
        <w:ind w:left="567" w:hanging="567"/>
        <w:jc w:val="both"/>
      </w:pPr>
      <w:r>
        <w:rPr>
          <w:rFonts w:ascii="Times New Roman" w:cs="Times New Roman" w:eastAsia="Times New Roman" w:hAnsi="Times New Roman"/>
          <w:sz w:val="22"/>
          <w:szCs w:val="22"/>
        </w:rPr>
        <w:t xml:space="preserve">ANDERSSON, S.; BERGMAN, T. Controlling corruption in the public sector. Scandinavian Political Studies, v. 32, p. 45-70, 2009.</w:t>
      </w:r>
    </w:p>
    <w:p>
      <w:pPr>
        <w:spacing w:after="80" w:line="240"/>
        <w:ind w:left="567" w:hanging="567"/>
        <w:jc w:val="both"/>
      </w:pPr>
      <w:r>
        <w:rPr>
          <w:rFonts w:ascii="Times New Roman" w:cs="Times New Roman" w:eastAsia="Times New Roman" w:hAnsi="Times New Roman"/>
          <w:sz w:val="22"/>
          <w:szCs w:val="22"/>
        </w:rPr>
        <w:t xml:space="preserve">ANDREWS, R.; BOYNE, G. A.; LAW, J.; WALKER, R. Organizational strategy, external regulation and public service performance. Public Administration, v. 86, n. 1, p. 185-203, 2008.</w:t>
      </w:r>
    </w:p>
    <w:p>
      <w:pPr>
        <w:spacing w:after="80" w:line="240"/>
        <w:ind w:left="567" w:hanging="567"/>
        <w:jc w:val="both"/>
      </w:pPr>
      <w:r>
        <w:rPr>
          <w:rFonts w:ascii="Times New Roman" w:cs="Times New Roman" w:eastAsia="Times New Roman" w:hAnsi="Times New Roman"/>
          <w:sz w:val="22"/>
          <w:szCs w:val="22"/>
        </w:rPr>
        <w:t xml:space="preserve">ANTLE, R. Auditor independence. Journal of Accounting Research, v. 22, p. 1-20, 1984.</w:t>
      </w:r>
    </w:p>
    <w:p>
      <w:pPr>
        <w:spacing w:after="80" w:line="240"/>
        <w:ind w:left="567" w:hanging="567"/>
        <w:jc w:val="both"/>
      </w:pPr>
      <w:r>
        <w:rPr>
          <w:rFonts w:ascii="Times New Roman" w:cs="Times New Roman" w:eastAsia="Times New Roman" w:hAnsi="Times New Roman"/>
          <w:sz w:val="22"/>
          <w:szCs w:val="22"/>
        </w:rPr>
        <w:t xml:space="preserve">ARISTÓTELES. The Politics and the Constitution of Athens. Ed. S. Everson. Cambridge: Cambridge University Press, 1996.</w:t>
      </w:r>
    </w:p>
    <w:p>
      <w:pPr>
        <w:spacing w:after="80" w:line="240"/>
        <w:ind w:left="567" w:hanging="567"/>
        <w:jc w:val="both"/>
      </w:pPr>
      <w:r>
        <w:rPr>
          <w:rFonts w:ascii="Times New Roman" w:cs="Times New Roman" w:eastAsia="Times New Roman" w:hAnsi="Times New Roman"/>
          <w:sz w:val="22"/>
          <w:szCs w:val="22"/>
        </w:rPr>
        <w:t xml:space="preserve">AZFAR, O.; GURGUR, T. Does corruption affect health outcomes in the Philippines? Economics of Governance, v. 9, p. 197-244, 2008.</w:t>
      </w:r>
    </w:p>
    <w:p>
      <w:pPr>
        <w:spacing w:after="80" w:line="240"/>
        <w:ind w:left="567" w:hanging="567"/>
        <w:jc w:val="both"/>
      </w:pPr>
      <w:r>
        <w:rPr>
          <w:rFonts w:ascii="Times New Roman" w:cs="Times New Roman" w:eastAsia="Times New Roman" w:hAnsi="Times New Roman"/>
          <w:sz w:val="22"/>
          <w:szCs w:val="22"/>
        </w:rPr>
        <w:t xml:space="preserve">BAYOU, M. E.; REINSTEIN, A.; WILLIAMS, P. F. To tell the truth: a discussion of issues concerning truth and ethics in accounting. Accounting, Organizations and Society, v. 36, p. 109-124, 2011.</w:t>
      </w:r>
    </w:p>
    <w:p>
      <w:pPr>
        <w:spacing w:after="80" w:line="240"/>
        <w:ind w:left="567" w:hanging="567"/>
        <w:jc w:val="both"/>
      </w:pPr>
      <w:r>
        <w:rPr>
          <w:rFonts w:ascii="Times New Roman" w:cs="Times New Roman" w:eastAsia="Times New Roman" w:hAnsi="Times New Roman"/>
          <w:sz w:val="22"/>
          <w:szCs w:val="22"/>
        </w:rPr>
        <w:t xml:space="preserve">BÉDARD, J. Expertise in auditing: myth or reality? Accounting, Organizations and Society, v. 14, p. 113-131, 1989.</w:t>
      </w:r>
    </w:p>
    <w:p>
      <w:pPr>
        <w:spacing w:after="80" w:line="240"/>
        <w:ind w:left="567" w:hanging="567"/>
        <w:jc w:val="both"/>
      </w:pPr>
      <w:r>
        <w:rPr>
          <w:rFonts w:ascii="Times New Roman" w:cs="Times New Roman" w:eastAsia="Times New Roman" w:hAnsi="Times New Roman"/>
          <w:sz w:val="22"/>
          <w:szCs w:val="22"/>
        </w:rPr>
        <w:t xml:space="preserve">BENDOR, J.; GLAZER, A.; HAMMOND, T. Theories of delegation. Annual Review of Political Science, v. 4, p. 235-269, 2001.</w:t>
      </w:r>
    </w:p>
    <w:p>
      <w:pPr>
        <w:spacing w:after="80" w:line="240"/>
        <w:ind w:left="567" w:hanging="567"/>
        <w:jc w:val="both"/>
      </w:pPr>
      <w:r>
        <w:rPr>
          <w:rFonts w:ascii="Times New Roman" w:cs="Times New Roman" w:eastAsia="Times New Roman" w:hAnsi="Times New Roman"/>
          <w:sz w:val="22"/>
          <w:szCs w:val="22"/>
        </w:rPr>
        <w:t xml:space="preserve">BEVAN, G.; HOOD, C. What’s measured is what matters: targets and gaming in the English public health care sector. Public Administration, v. 84, p. 517-538, 2006.</w:t>
      </w:r>
    </w:p>
    <w:p>
      <w:pPr>
        <w:spacing w:after="80" w:line="240"/>
        <w:ind w:left="567" w:hanging="567"/>
        <w:jc w:val="both"/>
      </w:pPr>
      <w:r>
        <w:rPr>
          <w:rFonts w:ascii="Times New Roman" w:cs="Times New Roman" w:eastAsia="Times New Roman" w:hAnsi="Times New Roman"/>
          <w:sz w:val="22"/>
          <w:szCs w:val="22"/>
        </w:rPr>
        <w:t xml:space="preserve">BOYNE, G. A. Sources of public service improvement: a critical review and research agenda. Journal of Public Administration Research and Theory, v. 13, p. 367-394, 2003.</w:t>
      </w:r>
    </w:p>
    <w:p>
      <w:pPr>
        <w:spacing w:after="80" w:line="240"/>
        <w:ind w:left="567" w:hanging="567"/>
        <w:jc w:val="both"/>
      </w:pPr>
      <w:r>
        <w:rPr>
          <w:rFonts w:ascii="Times New Roman" w:cs="Times New Roman" w:eastAsia="Times New Roman" w:hAnsi="Times New Roman"/>
          <w:sz w:val="22"/>
          <w:szCs w:val="22"/>
        </w:rPr>
        <w:t xml:space="preserve">BOYNE, G. A.; DAY, P.; WALKER, R. The evaluation of public service inspection: a theoretical framework. Urban Studies, v. 39, n. 7, p. 1197-1212, 2002.</w:t>
      </w:r>
    </w:p>
    <w:p>
      <w:pPr>
        <w:spacing w:after="80" w:line="240"/>
        <w:ind w:left="567" w:hanging="567"/>
        <w:jc w:val="both"/>
      </w:pPr>
      <w:r>
        <w:rPr>
          <w:rFonts w:ascii="Times New Roman" w:cs="Times New Roman" w:eastAsia="Times New Roman" w:hAnsi="Times New Roman"/>
          <w:sz w:val="22"/>
          <w:szCs w:val="22"/>
        </w:rPr>
        <w:t xml:space="preserve">BRANS, M. Comparative public administration: from general theory to general frameworks. In: PETERS, B. G.; PIERRE, J. (Ed.). The SAGE handbook of public administration. 2. ed. Londres: SAGE Publications, 2012. p. 511-532.</w:t>
      </w:r>
    </w:p>
    <w:p>
      <w:pPr>
        <w:spacing w:after="80" w:line="240"/>
        <w:ind w:left="567" w:hanging="567"/>
        <w:jc w:val="both"/>
      </w:pPr>
      <w:r>
        <w:rPr>
          <w:rFonts w:ascii="Times New Roman" w:cs="Times New Roman" w:eastAsia="Times New Roman" w:hAnsi="Times New Roman"/>
          <w:sz w:val="22"/>
          <w:szCs w:val="22"/>
        </w:rPr>
        <w:t xml:space="preserve">BRANDSMA, G. J.; SCHILLEMANS, T. The accountability cube: measuring accountability. Journal of Public Administration Research and Theory, v. 27, p. 953-975, 2012.</w:t>
      </w:r>
    </w:p>
    <w:p>
      <w:pPr>
        <w:spacing w:after="80" w:line="240"/>
        <w:ind w:left="567" w:hanging="567"/>
        <w:jc w:val="both"/>
      </w:pPr>
      <w:r>
        <w:rPr>
          <w:rFonts w:ascii="Times New Roman" w:cs="Times New Roman" w:eastAsia="Times New Roman" w:hAnsi="Times New Roman"/>
          <w:sz w:val="22"/>
          <w:szCs w:val="22"/>
        </w:rPr>
        <w:t xml:space="preserve">BRUNETTI, A.; WEDER, B. A free press is bad news for corruption. Journal of Public Economics, v. 87, p. 1801-1824, 2003.</w:t>
      </w:r>
    </w:p>
    <w:p>
      <w:pPr>
        <w:spacing w:after="80" w:line="240"/>
        <w:ind w:left="567" w:hanging="567"/>
        <w:jc w:val="both"/>
      </w:pPr>
      <w:r>
        <w:rPr>
          <w:rFonts w:ascii="Times New Roman" w:cs="Times New Roman" w:eastAsia="Times New Roman" w:hAnsi="Times New Roman"/>
          <w:sz w:val="22"/>
          <w:szCs w:val="22"/>
        </w:rPr>
        <w:t xml:space="preserve">BRUNSSON, N.; JACOBSSON, B. A world of standards. Oxford: Oxford University Press, 2000.</w:t>
      </w:r>
    </w:p>
    <w:p>
      <w:pPr>
        <w:spacing w:after="80" w:line="240"/>
        <w:ind w:left="567" w:hanging="567"/>
        <w:jc w:val="both"/>
      </w:pPr>
      <w:r>
        <w:rPr>
          <w:rFonts w:ascii="Times New Roman" w:cs="Times New Roman" w:eastAsia="Times New Roman" w:hAnsi="Times New Roman"/>
          <w:sz w:val="22"/>
          <w:szCs w:val="22"/>
        </w:rPr>
        <w:t xml:space="preserve">BYINGTON, R. J.; SUTTON, S.; MUNTER, P. A professional monopoly’s response: internal and external threats to self-regulation. Journal of Corporate Accounting and Finance, v. 1, p. 307-316, 1990.</w:t>
      </w:r>
    </w:p>
    <w:p>
      <w:pPr>
        <w:spacing w:after="80" w:line="240"/>
        <w:ind w:left="567" w:hanging="567"/>
        <w:jc w:val="both"/>
      </w:pPr>
      <w:r>
        <w:rPr>
          <w:rFonts w:ascii="Times New Roman" w:cs="Times New Roman" w:eastAsia="Times New Roman" w:hAnsi="Times New Roman"/>
          <w:sz w:val="22"/>
          <w:szCs w:val="22"/>
        </w:rPr>
        <w:t xml:space="preserve">BÄCK, H.; HADENIUS, A. Democracy and state capacity: exploring a J-shaped relationship. Governance: An International Journal of Policy, Administration, and Institutions, v. 21, p. 1-24, 2008.</w:t>
      </w:r>
    </w:p>
    <w:p>
      <w:pPr>
        <w:spacing w:after="80" w:line="240"/>
        <w:ind w:left="567" w:hanging="567"/>
        <w:jc w:val="both"/>
      </w:pPr>
      <w:r>
        <w:rPr>
          <w:rFonts w:ascii="Times New Roman" w:cs="Times New Roman" w:eastAsia="Times New Roman" w:hAnsi="Times New Roman"/>
          <w:sz w:val="22"/>
          <w:szCs w:val="22"/>
        </w:rPr>
        <w:t xml:space="preserve">CABRAL, S.; LAZZARINI, S. G. The “guarding the guardians” problem: an analysis of the organizational performance of an internal affairs division. Journal of Public Administration Research and Theory, publicação antecipada, 12 fev. 2014.</w:t>
      </w:r>
    </w:p>
    <w:p>
      <w:pPr>
        <w:spacing w:after="80" w:line="240"/>
        <w:ind w:left="567" w:hanging="567"/>
        <w:jc w:val="both"/>
      </w:pPr>
      <w:r>
        <w:rPr>
          <w:rFonts w:ascii="Times New Roman" w:cs="Times New Roman" w:eastAsia="Times New Roman" w:hAnsi="Times New Roman"/>
          <w:sz w:val="22"/>
          <w:szCs w:val="22"/>
        </w:rPr>
        <w:t xml:space="preserve">CARLSON, D. E.; COWEN, J. M.; FLEMING, D. J. Third-party governance and performance measurement: a case study of publicly funded private school vouchers. Journal of Public Administration Research and Theory, v. 25, p. 897-922, 2013.</w:t>
      </w:r>
    </w:p>
    <w:p>
      <w:pPr>
        <w:spacing w:after="80" w:line="240"/>
        <w:ind w:left="567" w:hanging="567"/>
        <w:jc w:val="both"/>
      </w:pPr>
      <w:r>
        <w:rPr>
          <w:rFonts w:ascii="Times New Roman" w:cs="Times New Roman" w:eastAsia="Times New Roman" w:hAnsi="Times New Roman"/>
          <w:sz w:val="22"/>
          <w:szCs w:val="22"/>
        </w:rPr>
        <w:t xml:space="preserve">CHARRON, N.; LAPUENTE, V. Does democracy produce quality of government? European Journal of Political Research, v. 49, p. 443-470, 2010.</w:t>
      </w:r>
    </w:p>
    <w:p>
      <w:pPr>
        <w:spacing w:after="80" w:line="240"/>
        <w:ind w:left="567" w:hanging="567"/>
        <w:jc w:val="both"/>
      </w:pPr>
      <w:r>
        <w:rPr>
          <w:rFonts w:ascii="Times New Roman" w:cs="Times New Roman" w:eastAsia="Times New Roman" w:hAnsi="Times New Roman"/>
          <w:sz w:val="22"/>
          <w:szCs w:val="22"/>
        </w:rPr>
        <w:t xml:space="preserve">CULLINAN, C. P.; SUTTON, S. G. Defrauding the public interest: a critical examination of reengineered audit processes and the likelihood of detecting fraud. Critical Perspectives on Accounting, v. 13, p. 297-310, 2002.</w:t>
      </w:r>
    </w:p>
    <w:p>
      <w:pPr>
        <w:spacing w:after="80" w:line="240"/>
        <w:ind w:left="567" w:hanging="567"/>
        <w:jc w:val="both"/>
      </w:pPr>
      <w:r>
        <w:rPr>
          <w:rFonts w:ascii="Times New Roman" w:cs="Times New Roman" w:eastAsia="Times New Roman" w:hAnsi="Times New Roman"/>
          <w:sz w:val="22"/>
          <w:szCs w:val="22"/>
        </w:rPr>
        <w:t xml:space="preserve">DAHLSTRÖM, C.; LAPUENTE, V. Explaining cross-country differences in the adoption of performance-related pay in the public sector. Journal of Public Administration Research and Theory, v. 23, n. 4, p. 577-600, 2010.</w:t>
      </w:r>
    </w:p>
    <w:p>
      <w:pPr>
        <w:spacing w:after="80" w:line="240"/>
        <w:ind w:left="567" w:hanging="567"/>
        <w:jc w:val="both"/>
      </w:pPr>
      <w:r>
        <w:rPr>
          <w:rFonts w:ascii="Times New Roman" w:cs="Times New Roman" w:eastAsia="Times New Roman" w:hAnsi="Times New Roman"/>
          <w:sz w:val="22"/>
          <w:szCs w:val="22"/>
        </w:rPr>
        <w:t xml:space="preserve">DAHLSTRÖM, C.; LAPUENTE, V.; TEORELL, J. The merit of meritocratization: politics, bureaucracy and the institutional deterrents of corruption. Political Research Quarterly, v. 65, p. 656-668, 2012.</w:t>
      </w:r>
    </w:p>
    <w:p>
      <w:pPr>
        <w:spacing w:after="80" w:line="240"/>
        <w:ind w:left="567" w:hanging="567"/>
        <w:jc w:val="both"/>
      </w:pPr>
      <w:r>
        <w:rPr>
          <w:rFonts w:ascii="Times New Roman" w:cs="Times New Roman" w:eastAsia="Times New Roman" w:hAnsi="Times New Roman"/>
          <w:sz w:val="22"/>
          <w:szCs w:val="22"/>
        </w:rPr>
        <w:t xml:space="preserve">DAHLSTRÖM, C.; TEORELL, J.; DAHLBERG, S.; HARTMAN, F.; LINDBERG, A. The Quality of Government Expert Survey 2015 – a report. Gotemburgo: The Quality of Government Institute, 2015a.</w:t>
      </w:r>
    </w:p>
    <w:p>
      <w:pPr>
        <w:spacing w:after="80" w:line="240"/>
        <w:ind w:left="567" w:hanging="567"/>
        <w:jc w:val="both"/>
      </w:pPr>
      <w:r>
        <w:rPr>
          <w:rFonts w:ascii="Times New Roman" w:cs="Times New Roman" w:eastAsia="Times New Roman" w:hAnsi="Times New Roman"/>
          <w:sz w:val="22"/>
          <w:szCs w:val="22"/>
        </w:rPr>
        <w:t xml:space="preserve">DAHLSTRÖM, C.; TEORELL, J.; DAHLBERG, S.; HARTMAN, F.; LINDBERG, A. The QoG Expert Survey Dataset II. Gotemburgo: The Quality of Government Institute, 2015b.</w:t>
      </w:r>
    </w:p>
    <w:p>
      <w:pPr>
        <w:spacing w:after="80" w:line="240"/>
        <w:ind w:left="567" w:hanging="567"/>
        <w:jc w:val="both"/>
      </w:pPr>
      <w:r>
        <w:rPr>
          <w:rFonts w:ascii="Times New Roman" w:cs="Times New Roman" w:eastAsia="Times New Roman" w:hAnsi="Times New Roman"/>
          <w:sz w:val="22"/>
          <w:szCs w:val="22"/>
        </w:rPr>
        <w:t xml:space="preserve">FERRAZ, C.; FINAN, F. Exposing corrupt politicians: the effects of Brazil’s publicly released audits on electoral outcomes. The Quarterly Journal of Economics, v. 123, p. 703-745, 2008.</w:t>
      </w:r>
    </w:p>
    <w:p>
      <w:pPr>
        <w:spacing w:after="80" w:line="240"/>
        <w:ind w:left="567" w:hanging="567"/>
        <w:jc w:val="both"/>
      </w:pPr>
      <w:r>
        <w:rPr>
          <w:rFonts w:ascii="Times New Roman" w:cs="Times New Roman" w:eastAsia="Times New Roman" w:hAnsi="Times New Roman"/>
          <w:sz w:val="22"/>
          <w:szCs w:val="22"/>
        </w:rPr>
        <w:t xml:space="preserve">FLINT, D. Philosophy and principles of auditing: an introduction. Basingstoke: Macmillan Education, 1988.</w:t>
      </w:r>
    </w:p>
    <w:p>
      <w:pPr>
        <w:spacing w:after="80" w:line="240"/>
        <w:ind w:left="567" w:hanging="567"/>
        <w:jc w:val="both"/>
      </w:pPr>
      <w:r>
        <w:rPr>
          <w:rFonts w:ascii="Times New Roman" w:cs="Times New Roman" w:eastAsia="Times New Roman" w:hAnsi="Times New Roman"/>
          <w:sz w:val="22"/>
          <w:szCs w:val="22"/>
        </w:rPr>
        <w:t xml:space="preserve">FREIDES, T. Inspector general reports as instruments of governmental accountability. Government Information Quarterly, v. 9, n. 1, p. 53-64, 1992.</w:t>
      </w:r>
    </w:p>
    <w:p>
      <w:pPr>
        <w:spacing w:after="80" w:line="240"/>
        <w:ind w:left="567" w:hanging="567"/>
        <w:jc w:val="both"/>
      </w:pPr>
      <w:r>
        <w:rPr>
          <w:rFonts w:ascii="Times New Roman" w:cs="Times New Roman" w:eastAsia="Times New Roman" w:hAnsi="Times New Roman"/>
          <w:sz w:val="22"/>
          <w:szCs w:val="22"/>
        </w:rPr>
        <w:t xml:space="preserve">GENDRON, Y.; COOPER, D. J.; TOWNELY, B. In the name of accountability: state auditing, independence and new public management. Accounting, Auditing and Accountability Journal, v. 14, p. 278-310, 2000.</w:t>
      </w:r>
    </w:p>
    <w:p>
      <w:pPr>
        <w:spacing w:after="80" w:line="240"/>
        <w:ind w:left="567" w:hanging="567"/>
        <w:jc w:val="both"/>
      </w:pPr>
      <w:r>
        <w:rPr>
          <w:rFonts w:ascii="Times New Roman" w:cs="Times New Roman" w:eastAsia="Times New Roman" w:hAnsi="Times New Roman"/>
          <w:sz w:val="22"/>
          <w:szCs w:val="22"/>
        </w:rPr>
        <w:t xml:space="preserve">GUPTA, S.; DAVOODI, H.; ALONSO-TERME, R. Does corruption affect income inequality and poverty? Economics of Governance, v. 3, p. 23-45, 2002.</w:t>
      </w:r>
    </w:p>
    <w:p>
      <w:pPr>
        <w:spacing w:after="80" w:line="240"/>
        <w:ind w:left="567" w:hanging="567"/>
        <w:jc w:val="both"/>
      </w:pPr>
      <w:r>
        <w:rPr>
          <w:rFonts w:ascii="Times New Roman" w:cs="Times New Roman" w:eastAsia="Times New Roman" w:hAnsi="Times New Roman"/>
          <w:sz w:val="22"/>
          <w:szCs w:val="22"/>
        </w:rPr>
        <w:t xml:space="preserve">GUSTAVSON, M. Auditing good government in Africa: public sector reform, professional norms and the development discourse. Basingstoke: Palgrave Macmillan, 2014.</w:t>
      </w:r>
    </w:p>
    <w:p>
      <w:pPr>
        <w:spacing w:after="80" w:line="240"/>
        <w:ind w:left="567" w:hanging="567"/>
        <w:jc w:val="both"/>
      </w:pPr>
      <w:r>
        <w:rPr>
          <w:rFonts w:ascii="Times New Roman" w:cs="Times New Roman" w:eastAsia="Times New Roman" w:hAnsi="Times New Roman"/>
          <w:sz w:val="22"/>
          <w:szCs w:val="22"/>
        </w:rPr>
        <w:t xml:space="preserve">GUSTAVSON, M.; ROTHSTEIN, B. Can auditing generate trust? The organization of auditing and the quality of government. In: REUTER, M.; WIJKSTRÖM, F.; KRISTENSSON-UGGLA, B. (Ed.). Trust and organizations: confidence across borders. Nova York: Palgrave Macmillan, 2013. p. 41-63.</w:t>
      </w:r>
    </w:p>
    <w:p>
      <w:pPr>
        <w:spacing w:after="80" w:line="240"/>
        <w:ind w:left="567" w:hanging="567"/>
        <w:jc w:val="both"/>
      </w:pPr>
      <w:r>
        <w:rPr>
          <w:rFonts w:ascii="Times New Roman" w:cs="Times New Roman" w:eastAsia="Times New Roman" w:hAnsi="Times New Roman"/>
          <w:sz w:val="22"/>
          <w:szCs w:val="22"/>
        </w:rPr>
        <w:t xml:space="preserve">HANBERGER, A. Democratic accountability in decentralized governance. Scandinavian Political Studies, v. 32, p. 1-22, 2009.</w:t>
      </w:r>
    </w:p>
    <w:p>
      <w:pPr>
        <w:spacing w:after="80" w:line="240"/>
        <w:ind w:left="567" w:hanging="567"/>
        <w:jc w:val="both"/>
      </w:pPr>
      <w:r>
        <w:rPr>
          <w:rFonts w:ascii="Times New Roman" w:cs="Times New Roman" w:eastAsia="Times New Roman" w:hAnsi="Times New Roman"/>
          <w:sz w:val="22"/>
          <w:szCs w:val="22"/>
        </w:rPr>
        <w:t xml:space="preserve">HOLLINGSWORTH, K.; WHITE, F.; HARDEN, I. Audit, accountability and independence: the role of the audit commission. Legal Studies, v. 18, p. 78-99, 1998.</w:t>
      </w:r>
    </w:p>
    <w:p>
      <w:pPr>
        <w:spacing w:after="80" w:line="240"/>
        <w:ind w:left="567" w:hanging="567"/>
        <w:jc w:val="both"/>
      </w:pPr>
      <w:r>
        <w:rPr>
          <w:rFonts w:ascii="Times New Roman" w:cs="Times New Roman" w:eastAsia="Times New Roman" w:hAnsi="Times New Roman"/>
          <w:sz w:val="22"/>
          <w:szCs w:val="22"/>
        </w:rPr>
        <w:t xml:space="preserve">HOLMBERG, S.; ROTHSTEIN, B.; NASIRITOUSI, N. Quality of government: what you get. Annual Review of Political Science, v. 13, p. 135-161, 2009.</w:t>
      </w:r>
    </w:p>
    <w:p>
      <w:pPr>
        <w:spacing w:after="80" w:line="240"/>
        <w:ind w:left="567" w:hanging="567"/>
        <w:jc w:val="both"/>
      </w:pPr>
      <w:r>
        <w:rPr>
          <w:rFonts w:ascii="Times New Roman" w:cs="Times New Roman" w:eastAsia="Times New Roman" w:hAnsi="Times New Roman"/>
          <w:sz w:val="22"/>
          <w:szCs w:val="22"/>
        </w:rPr>
        <w:t xml:space="preserve">HOOD, C.; PETERS, G. The middle aging of new public management: into the age of paradox? Journal of Public Administration Research and Theory, v. 14, n. 3, p. 267-282, 2004.</w:t>
      </w:r>
    </w:p>
    <w:p>
      <w:pPr>
        <w:spacing w:after="80" w:line="240"/>
        <w:ind w:left="567" w:hanging="567"/>
        <w:jc w:val="both"/>
      </w:pPr>
      <w:r>
        <w:rPr>
          <w:rFonts w:ascii="Times New Roman" w:cs="Times New Roman" w:eastAsia="Times New Roman" w:hAnsi="Times New Roman"/>
          <w:sz w:val="22"/>
          <w:szCs w:val="22"/>
        </w:rPr>
        <w:t xml:space="preserve">INTOSAI. International Organization of Supreme Audit Institutions. The Lima Declaration of Guidelines on Auditing Precepts. Adotada originalmente no IX Congresso da INTOSAI em Lima, 1977; republicada pela INTOSAI, 1998.</w:t>
      </w:r>
    </w:p>
    <w:p>
      <w:pPr>
        <w:spacing w:after="80" w:line="240"/>
        <w:ind w:left="567" w:hanging="567"/>
        <w:jc w:val="both"/>
      </w:pPr>
      <w:r>
        <w:rPr>
          <w:rFonts w:ascii="Times New Roman" w:cs="Times New Roman" w:eastAsia="Times New Roman" w:hAnsi="Times New Roman"/>
          <w:sz w:val="22"/>
          <w:szCs w:val="22"/>
        </w:rPr>
        <w:t xml:space="preserve">ISAKSSON, A-S.; BIGSTEN, A. Institution building with limited resources: establishing a supreme audit institution in Rwanda. World Development, v. 40, n. 9, p. 1870-1881, 2012.</w:t>
      </w:r>
    </w:p>
    <w:p>
      <w:pPr>
        <w:spacing w:after="80" w:line="240"/>
        <w:ind w:left="567" w:hanging="567"/>
        <w:jc w:val="both"/>
      </w:pPr>
      <w:r>
        <w:rPr>
          <w:rFonts w:ascii="Times New Roman" w:cs="Times New Roman" w:eastAsia="Times New Roman" w:hAnsi="Times New Roman"/>
          <w:sz w:val="22"/>
          <w:szCs w:val="22"/>
        </w:rPr>
        <w:t xml:space="preserve">JAMES, O. Performance measures and democracy: information effects on citizens in field and laboratory experiments. Journal of Public Administration Research and Theory, v. 21, n. 3, p. 399-418, 2011.</w:t>
      </w:r>
    </w:p>
    <w:p>
      <w:pPr>
        <w:spacing w:after="80" w:line="240"/>
        <w:ind w:left="567" w:hanging="567"/>
        <w:jc w:val="both"/>
      </w:pPr>
      <w:r>
        <w:rPr>
          <w:rFonts w:ascii="Times New Roman" w:cs="Times New Roman" w:eastAsia="Times New Roman" w:hAnsi="Times New Roman"/>
          <w:sz w:val="22"/>
          <w:szCs w:val="22"/>
        </w:rPr>
        <w:t xml:space="preserve">KAUFMANN, D.; KRAAY, A.; MASTRUZZI, M. Governance matters VIII: aggregate and individual governance indicators 1996-2008. World Bank Policy Research Working Paper n. 5430. Washington, DC: World Bank, 2009.</w:t>
      </w:r>
    </w:p>
    <w:p>
      <w:pPr>
        <w:spacing w:after="80" w:line="240"/>
        <w:ind w:left="567" w:hanging="567"/>
        <w:jc w:val="both"/>
      </w:pPr>
      <w:r>
        <w:rPr>
          <w:rFonts w:ascii="Times New Roman" w:cs="Times New Roman" w:eastAsia="Times New Roman" w:hAnsi="Times New Roman"/>
          <w:sz w:val="22"/>
          <w:szCs w:val="22"/>
        </w:rPr>
        <w:t xml:space="preserve">LA PORTA, R.; LOPEZ-DE-SILANES, F.; SHLEIFER, A.; VISHNY, R. The quality of government. Journal of Law, Economics &amp; Organization, v. 15, p. 222-279, 1999.</w:t>
      </w:r>
    </w:p>
    <w:p>
      <w:pPr>
        <w:spacing w:after="80" w:line="240"/>
        <w:ind w:left="567" w:hanging="567"/>
        <w:jc w:val="both"/>
      </w:pPr>
      <w:r>
        <w:rPr>
          <w:rFonts w:ascii="Times New Roman" w:cs="Times New Roman" w:eastAsia="Times New Roman" w:hAnsi="Times New Roman"/>
          <w:sz w:val="22"/>
          <w:szCs w:val="22"/>
        </w:rPr>
        <w:t xml:space="preserve">LARSSON, B. Auditor regulation and economic crime policy in Sweden, 1965-2000. Accounting, Organizations and Society, v. 30, p. 127-144, 2005.</w:t>
      </w:r>
    </w:p>
    <w:p>
      <w:pPr>
        <w:spacing w:after="80" w:line="240"/>
        <w:ind w:left="567" w:hanging="567"/>
        <w:jc w:val="both"/>
      </w:pPr>
      <w:r>
        <w:rPr>
          <w:rFonts w:ascii="Times New Roman" w:cs="Times New Roman" w:eastAsia="Times New Roman" w:hAnsi="Times New Roman"/>
          <w:sz w:val="22"/>
          <w:szCs w:val="22"/>
        </w:rPr>
        <w:t xml:space="preserve">LEVI, M. Inducing preferences within organizations. In: KATZNELSON, I.; WEINGAST, B. R. (Ed.). Preferences and situations: points of intersection between historical and rational choice institutionalism. Nova York: Sage, 2005. p. 219-246.</w:t>
      </w:r>
    </w:p>
    <w:p>
      <w:pPr>
        <w:spacing w:after="80" w:line="240"/>
        <w:ind w:left="567" w:hanging="567"/>
        <w:jc w:val="both"/>
      </w:pPr>
      <w:r>
        <w:rPr>
          <w:rFonts w:ascii="Times New Roman" w:cs="Times New Roman" w:eastAsia="Times New Roman" w:hAnsi="Times New Roman"/>
          <w:sz w:val="22"/>
          <w:szCs w:val="22"/>
        </w:rPr>
        <w:t xml:space="preserve">LYNN, L. E. J. Globalization and administrative reform: what is happening in theory? Public Management Review, v. 3, n. 2, p. 191-208, 2001.</w:t>
      </w:r>
    </w:p>
    <w:p>
      <w:pPr>
        <w:spacing w:after="80" w:line="240"/>
        <w:ind w:left="567" w:hanging="567"/>
        <w:jc w:val="both"/>
      </w:pPr>
      <w:r>
        <w:rPr>
          <w:rFonts w:ascii="Times New Roman" w:cs="Times New Roman" w:eastAsia="Times New Roman" w:hAnsi="Times New Roman"/>
          <w:sz w:val="22"/>
          <w:szCs w:val="22"/>
        </w:rPr>
        <w:t xml:space="preserve">MAUTZ, R. K.; SHARAF, H. A. The philosophy of auditing. Iowa City: American Accounting Association, 1961.</w:t>
      </w:r>
    </w:p>
    <w:p>
      <w:pPr>
        <w:spacing w:after="80" w:line="240"/>
        <w:ind w:left="567" w:hanging="567"/>
        <w:jc w:val="both"/>
      </w:pPr>
      <w:r>
        <w:rPr>
          <w:rFonts w:ascii="Times New Roman" w:cs="Times New Roman" w:eastAsia="Times New Roman" w:hAnsi="Times New Roman"/>
          <w:sz w:val="22"/>
          <w:szCs w:val="22"/>
        </w:rPr>
        <w:t xml:space="preserve">McCUBBINS, M. D.; NOLL, R. G.; WEINGAST, B. R. Administrative procedures as instruments of political control. Journal of Law, Economics and Organization, v. 3, n. 2, p. 243-277, 1987.</w:t>
      </w:r>
    </w:p>
    <w:p>
      <w:pPr>
        <w:spacing w:after="80" w:line="240"/>
        <w:ind w:left="567" w:hanging="567"/>
        <w:jc w:val="both"/>
      </w:pPr>
      <w:r>
        <w:rPr>
          <w:rFonts w:ascii="Times New Roman" w:cs="Times New Roman" w:eastAsia="Times New Roman" w:hAnsi="Times New Roman"/>
          <w:sz w:val="22"/>
          <w:szCs w:val="22"/>
        </w:rPr>
        <w:t xml:space="preserve">MILL, J. S. Considerations on representative government. Kitchener: Batoche Books, (1861) 2001.</w:t>
      </w:r>
    </w:p>
    <w:p>
      <w:pPr>
        <w:spacing w:after="80" w:line="240"/>
        <w:ind w:left="567" w:hanging="567"/>
        <w:jc w:val="both"/>
      </w:pPr>
      <w:r>
        <w:rPr>
          <w:rFonts w:ascii="Times New Roman" w:cs="Times New Roman" w:eastAsia="Times New Roman" w:hAnsi="Times New Roman"/>
          <w:sz w:val="22"/>
          <w:szCs w:val="22"/>
        </w:rPr>
        <w:t xml:space="preserve">MILLER, G. Above politics: credible commitment and efficiency in the design of public agencies. Journal of Public Administration Research and Theory, v. 10, n. 2, p. 289-327, 2000.</w:t>
      </w:r>
    </w:p>
    <w:p>
      <w:pPr>
        <w:spacing w:after="80" w:line="240"/>
        <w:ind w:left="567" w:hanging="567"/>
        <w:jc w:val="both"/>
      </w:pPr>
      <w:r>
        <w:rPr>
          <w:rFonts w:ascii="Times New Roman" w:cs="Times New Roman" w:eastAsia="Times New Roman" w:hAnsi="Times New Roman"/>
          <w:sz w:val="22"/>
          <w:szCs w:val="22"/>
        </w:rPr>
        <w:t xml:space="preserve">NORMANTON, E. L. The accountability and audit of governments: a comparative study. Manchester: Manchester University Press, 1966.</w:t>
      </w:r>
    </w:p>
    <w:p>
      <w:pPr>
        <w:spacing w:after="80" w:line="240"/>
        <w:ind w:left="567" w:hanging="567"/>
        <w:jc w:val="both"/>
      </w:pPr>
      <w:r>
        <w:rPr>
          <w:rFonts w:ascii="Times New Roman" w:cs="Times New Roman" w:eastAsia="Times New Roman" w:hAnsi="Times New Roman"/>
          <w:sz w:val="22"/>
          <w:szCs w:val="22"/>
        </w:rPr>
        <w:t xml:space="preserve">O’DONNELL, G. Horizontal accountability in new democracies. In: SCHEDLER, A.; DIAMOND, L.; PLATTNER, M. F. (Ed.). The self-restraining state: power and accountability in new democracies. Boulder: Lynne Rienner Publishers, 1999. p. 29-51.</w:t>
      </w:r>
    </w:p>
    <w:p>
      <w:pPr>
        <w:spacing w:after="80" w:line="240"/>
        <w:ind w:left="567" w:hanging="567"/>
        <w:jc w:val="both"/>
      </w:pPr>
      <w:r>
        <w:rPr>
          <w:rFonts w:ascii="Times New Roman" w:cs="Times New Roman" w:eastAsia="Times New Roman" w:hAnsi="Times New Roman"/>
          <w:sz w:val="22"/>
          <w:szCs w:val="22"/>
        </w:rPr>
        <w:t xml:space="preserve">PENTLAND, B. T. Will auditors take over the world? Program, technique and the verification of everything. Accounting, Organizations and Society, v. 25, p. 307-312, 2000.</w:t>
      </w:r>
    </w:p>
    <w:p>
      <w:pPr>
        <w:spacing w:after="80" w:line="240"/>
        <w:ind w:left="567" w:hanging="567"/>
        <w:jc w:val="both"/>
      </w:pPr>
      <w:r>
        <w:rPr>
          <w:rFonts w:ascii="Times New Roman" w:cs="Times New Roman" w:eastAsia="Times New Roman" w:hAnsi="Times New Roman"/>
          <w:sz w:val="22"/>
          <w:szCs w:val="22"/>
        </w:rPr>
        <w:t xml:space="preserve">POLLITT, C. Not odious but onerous: comparative public administration. Public Administration, v. 89, n. 1, p. 114-127, 2011.</w:t>
      </w:r>
    </w:p>
    <w:p>
      <w:pPr>
        <w:spacing w:after="80" w:line="240"/>
        <w:ind w:left="567" w:hanging="567"/>
        <w:jc w:val="both"/>
      </w:pPr>
      <w:r>
        <w:rPr>
          <w:rFonts w:ascii="Times New Roman" w:cs="Times New Roman" w:eastAsia="Times New Roman" w:hAnsi="Times New Roman"/>
          <w:sz w:val="22"/>
          <w:szCs w:val="22"/>
        </w:rPr>
        <w:t xml:space="preserve">POWER, M. Making things auditable. Accounting, Organizations and Society, v. 21, p. 289-315, 1996.</w:t>
      </w:r>
    </w:p>
    <w:p>
      <w:pPr>
        <w:spacing w:after="80" w:line="240"/>
        <w:ind w:left="567" w:hanging="567"/>
        <w:jc w:val="both"/>
      </w:pPr>
      <w:r>
        <w:rPr>
          <w:rFonts w:ascii="Times New Roman" w:cs="Times New Roman" w:eastAsia="Times New Roman" w:hAnsi="Times New Roman"/>
          <w:sz w:val="22"/>
          <w:szCs w:val="22"/>
        </w:rPr>
        <w:t xml:space="preserve">POWER, M. The audit society: rituals of verification. 2. ed. Oxford: Oxford University Press, 1999.</w:t>
      </w:r>
    </w:p>
    <w:p>
      <w:pPr>
        <w:spacing w:after="80" w:line="240"/>
        <w:ind w:left="567" w:hanging="567"/>
        <w:jc w:val="both"/>
      </w:pPr>
      <w:r>
        <w:rPr>
          <w:rFonts w:ascii="Times New Roman" w:cs="Times New Roman" w:eastAsia="Times New Roman" w:hAnsi="Times New Roman"/>
          <w:sz w:val="22"/>
          <w:szCs w:val="22"/>
        </w:rPr>
        <w:t xml:space="preserve">POWER, M. Auditing and the production of legitimacy. Accounting, Organizations and Society, v. 28, p. 379-394, 2003.</w:t>
      </w:r>
    </w:p>
    <w:p>
      <w:pPr>
        <w:spacing w:after="80" w:line="240"/>
        <w:ind w:left="567" w:hanging="567"/>
        <w:jc w:val="both"/>
      </w:pPr>
      <w:r>
        <w:rPr>
          <w:rFonts w:ascii="Times New Roman" w:cs="Times New Roman" w:eastAsia="Times New Roman" w:hAnsi="Times New Roman"/>
          <w:sz w:val="22"/>
          <w:szCs w:val="22"/>
        </w:rPr>
        <w:t xml:space="preserve">POWER, M. The theory of the audit explosion. In: FERLIE, E.; LYNN, L. E.; POLLITT, C. (Ed.). The Oxford handbook of public management. Oxford: Oxford University Press, 2005. p. 326-344.</w:t>
      </w:r>
    </w:p>
    <w:p>
      <w:pPr>
        <w:spacing w:after="80" w:line="240"/>
        <w:ind w:left="567" w:hanging="567"/>
        <w:jc w:val="both"/>
      </w:pPr>
      <w:r>
        <w:rPr>
          <w:rFonts w:ascii="Times New Roman" w:cs="Times New Roman" w:eastAsia="Times New Roman" w:hAnsi="Times New Roman"/>
          <w:sz w:val="22"/>
          <w:szCs w:val="22"/>
        </w:rPr>
        <w:t xml:space="preserve">PRESTON, A. M.; COOPER, D. J.; SCARBROUGH, D. P.; CHILTON, R. C. Changes in the code of ethics of the U.S. accounting profession, 1917 and 1988: the continual quest for legitimation. Accounting, Organizations and Society, v. 20, p. 507-546, 1995.</w:t>
      </w:r>
    </w:p>
    <w:p>
      <w:pPr>
        <w:spacing w:after="80" w:line="240"/>
        <w:ind w:left="567" w:hanging="567"/>
        <w:jc w:val="both"/>
      </w:pPr>
      <w:r>
        <w:rPr>
          <w:rFonts w:ascii="Times New Roman" w:cs="Times New Roman" w:eastAsia="Times New Roman" w:hAnsi="Times New Roman"/>
          <w:sz w:val="22"/>
          <w:szCs w:val="22"/>
        </w:rPr>
        <w:t xml:space="preserve">REICHBORN-KJENNERUD, K. Political accountability and performance audit: the case of the Auditor General in Norway. Public Administration, v. 91, n. 3, p. 680-695, 2013.</w:t>
      </w:r>
    </w:p>
    <w:p>
      <w:pPr>
        <w:spacing w:after="80" w:line="240"/>
        <w:ind w:left="567" w:hanging="567"/>
        <w:jc w:val="both"/>
      </w:pPr>
      <w:r>
        <w:rPr>
          <w:rFonts w:ascii="Times New Roman" w:cs="Times New Roman" w:eastAsia="Times New Roman" w:hAnsi="Times New Roman"/>
          <w:sz w:val="22"/>
          <w:szCs w:val="22"/>
        </w:rPr>
        <w:t xml:space="preserve">ROTHSTEIN, B.; TEORELL, J. What is quality of government? A theory of impartial government institutions. Governance, v. 21, n. 2, p. 165-190, 2008.</w:t>
      </w:r>
    </w:p>
    <w:p>
      <w:pPr>
        <w:spacing w:after="80" w:line="240"/>
        <w:ind w:left="567" w:hanging="567"/>
        <w:jc w:val="both"/>
      </w:pPr>
      <w:r>
        <w:rPr>
          <w:rFonts w:ascii="Times New Roman" w:cs="Times New Roman" w:eastAsia="Times New Roman" w:hAnsi="Times New Roman"/>
          <w:sz w:val="22"/>
          <w:szCs w:val="22"/>
        </w:rPr>
        <w:t xml:space="preserve">RUTHERFORD, A. Organizational turnaround and educational performance: the impact of performance-based monitoring analysis systems. American Review of Public Administration, v. 44, n. 4, p. 440-458, 2014.</w:t>
      </w:r>
    </w:p>
    <w:p>
      <w:pPr>
        <w:spacing w:after="80" w:line="240"/>
        <w:ind w:left="567" w:hanging="567"/>
        <w:jc w:val="both"/>
      </w:pPr>
      <w:r>
        <w:rPr>
          <w:rFonts w:ascii="Times New Roman" w:cs="Times New Roman" w:eastAsia="Times New Roman" w:hAnsi="Times New Roman"/>
          <w:sz w:val="22"/>
          <w:szCs w:val="22"/>
        </w:rPr>
        <w:t xml:space="preserve">SANDHOLTZ, W.; GRAY, M. M. International integration and national corruption. International Organization, v. 57, p. 761-800, 2003.</w:t>
      </w:r>
    </w:p>
    <w:p>
      <w:pPr>
        <w:spacing w:after="80" w:line="240"/>
        <w:ind w:left="567" w:hanging="567"/>
        <w:jc w:val="both"/>
      </w:pPr>
      <w:r>
        <w:rPr>
          <w:rFonts w:ascii="Times New Roman" w:cs="Times New Roman" w:eastAsia="Times New Roman" w:hAnsi="Times New Roman"/>
          <w:sz w:val="22"/>
          <w:szCs w:val="22"/>
        </w:rPr>
        <w:t xml:space="preserve">SCOTT, C. Accountability in the regulatory state. Journal of Law and Society, v. 27, p. 38-60, 2000.</w:t>
      </w:r>
    </w:p>
    <w:p>
      <w:pPr>
        <w:spacing w:after="80" w:line="240"/>
        <w:ind w:left="567" w:hanging="567"/>
        <w:jc w:val="both"/>
      </w:pPr>
      <w:r>
        <w:rPr>
          <w:rFonts w:ascii="Times New Roman" w:cs="Times New Roman" w:eastAsia="Times New Roman" w:hAnsi="Times New Roman"/>
          <w:sz w:val="22"/>
          <w:szCs w:val="22"/>
        </w:rPr>
        <w:t xml:space="preserve">SIKKA, P. Financial crisis and the silence of the auditors. Accounting, Organizations and Society, v. 34, p. 868-873, 2009.</w:t>
      </w:r>
    </w:p>
    <w:p>
      <w:pPr>
        <w:spacing w:after="80" w:line="240"/>
        <w:ind w:left="567" w:hanging="567"/>
        <w:jc w:val="both"/>
      </w:pPr>
      <w:r>
        <w:rPr>
          <w:rFonts w:ascii="Times New Roman" w:cs="Times New Roman" w:eastAsia="Times New Roman" w:hAnsi="Times New Roman"/>
          <w:sz w:val="22"/>
          <w:szCs w:val="22"/>
        </w:rPr>
        <w:t xml:space="preserve">SIKKA, P.; WILLMOTT, H. The power of “independence”: defending and extending the jurisdiction of accounting in the United Kingdom. Accounting, Organizations and Society, v. 20, p. 547-581, 1995.</w:t>
      </w:r>
    </w:p>
    <w:p>
      <w:pPr>
        <w:spacing w:after="80" w:line="240"/>
        <w:ind w:left="567" w:hanging="567"/>
        <w:jc w:val="both"/>
      </w:pPr>
      <w:r>
        <w:rPr>
          <w:rFonts w:ascii="Times New Roman" w:cs="Times New Roman" w:eastAsia="Times New Roman" w:hAnsi="Times New Roman"/>
          <w:sz w:val="22"/>
          <w:szCs w:val="22"/>
        </w:rPr>
        <w:t xml:space="preserve">TREISMAN, D. The causes of corruption: a cross-national study. Journal of Public Economics, v. 76, p. 399-457, 2000.</w:t>
      </w:r>
    </w:p>
    <w:p>
      <w:pPr>
        <w:spacing w:after="80" w:line="240"/>
        <w:ind w:left="567" w:hanging="567"/>
        <w:jc w:val="both"/>
      </w:pPr>
      <w:r>
        <w:rPr>
          <w:rFonts w:ascii="Times New Roman" w:cs="Times New Roman" w:eastAsia="Times New Roman" w:hAnsi="Times New Roman"/>
          <w:sz w:val="22"/>
          <w:szCs w:val="22"/>
        </w:rPr>
        <w:t xml:space="preserve">WALKER, R. M.; BOYNE, G. A.; BREWER, G. A. Public management and performance: research directions. Cambridge: Cambridge University Press, 2010.</w:t>
      </w:r>
    </w:p>
    <w:p>
      <w:pPr>
        <w:spacing w:after="80" w:line="240"/>
        <w:ind w:left="567" w:hanging="567"/>
        <w:jc w:val="both"/>
      </w:pPr>
      <w:r>
        <w:rPr>
          <w:rFonts w:ascii="Times New Roman" w:cs="Times New Roman" w:eastAsia="Times New Roman" w:hAnsi="Times New Roman"/>
          <w:sz w:val="22"/>
          <w:szCs w:val="22"/>
        </w:rPr>
        <w:t xml:space="preserve">WEINGAST, B. A. The congressional-bureaucratic system: a principal-agent perspective. Public Choice, v. 44, p. 147-192, 1984.</w:t>
      </w:r>
    </w:p>
    <w:p>
      <w:pPr>
        <w:spacing w:after="80" w:line="240"/>
        <w:ind w:left="567" w:hanging="567"/>
        <w:jc w:val="both"/>
      </w:pPr>
      <w:r>
        <w:rPr>
          <w:rFonts w:ascii="Times New Roman" w:cs="Times New Roman" w:eastAsia="Times New Roman" w:hAnsi="Times New Roman"/>
          <w:sz w:val="22"/>
          <w:szCs w:val="22"/>
        </w:rPr>
        <w:t xml:space="preserve">WILDAVSKY, A. B. Speaking truth to power: the art and craft of policy analysis. New Brunswick: Transaction Books, 1979.</w:t>
      </w:r>
    </w:p>
    <w:p>
      <w:pPr>
        <w:spacing w:after="80" w:line="240"/>
        <w:ind w:left="567" w:hanging="567"/>
        <w:jc w:val="both"/>
      </w:pPr>
      <w:r>
        <w:rPr>
          <w:rFonts w:ascii="Times New Roman" w:cs="Times New Roman" w:eastAsia="Times New Roman" w:hAnsi="Times New Roman"/>
          <w:sz w:val="22"/>
          <w:szCs w:val="22"/>
        </w:rPr>
        <w:t xml:space="preserve">ÖHMAN, P.; HÄCKNER, E.; JANSSON, A-M.; TSCHUDI, F. Swedish auditors’ view of auditing: doing things right versus doing the right things. European Accounting Review, v. 15, p. 89-114, 2006.</w:t>
      </w:r>
    </w:p>
    <w:sectPr>
      <w:footerReference w:type="default" r:id="rId7"/>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boa auditoria gera qualidade de governo?</dc:title>
  <dc:creator>Tradução para estudo</dc:creator>
  <cp:lastModifiedBy>Un-named</cp:lastModifiedBy>
  <cp:revision>1</cp:revision>
  <dcterms:created xsi:type="dcterms:W3CDTF">2026-08-12T14:21:19.441Z</dcterms:created>
  <dcterms:modified xsi:type="dcterms:W3CDTF">2026-08-12T14:21:19.444Z</dcterms:modified>
</cp:coreProperties>
</file>

<file path=docProps/custom.xml><?xml version="1.0" encoding="utf-8"?>
<Properties xmlns="http://schemas.openxmlformats.org/officeDocument/2006/custom-properties" xmlns:vt="http://schemas.openxmlformats.org/officeDocument/2006/docPropsVTypes"/>
</file>