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d2d4fe0647644d26240c6b75858411ba05fd1b"/>
    <w:p>
      <w:pPr>
        <w:pStyle w:val="Heading1"/>
      </w:pPr>
      <w:r>
        <w:t xml:space="preserve">ANÁLISE DO REQUISITO DE RESSARCIMENTO INTEGRAL (ART. 2º, II, DA PORTARIA CGU Nº 1.214/2020) — PEDIDO DE REABILITAÇÃO DA DECAL BRASIL LTDA.</w:t>
      </w:r>
    </w:p>
    <w:p>
      <w:pPr>
        <w:pStyle w:val="FirstParagraph"/>
      </w:pPr>
      <w:r>
        <w:rPr>
          <w:bCs/>
          <w:b/>
        </w:rPr>
        <w:t xml:space="preserve">Pessoa jurídica requerente:</w:t>
      </w:r>
      <w:r>
        <w:t xml:space="preserve"> </w:t>
      </w:r>
      <w:r>
        <w:t xml:space="preserve">DECAL BRASIL LTDA., CNPJ nº 03.973.894/0001-94</w:t>
      </w:r>
      <w:r>
        <w:t xml:space="preserve"> </w:t>
      </w:r>
      <w:r>
        <w:rPr>
          <w:bCs/>
          <w:b/>
        </w:rPr>
        <w:t xml:space="preserve">Processo de referência:</w:t>
      </w:r>
      <w:r>
        <w:t xml:space="preserve"> </w:t>
      </w:r>
      <w:r>
        <w:t xml:space="preserve">PAR nº 00190.105349/2020-07</w:t>
      </w:r>
      <w:r>
        <w:t xml:space="preserve"> </w:t>
      </w:r>
      <w:r>
        <w:rPr>
          <w:bCs/>
          <w:b/>
        </w:rPr>
        <w:t xml:space="preserve">Objeto exclusivo:</w:t>
      </w:r>
      <w:r>
        <w:t xml:space="preserve"> </w:t>
      </w:r>
      <w:r>
        <w:t xml:space="preserve">art. 2º, inciso II, da Portaria CGU nº 1.214, de 8 de junho de 2020</w:t>
      </w:r>
      <w:r>
        <w:t xml:space="preserve"> </w:t>
      </w:r>
      <w:r>
        <w:rPr>
          <w:bCs/>
          <w:b/>
        </w:rPr>
        <w:t xml:space="preserve">Data-base da análise:</w:t>
      </w:r>
      <w:r>
        <w:t xml:space="preserve"> </w:t>
      </w:r>
      <w:r>
        <w:t xml:space="preserve">16 de outubro de 2026</w:t>
      </w:r>
      <w:r>
        <w:t xml:space="preserve"> </w:t>
      </w:r>
      <w:r>
        <w:rPr>
          <w:bCs/>
          <w:b/>
        </w:rPr>
        <w:t xml:space="preserve">Natureza do documento:</w:t>
      </w:r>
      <w:r>
        <w:t xml:space="preserve"> </w:t>
      </w:r>
      <w:r>
        <w:t xml:space="preserve">minuta técnica para revisão institucional. Não substitui a manifestação da unidade competente nem o parecer da Consultoria Jurídica (art. 6º da Portaria CGU nº 1.214/2020).</w:t>
      </w:r>
      <w:r>
        <w:t xml:space="preserve"> </w:t>
      </w:r>
      <w:r>
        <w:rPr>
          <w:bCs/>
          <w:b/>
        </w:rPr>
        <w:t xml:space="preserve">Versão:</w:t>
      </w:r>
      <w:r>
        <w:t xml:space="preserve"> </w:t>
      </w:r>
      <w:r>
        <w:t xml:space="preserve">2 — revisada após auditoria jurídica independente (relatório em</w:t>
      </w:r>
      <w:r>
        <w:t xml:space="preserve"> </w:t>
      </w:r>
      <w:r>
        <w:rPr>
          <w:rStyle w:val="VerbatimChar"/>
        </w:rPr>
        <w:t xml:space="preserve">Revisao_NT_DECAL_art2_II.md</w:t>
      </w:r>
      <w:r>
        <w:t xml:space="preserve">). Alterações principais: quadro de conferência normativa (VI-A); contraste das duas interpretações sobre o § 1º do art. 2º (6.3); distinção entre</w:t>
      </w:r>
      <w:r>
        <w:t xml:space="preserve"> </w:t>
      </w:r>
      <w:r>
        <w:t xml:space="preserve">“</w:t>
      </w:r>
      <w:r>
        <w:t xml:space="preserve">prejuízo apontado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prejuízo exigível</w:t>
      </w:r>
      <w:r>
        <w:t xml:space="preserve">”</w:t>
      </w:r>
      <w:r>
        <w:t xml:space="preserve"> </w:t>
      </w:r>
      <w:r>
        <w:t xml:space="preserve">(5.2-A e 9.4); reformulação dos cenários (11.4); natureza do confisco (8.6); diligências D3-A (MPF) e D8 (vista ao interessado); correção da referência ao RMS 33.526.</w:t>
      </w:r>
    </w:p>
    <w:p>
      <w:pPr>
        <w:pStyle w:val="BlockText"/>
      </w:pPr>
      <w:r>
        <w:rPr>
          <w:bCs/>
          <w:b/>
        </w:rPr>
        <w:t xml:space="preserve">Convenções de rastreabilidade.</w:t>
      </w:r>
      <w:r>
        <w:t xml:space="preserve"> </w:t>
      </w:r>
      <w:r>
        <w:t xml:space="preserve">Os documentos examinados são citados pelo código</w:t>
      </w:r>
      <w:r>
        <w:t xml:space="preserve"> </w:t>
      </w:r>
      <w:r>
        <w:rPr>
          <w:bCs/>
          <w:b/>
        </w:rPr>
        <w:t xml:space="preserve">[Dxx]</w:t>
      </w:r>
      <w:r>
        <w:t xml:space="preserve"> </w:t>
      </w:r>
      <w:r>
        <w:t xml:space="preserve">do inventário (Anexo A). Cada afirmação relevante é classificada como</w:t>
      </w:r>
      <w:r>
        <w:t xml:space="preserve"> </w:t>
      </w:r>
      <w:r>
        <w:rPr>
          <w:bCs/>
          <w:b/>
        </w:rPr>
        <w:t xml:space="preserve">[FATO]</w:t>
      </w:r>
      <w:r>
        <w:t xml:space="preserve"> </w:t>
      </w:r>
      <w:r>
        <w:t xml:space="preserve">(consta de documento examinado),</w:t>
      </w:r>
      <w:r>
        <w:t xml:space="preserve"> </w:t>
      </w:r>
      <w:r>
        <w:rPr>
          <w:bCs/>
          <w:b/>
        </w:rPr>
        <w:t xml:space="preserve">[ALEGAÇÃO]</w:t>
      </w:r>
      <w:r>
        <w:t xml:space="preserve"> </w:t>
      </w:r>
      <w:r>
        <w:t xml:space="preserve">(afirmada pela DECAL e não confirmada de forma independente),</w:t>
      </w:r>
      <w:r>
        <w:t xml:space="preserve"> </w:t>
      </w:r>
      <w:r>
        <w:rPr>
          <w:bCs/>
          <w:b/>
        </w:rPr>
        <w:t xml:space="preserve">[INFERÊNCIA]</w:t>
      </w:r>
      <w:r>
        <w:t xml:space="preserve"> </w:t>
      </w:r>
      <w:r>
        <w:t xml:space="preserve">(dedução da análise a partir de fatos) ou</w:t>
      </w:r>
      <w:r>
        <w:t xml:space="preserve"> </w:t>
      </w:r>
      <w:r>
        <w:rPr>
          <w:bCs/>
          <w:b/>
        </w:rPr>
        <w:t xml:space="preserve">[DILIGÊNCIA]</w:t>
      </w:r>
      <w:r>
        <w:t xml:space="preserve"> </w:t>
      </w:r>
      <w:r>
        <w:t xml:space="preserve">(hipótese que depende de informação ainda não obtida).</w:t>
      </w:r>
    </w:p>
    <w:p>
      <w:r>
        <w:pict>
          <v:rect style="width:0;height:1.5pt" o:hralign="center" o:hrstd="t" o:hr="t"/>
        </w:pict>
      </w:r>
    </w:p>
    <w:bookmarkStart w:id="20" w:name="sumário-dos-produtos"/>
    <w:p>
      <w:pPr>
        <w:pStyle w:val="Heading2"/>
      </w:pPr>
      <w:r>
        <w:t xml:space="preserve">SUMÁRIO DOS PRODUTOS</w:t>
      </w:r>
    </w:p>
    <w:p>
      <w:pPr>
        <w:numPr>
          <w:ilvl w:val="0"/>
          <w:numId w:val="1001"/>
        </w:numPr>
        <w:pStyle w:val="Compact"/>
      </w:pPr>
      <w:r>
        <w:t xml:space="preserve">Produto 1 — Diagnóstico executivo</w:t>
      </w:r>
    </w:p>
    <w:p>
      <w:pPr>
        <w:numPr>
          <w:ilvl w:val="0"/>
          <w:numId w:val="1001"/>
        </w:numPr>
        <w:pStyle w:val="Compact"/>
      </w:pPr>
      <w:r>
        <w:t xml:space="preserve">Produto 2 — Matriz de evidências</w:t>
      </w:r>
    </w:p>
    <w:p>
      <w:pPr>
        <w:numPr>
          <w:ilvl w:val="0"/>
          <w:numId w:val="1001"/>
        </w:numPr>
        <w:pStyle w:val="Compact"/>
      </w:pPr>
      <w:r>
        <w:t xml:space="preserve">Produto 3 — Matriz de obrigações financeiras</w:t>
      </w:r>
    </w:p>
    <w:p>
      <w:pPr>
        <w:numPr>
          <w:ilvl w:val="0"/>
          <w:numId w:val="1001"/>
        </w:numPr>
        <w:pStyle w:val="Compact"/>
      </w:pPr>
      <w:r>
        <w:t xml:space="preserve">Produto 4 — Nota Técnica conclusiva (seções I a XII)</w:t>
      </w:r>
    </w:p>
    <w:p>
      <w:pPr>
        <w:numPr>
          <w:ilvl w:val="0"/>
          <w:numId w:val="1001"/>
        </w:numPr>
        <w:pStyle w:val="Compact"/>
      </w:pPr>
      <w:r>
        <w:t xml:space="preserve">Produto 5 — Lista de diligências</w:t>
      </w:r>
    </w:p>
    <w:p>
      <w:pPr>
        <w:numPr>
          <w:ilvl w:val="0"/>
          <w:numId w:val="1001"/>
        </w:numPr>
        <w:pStyle w:val="Compact"/>
      </w:pPr>
      <w:r>
        <w:t xml:space="preserve">Produto 6 — Checklist de revisão</w:t>
      </w:r>
    </w:p>
    <w:p>
      <w:pPr>
        <w:numPr>
          <w:ilvl w:val="0"/>
          <w:numId w:val="1001"/>
        </w:numPr>
        <w:pStyle w:val="Compact"/>
      </w:pPr>
      <w:r>
        <w:t xml:space="preserve">Anexo A — Inventário documental</w:t>
      </w:r>
    </w:p>
    <w:p>
      <w:pPr>
        <w:numPr>
          <w:ilvl w:val="0"/>
          <w:numId w:val="1001"/>
        </w:numPr>
        <w:pStyle w:val="Compact"/>
      </w:pPr>
      <w:r>
        <w:t xml:space="preserve">Anexo B — Linha do tempo jurídica</w:t>
      </w:r>
    </w:p>
    <w:p>
      <w:pPr>
        <w:numPr>
          <w:ilvl w:val="0"/>
          <w:numId w:val="1001"/>
        </w:numPr>
        <w:pStyle w:val="Compact"/>
      </w:pPr>
      <w:r>
        <w:t xml:space="preserve">Anexo C — Limitações de acesso e fontes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to-1-diagnóstico-executivo"/>
    <w:p>
      <w:pPr>
        <w:pStyle w:val="Heading1"/>
      </w:pPr>
      <w:r>
        <w:t xml:space="preserve">PRODUTO 1 — DIAGNÓSTICO EXECUTIVO</w:t>
      </w:r>
    </w:p>
    <w:p>
      <w:pPr>
        <w:pStyle w:val="FirstParagraph"/>
      </w:pPr>
      <w:r>
        <w:rPr>
          <w:bCs/>
          <w:b/>
        </w:rPr>
        <w:t xml:space="preserve">1. A questão.</w:t>
      </w:r>
      <w:r>
        <w:t xml:space="preserve"> </w:t>
      </w:r>
      <w:r>
        <w:t xml:space="preserve">O art. 87, IV, da Lei nº 8.666/1993 condiciona a reabilitação a que o contratado</w:t>
      </w:r>
      <w:r>
        <w:t xml:space="preserve"> </w:t>
      </w:r>
      <w:r>
        <w:t xml:space="preserve">“</w:t>
      </w:r>
      <w:r>
        <w:t xml:space="preserve">ressarcir a Administração pelos prejuízos resultantes</w:t>
      </w:r>
      <w:r>
        <w:t xml:space="preserve">”</w:t>
      </w:r>
      <w:r>
        <w:t xml:space="preserve">. O art. 2º, II, da Portaria CGU nº 1.214/2020 regulamenta esse ponto: exige o ressarcimento integral dos prejuízos</w:t>
      </w:r>
      <w:r>
        <w:t xml:space="preserve"> </w:t>
      </w:r>
      <w:r>
        <w:t xml:space="preserve">“</w:t>
      </w:r>
      <w:r>
        <w:t xml:space="preserve">quando apontados pela Administração Pública</w:t>
      </w:r>
      <w:r>
        <w:t xml:space="preserve">”</w:t>
      </w:r>
      <w:r>
        <w:t xml:space="preserve"> </w:t>
      </w:r>
      <w:r>
        <w:t xml:space="preserve">em decorrência dos atos que justificaram a inidoneidade. A pergunta é se existe prejuízo apontado pela Administração e ainda não ressarcido pela DECAL, e se os autos permitem afirmá-lo com segurança.</w:t>
      </w:r>
    </w:p>
    <w:p>
      <w:pPr>
        <w:pStyle w:val="BodyText"/>
      </w:pPr>
      <w:r>
        <w:rPr>
          <w:bCs/>
          <w:b/>
        </w:rPr>
        <w:t xml:space="preserve">2. O que a DECAL sustenta.</w:t>
      </w:r>
      <w:r>
        <w:t xml:space="preserve"> </w:t>
      </w:r>
      <w:r>
        <w:t xml:space="preserve">Não haveria prejuízo a ressarcir. O único dano mencionado no PAR, de USD 868.450,00 (equivalente à propina), teria vindo da sentença criminal contra Mariano Marcondes Ferraz. O TRF4 reformou esse ponto ao afastar a indenização mínima, e a DECAL atribui a essa reforma efeito vinculante na esfera cível com base no art. 935 do Código Civil [D11, §§ 57-61; D12, item 2].</w:t>
      </w:r>
    </w:p>
    <w:p>
      <w:pPr>
        <w:pStyle w:val="BodyText"/>
      </w:pPr>
      <w:r>
        <w:rPr>
          <w:bCs/>
          <w:b/>
        </w:rPr>
        <w:t xml:space="preserve">3. Documentos decisivos examinados.</w:t>
      </w:r>
      <w:r>
        <w:t xml:space="preserve"> </w:t>
      </w:r>
      <w:r>
        <w:t xml:space="preserve">- Sentença da 13ª Vara Federal de Curitiba, de 05/03/2018. Fixou indenização mínima equivalente a USD 868.450,00 em favor da Petrobras (art. 387, IV, CPP) e decretou o confisco da fiança até o mesmo valor [D6, §§ 222-226].</w:t>
      </w:r>
      <w:r>
        <w:t xml:space="preserve"> </w:t>
      </w:r>
      <w:r>
        <w:t xml:space="preserve">- Acórdão do TRF4, de 10/04/2019. Afastou a indenização mínima porque</w:t>
      </w:r>
      <w:r>
        <w:t xml:space="preserve"> </w:t>
      </w:r>
      <w:r>
        <w:t xml:space="preserve">“</w:t>
      </w:r>
      <w:r>
        <w:t xml:space="preserve">não comprovado a transferência de custo à Petrobras</w:t>
      </w:r>
      <w:r>
        <w:t xml:space="preserve">”</w:t>
      </w:r>
      <w:r>
        <w:t xml:space="preserve"> </w:t>
      </w:r>
      <w:r>
        <w:t xml:space="preserve">e manteve o confisco [D8, item 5 e ementa, item 13].</w:t>
      </w:r>
      <w:r>
        <w:t xml:space="preserve"> </w:t>
      </w:r>
      <w:r>
        <w:t xml:space="preserve">- Parecer do MPF/PRR4, de 15/10/2018, que serviu de fundamento ao acórdão [D7, item II.2.1.4].</w:t>
      </w:r>
      <w:r>
        <w:t xml:space="preserve"> </w:t>
      </w:r>
      <w:r>
        <w:t xml:space="preserve">- Acórdão do TRF5, de 05/02/2025. Autorizou o depósito judicial da multa apenas para suspender sua exigibilidade [D9; D10].</w:t>
      </w:r>
      <w:r>
        <w:t xml:space="preserve"> </w:t>
      </w:r>
      <w:r>
        <w:t xml:space="preserve">- Demonstrações financeiras auditadas de 2025. Registram o depósito judicial de R$ 3.906 mil</w:t>
      </w:r>
      <w:r>
        <w:t xml:space="preserve"> </w:t>
      </w:r>
      <w:r>
        <w:t xml:space="preserve">“</w:t>
      </w:r>
      <w:r>
        <w:t xml:space="preserve">sem que haja a caracterização da liquidação do passivo</w:t>
      </w:r>
      <w:r>
        <w:t xml:space="preserve">”</w:t>
      </w:r>
      <w:r>
        <w:t xml:space="preserve"> </w:t>
      </w:r>
      <w:r>
        <w:t xml:space="preserve">e provisionam somente a multa [D17, nota 17].</w:t>
      </w:r>
      <w:r>
        <w:t xml:space="preserve"> </w:t>
      </w:r>
      <w:r>
        <w:t xml:space="preserve">- NT nº 676/2026/SIPRI (precedente da CGU). Adota o critério do dano incontroverso e a circularização prévia com o ente lesado, a AGU, o TCU e a SFC [D15].</w:t>
      </w:r>
    </w:p>
    <w:p>
      <w:pPr>
        <w:pStyle w:val="BodyText"/>
      </w:pPr>
      <w:r>
        <w:rPr>
          <w:bCs/>
          <w:b/>
        </w:rPr>
        <w:t xml:space="preserve">4. Lacunas que impedem a conclusão definitiva.</w:t>
      </w:r>
      <w:r>
        <w:t xml:space="preserve"> </w:t>
      </w:r>
      <w:r>
        <w:t xml:space="preserve">- (i) Não constam do conjunto examinado o Relatório Final do PAR (SEI 1843086), o cálculo SEI 1569432, o Parecer nº 00199/2021/CONJUR-CGU/CGU/AGU e os Despachos nº 00651/2022 e 00890/2022, que a Decisão nº 9 adotou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. Sem eles não se sabe se o apontamento de dano feito pela Comissão integrou a decisão ministerial, em que medida, com que fundamento e se considerou o acórdão do TRF4, que é anterior.</w:t>
      </w:r>
      <w:r>
        <w:t xml:space="preserve"> </w:t>
      </w:r>
      <w:r>
        <w:t xml:space="preserve">- (ii) Nenhuma informação foi solicitada à Petrobras, à AGU, ao TCU ou à SFC/CGU, como prevê o art. 4º, § 2º, da Portaria nº 1.214/2020 e como foi feito no precedente.</w:t>
      </w:r>
      <w:r>
        <w:t xml:space="preserve"> </w:t>
      </w:r>
      <w:r>
        <w:t xml:space="preserve">- (iii) Não se sabe se o confisco da fiança foi executado nem quem o recebeu (Petrobras, conforme a sentença, ou União, conforme o parecer do MPF), dado necessário para afastar duplicidade.</w:t>
      </w:r>
      <w:r>
        <w:t xml:space="preserve"> </w:t>
      </w:r>
      <w:r>
        <w:t xml:space="preserve">- (iv) Faltam os Docs. 1, 4 e 7 do pedido e a certidão de trânsito em julgado da ação penal.</w:t>
      </w:r>
    </w:p>
    <w:p>
      <w:pPr>
        <w:pStyle w:val="BodyText"/>
      </w:pPr>
      <w:r>
        <w:rPr>
          <w:bCs/>
          <w:b/>
        </w:rPr>
        <w:t xml:space="preserve">5. Avaliação preliminar.</w:t>
      </w:r>
      <w:r>
        <w:t xml:space="preserve"> </w:t>
      </w:r>
      <w:r>
        <w:t xml:space="preserve">Nos autos examinados, não há dano incontroverso constituído contra a DECAL: não há dano admitido pela empresa nem dano fixado em decisão administrativa ou judicial definitiva com nexo causal (art. 37, § 2º, do Decreto nº 11.129/2022; art. 33 da PNI CGU/AGU nº 1/2025). A única quantificação judicial foi afastada em definitivo. A tese do art. 935 do Código Civil, porém, não procede nos termos em que foi posta. O TRF4 não declarou categoricamente a inexistência do dano; registrou ausência de prova da transferência do custo no processo criminal, contra pessoa diversa. Por isso o acórdão não</w:t>
      </w:r>
      <w:r>
        <w:t xml:space="preserve"> </w:t>
      </w:r>
      <w:r>
        <w:t xml:space="preserve">“</w:t>
      </w:r>
      <w:r>
        <w:t xml:space="preserve">torna inquestionável</w:t>
      </w:r>
      <w:r>
        <w:t xml:space="preserve">”</w:t>
      </w:r>
      <w:r>
        <w:t xml:space="preserve"> </w:t>
      </w:r>
      <w:r>
        <w:t xml:space="preserve">a inexistência de prejuízo, embora seja prova relevante. O pagamento ou depósito da multa é juridicamente irrelevante para o inciso II.</w:t>
      </w:r>
    </w:p>
    <w:p>
      <w:pPr>
        <w:pStyle w:val="BodyText"/>
      </w:pPr>
      <w:r>
        <w:rPr>
          <w:bCs/>
          <w:b/>
        </w:rPr>
        <w:t xml:space="preserve">6. Conclusão proposta: ALTERNATIVA C — instrução ainda insuficiente para conclusão definitiva.</w:t>
      </w:r>
      <w:r>
        <w:t xml:space="preserve"> </w:t>
      </w:r>
      <w:r>
        <w:t xml:space="preserve">Recomenda-se:</w:t>
      </w:r>
      <w:r>
        <w:t xml:space="preserve"> </w:t>
      </w:r>
      <w:r>
        <w:t xml:space="preserve">- (a) examinar internamente o Relatório Final e os pareceres da CONJUR (art. 37 da Lei nº 9.784/1999);</w:t>
      </w:r>
      <w:r>
        <w:t xml:space="preserve"> </w:t>
      </w:r>
      <w:r>
        <w:t xml:space="preserve">- (b) circularizar Petrobras, AGU, MPF, TCU, SFC/CGU e o juízo criminal;</w:t>
      </w:r>
      <w:r>
        <w:t xml:space="preserve"> </w:t>
      </w:r>
      <w:r>
        <w:t xml:space="preserve">- (c) solicitar complementação documental à DECAL (art. 4º, § 1º);</w:t>
      </w:r>
      <w:r>
        <w:t xml:space="preserve"> </w:t>
      </w:r>
      <w:r>
        <w:t xml:space="preserve">- (d) dar vista à DECAL dos elementos novos antes da conclusão (art. 44 da Lei nº 9.784/1999).</w:t>
      </w:r>
    </w:p>
    <w:p>
      <w:pPr>
        <w:pStyle w:val="BodyText"/>
      </w:pPr>
      <w:r>
        <w:t xml:space="preserve">Prognóstico condicionado:</w:t>
      </w:r>
      <w:r>
        <w:t xml:space="preserve"> </w:t>
      </w:r>
      <w:r>
        <w:t xml:space="preserve">- Se as respostas não revelarem prejuízo identificado e quantificado em decisão definitiva, com nexo causal, o requisito deverá ser considerado atendido (ou superado), por inexistir prejuízo exigível a ressarcir, na linha da NT nº 676/2026/SIPRI e com as mesmas ressalvas de não quitação.</w:t>
      </w:r>
      <w:r>
        <w:t xml:space="preserve"> </w:t>
      </w:r>
      <w:r>
        <w:t xml:space="preserve">- Se a Decisão nº 9 tiver adotado o dano de USD 868.450,00, a CONJUR deverá responder a duas questões: (i) se esse apontamento, feito em PAR sancionador, constitui prejuízo definitivamente quantificado e com nexo causal, considerando o art. 13 da Lei nº 12.846/2013; (ii) se ele subsiste diante do acórdão do TRF4. Só com resposta afirmativa a ambas o requisito não estará atendido até o pagamento. O eventual abatimento do confisco penal depende de juízo jurídico próprio.</w:t>
      </w:r>
      <w:r>
        <w:t xml:space="preserve"> </w:t>
      </w:r>
      <w:r>
        <w:t xml:space="preserve">—</w:t>
      </w:r>
    </w:p>
    <w:bookmarkEnd w:id="22"/>
    <w:bookmarkStart w:id="23" w:name="produto-2-matriz-de-evidências"/>
    <w:p>
      <w:pPr>
        <w:pStyle w:val="Heading1"/>
      </w:pPr>
      <w:r>
        <w:t xml:space="preserve">PRODUTO 2 — MATRIZ DE EVIDÊNCIAS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Alegação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apresentado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jurídica pertinente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 que o documento comprova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 que não comprova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necessária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prejuízo à Petrobras a ressarcir [D11, § 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[D6]; acórdão TRF4 [D8]; parecer MPF [D7]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IV; Portaria 1.214/20, art. 2º, II e § 1º; Decreto 11.129/22, art. 37,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processo criminal contra pessoa física, não se demonstrou transferência do custo da propina à Petrobras [D8, ementa, item 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nenhum órgão ou ente tenha identificado ou quantificado prejuízo por outra via (contratual, de auditoria, TCE, ação civil)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a D5 (Petrobras, AGU, TCU, SFC)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Alegação plausível e parcialmente corroborada, mas não demonstrada em toda a sua extensão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dano de USD 868.450,00 do Relatório Final teve por único fundamento a sentença criminal [D11, § 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Trecho do Relatório Final transcrito pela DECAL; o Relatório em si não foi examinado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37 e 50,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DECAL transcreve trecho atribuído ao Relatório (SEI 1843086) citando a sentença e o cálculo SEI 1569432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sentença tenha sido o único fundamento; que a Decisão nº 9 tenha adotado esse trecho; que a Comissão tenha ou não considerado o TRF4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(exame interno do Relatório e dos pareceres)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verificável no estado atual. Lacuna crítica, por se tratar do próprio</w:t>
            </w:r>
            <w:r>
              <w:t xml:space="preserve"> </w:t>
            </w:r>
            <w:r>
              <w:t xml:space="preserve">“</w:t>
            </w:r>
            <w:r>
              <w:t xml:space="preserve">apontamento</w:t>
            </w:r>
            <w:r>
              <w:t xml:space="preserve">”</w:t>
            </w:r>
            <w:r>
              <w:t xml:space="preserve"> </w:t>
            </w:r>
            <w:r>
              <w:t xml:space="preserve">a que se refere a norma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TRF4 reconheceu a inexistência de qualquer dano, por decisão transitada em julgado [D11, §§ 59-60; D12]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TRF4 [D8]; parecer MPF [D7]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CPP, arts. 63, p.ú., 66 e 387, IV; CPC, art. 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Afastamento da indenização mínima (art. 387, IV, CPP) por falta de prova da transferência de custo; manutenção do confisco [D8, itens 5 e 7.9-7.10]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Declaração categórica de inexistência material do dano; trânsito em julgado (afirmado pela DECAL e pelo TRF5 [D9], sem certidão); efeitos sobre a DECAL, que não foi 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D6/D7 (certidão de trânsito)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acórdão é prova relevante e de peso, mas sua extensão foi superdimensionada pela DECAL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Pelo art. 935 do CC, a inexistência do dano seria</w:t>
            </w:r>
            <w:r>
              <w:t xml:space="preserve"> </w:t>
            </w:r>
            <w:r>
              <w:t xml:space="preserve">“</w:t>
            </w:r>
            <w:r>
              <w:t xml:space="preserve">inquestionável</w:t>
            </w:r>
            <w:r>
              <w:t xml:space="preserve">”</w:t>
            </w:r>
            <w:r>
              <w:t xml:space="preserve"> </w:t>
            </w:r>
            <w:r>
              <w:t xml:space="preserve">na esfera cível [D11, § 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(tese jurídica)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CC, art. 935; CPP, arts. 63-67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art. 935 alcança a</w:t>
            </w:r>
            <w:r>
              <w:t xml:space="preserve"> </w:t>
            </w:r>
            <w:r>
              <w:t xml:space="preserve">“</w:t>
            </w:r>
            <w:r>
              <w:t xml:space="preserve">existência do fato</w:t>
            </w:r>
            <w:r>
              <w:t xml:space="preserve">”</w:t>
            </w:r>
            <w:r>
              <w:t xml:space="preserve"> </w:t>
            </w:r>
            <w:r>
              <w:t xml:space="preserve">e a</w:t>
            </w:r>
            <w:r>
              <w:t xml:space="preserve"> </w:t>
            </w:r>
            <w:r>
              <w:t xml:space="preserve">“</w:t>
            </w:r>
            <w:r>
              <w:t xml:space="preserve">autoria</w:t>
            </w:r>
            <w:r>
              <w:t xml:space="preserve">”</w:t>
            </w:r>
            <w:r>
              <w:t xml:space="preserve">, não a quantificação do dano; o fato (corrupção) foi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Tese improcedente nos termos propostos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reforma da sentença deve levar à reversão do entendimento do Relatório Final [D11, § 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TRF4 [D8]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50, VII, e 53; teoria dos motivos determinantes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o acórdão (10/04/2019) é anterior ao PAR (2020) e à Decisão nº 9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CGU desconhecesse o acórdão: a DECAL o invocou no pedido de reconsideração [D13, nota 2], rejeitado por ausência de fato novo [D3]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fato novo. Sua repercussão depende do teor do Relatório Final e dos pareceres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únicos requisitos são os do art. 87, IV; a reabilitação é vinculada (</w:t>
            </w:r>
            <w:r>
              <w:t xml:space="preserve">“</w:t>
            </w:r>
            <w:r>
              <w:t xml:space="preserve">sempre</w:t>
            </w:r>
            <w:r>
              <w:t xml:space="preserve">”</w:t>
            </w:r>
            <w:r>
              <w:t xml:space="preserve">) [D11, §§ 21, 27-29]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STF, RMS 33.526 (transcrição)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 e § 3º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Conferência integral do julgado (não acessível)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 inciso II a tese não altera o resultado: o ressarcimento é exigência legal. Favorece a leitura restritiva de</w:t>
            </w:r>
            <w:r>
              <w:t xml:space="preserve"> </w:t>
            </w:r>
            <w:r>
              <w:t xml:space="preserve">“</w:t>
            </w:r>
            <w:r>
              <w:t xml:space="preserve">prejuízos apontados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Portaria 1.214/20 seria ilegal e irretroativa; a PN 226/25 seria inaplicável [D11, §§ 23-42]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IV; LINDB, art. 6º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vícios alegados referem-se ao inciso III (fora do objeto). O inciso II reproduz e limita (</w:t>
            </w:r>
            <w:r>
              <w:t xml:space="preserve">“</w:t>
            </w:r>
            <w:r>
              <w:t xml:space="preserve">quando apontados</w:t>
            </w:r>
            <w:r>
              <w:t xml:space="preserve">”</w:t>
            </w:r>
            <w:r>
              <w:t xml:space="preserve">) exigência da própria lei; não há gravame retroativo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pagamento da multa não é requisito; subsidiariamente, o depósito judicial o supriria [D11, §§ 62-64]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TRF5 [D9/D10]; DFs 2025 [D17]; Doc. 4 (não disponível)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arts. 6º, § 3º, 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de R$ 3.906 mil em 2025 vinculado à multa da CGU [D17, nota 17]; finalidade de suspender a exigibilidade [D9]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Pagamento ou extinção da multa; qualquer ressarcimento de prejuízo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 (Doc.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Irrelevante para o inciso II. Multa e ressarcimento são obrigações distintas; o depósito não extingue nem a própria multa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reabilitação atende ao interesse público, à LINDB (art. 20) e à Lei 13.874/19; o contrato era vantajoso para a Petrobras [D11, §§ 4-18; D13, §§ 4-5]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1 (não disponível); avaliações da Petrobras citadas no voto do relator do TRF5 [D9]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LINDB, art. 20; Lei 13.874/19, art. 2º,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segundo o relator do TRF5 (voto vencido no ponto), avaliações técnicas da Petrobras teriam considerado o contrato vantajoso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Inexistência de prejuízo apontado; dispensa de requisito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Argumento consequencialista não dispensa requisito legal; serve, no máximo, de indício de ausência de sobrepreço</w:t>
            </w:r>
          </w:p>
        </w:tc>
      </w:tr>
    </w:tbl>
    <w:p>
      <w:pPr>
        <w:pStyle w:val="BodyText"/>
      </w:pPr>
      <w:r>
        <w:rPr>
          <w:bCs/>
          <w:b/>
        </w:rPr>
        <w:t xml:space="preserve">Hipóteses do roteiro não alegadas pela DECAL:</w:t>
      </w:r>
      <w:r>
        <w:t xml:space="preserve"> </w:t>
      </w:r>
      <w:r>
        <w:t xml:space="preserve">acordo de leniência; quitação concedida por órgão ou entidade; reparação feita diretamente à Petrobras; parcelamento, compensação ou novação; impossibilidade de apuração; decurso do tempo ou prescrição. A inexistência de cobrança foi alegada apenas de forma implícita (E1). As hipóteses não alegadas não são examinadas no mérito; registra-se apenas que nenhum documento as indica.</w:t>
      </w:r>
    </w:p>
    <w:p>
      <w:r>
        <w:pict>
          <v:rect style="width:0;height:1.5pt" o:hralign="center" o:hrstd="t" o:hr="t"/>
        </w:pict>
      </w:r>
    </w:p>
    <w:bookmarkEnd w:id="23"/>
    <w:bookmarkStart w:id="24" w:name="Xc821dda1cf4256e2914244809cfff5a4c14a29f"/>
    <w:p>
      <w:pPr>
        <w:pStyle w:val="Heading1"/>
      </w:pPr>
      <w:r>
        <w:t xml:space="preserve">PRODUTO 3 — MATRIZ DE OBRIGAÇÕES FINANCEIRAS</w:t>
      </w:r>
    </w:p>
    <w:p>
      <w:pPr>
        <w:pStyle w:val="FirstParagraph"/>
      </w:pPr>
      <w:r>
        <w:t xml:space="preserve">Os valores são reproduzidos somente na extensão em que constam dos documentos.</w:t>
      </w:r>
      <w:r>
        <w:t xml:space="preserve"> </w:t>
      </w:r>
      <w:r>
        <w:rPr>
          <w:bCs/>
          <w:b/>
        </w:rPr>
        <w:t xml:space="preserve">Nenhuma atualização foi calculada:</w:t>
      </w:r>
      <w:r>
        <w:t xml:space="preserve"> </w:t>
      </w:r>
      <w:r>
        <w:t xml:space="preserve">os critérios são distintos (sentença: correção monetária mais juros de 0,5% ao mês; PNI CGU/AGU nº 1/2025, art. 34: IPCA desde o ato lesivo) e não há memória de cálculo oficial nos autos.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Credor/titular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pago/depositado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art. 6º, I; Decisão nº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R$ 3.905.734,97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judicial de R$ 3.906 mil em 2025 (comprovante, Doc. 4, não disponível)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Exigibilidade suspensa; não extinta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D2, D9, D10, 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Fora do inciso II.</w:t>
            </w:r>
            <w:r>
              <w:t xml:space="preserve"> </w:t>
            </w:r>
            <w:r>
              <w:t xml:space="preserve">Sanção, não ressarcimento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Dano de, no mínimo, o montante pago a título de vantagem indevida</w:t>
            </w:r>
            <w:r>
              <w:t xml:space="preserve">”</w:t>
            </w:r>
            <w:r>
              <w:t xml:space="preserve"> </w:t>
            </w:r>
            <w:r>
              <w:t xml:space="preserve">apontado pela CPAR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 (ente lesado) [INFERÊNCIA]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Final (SEI 1843086), segundo transcrição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868.450,00. Pelo critério da sentença (câmbio de R$ 2,50 em 11/02/2014): R$ 2.171.125,00 [cálculo aritmético desta análise]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calculada; critério a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pagamento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Indeterminado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D11, § 58 (Relatório não examinado)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Existência, adoção pela decisão e subsistência controvertidas.</w:t>
            </w:r>
            <w:r>
              <w:t xml:space="preserve"> </w:t>
            </w:r>
            <w:r>
              <w:t xml:space="preserve">Fundamento declarado (sentença) reformado pelo TRF4 → 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mínima (art. 387, IV, CPP)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Mariano Marcondes Ferraz (não 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de 05/03/2018, §§ 224-225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868.450,00 convertidos a R$ 2,50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mais juros de 0,5% a.m. (sentença)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Afastada</w:t>
            </w:r>
            <w:r>
              <w:t xml:space="preserve"> </w:t>
            </w:r>
            <w:r>
              <w:t xml:space="preserve">pelo TRF4 (10/04/2019)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Confisco da fiança (art. 91, II,</w:t>
            </w:r>
            <w:r>
              <w:t xml:space="preserve"> </w:t>
            </w:r>
            <w:r>
              <w:t xml:space="preserve">“</w:t>
            </w:r>
            <w:r>
              <w:t xml:space="preserve">b</w:t>
            </w:r>
            <w:r>
              <w:t xml:space="preserve">”</w:t>
            </w:r>
            <w:r>
              <w:t xml:space="preserve">, 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 (sentença, § 223) ou União (fundamentação do MPF adotada pelo TRF4) —</w:t>
            </w:r>
            <w:r>
              <w:t xml:space="preserve"> </w:t>
            </w:r>
            <w:r>
              <w:rPr>
                <w:bCs/>
                <w:b/>
              </w:rPr>
              <w:t xml:space="preserve">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Mariano Marcondes Ferraz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Sentença, § 222; mantido pelo TRF4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R$ 2.171.125,00, retirados de fiança de R$ 3.000.000,00 depositada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não comprovada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D6, §§ 219-226; D7; D8, item 7.9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Relevante para duplicidade.</w:t>
            </w:r>
            <w:r>
              <w:t xml:space="preserve"> </w:t>
            </w:r>
            <w:r>
              <w:t xml:space="preserve">Se revertido à Petrobras, pode ter recomposto valor idêntico ao</w:t>
            </w:r>
            <w:r>
              <w:t xml:space="preserve"> </w:t>
            </w:r>
            <w:r>
              <w:t xml:space="preserve">“</w:t>
            </w:r>
            <w:r>
              <w:t xml:space="preserve">dano mínimo</w:t>
            </w:r>
            <w:r>
              <w:t xml:space="preserve">”</w:t>
            </w:r>
            <w:r>
              <w:t xml:space="preserve"> </w:t>
            </w:r>
            <w:r>
              <w:t xml:space="preserve">de O2 → 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auferida/perdimento (Decreto 11.129/22, art.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União ou ente lesado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constituída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quantificada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integra o inciso II</w:t>
            </w:r>
            <w:r>
              <w:t xml:space="preserve">, salvo identidade com o dano (PNI 1/2025, art. 33, § 1º)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Outros prejuízos (contratuais, de auditoria, TCE, ações civis)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 / União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Lacuna</w:t>
            </w:r>
            <w:r>
              <w:t xml:space="preserve"> </w:t>
            </w:r>
            <w:r>
              <w:t xml:space="preserve">→ D2 a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Perdas possíveis não provisionadas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identificado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DFs 2025, nota 17.d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R$ 6.170 mil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 não especificada → D7</w:t>
            </w:r>
          </w:p>
        </w:tc>
      </w:tr>
    </w:tbl>
    <w:p>
      <w:pPr>
        <w:pStyle w:val="BodyText"/>
      </w:pPr>
      <w:r>
        <w:rPr>
          <w:bCs/>
          <w:b/>
        </w:rPr>
        <w:t xml:space="preserve">Divergências de valores e datas registradas:</w:t>
      </w:r>
      <w:r>
        <w:t xml:space="preserve"> </w:t>
      </w:r>
      <w:r>
        <w:t xml:space="preserve">- O valor da propina aparece como USD 868.450,00 [D6, § 222; D8], USD 868.400,00 [D6, § 187] e</w:t>
      </w:r>
      <w:r>
        <w:t xml:space="preserve"> </w:t>
      </w:r>
      <w:r>
        <w:t xml:space="preserve">“</w:t>
      </w:r>
      <w:r>
        <w:t xml:space="preserve">aproximadamente USD 870.000,00</w:t>
      </w:r>
      <w:r>
        <w:t xml:space="preserve">”</w:t>
      </w:r>
      <w:r>
        <w:t xml:space="preserve"> </w:t>
      </w:r>
      <w:r>
        <w:t xml:space="preserve">[D6; D9].</w:t>
      </w:r>
      <w:r>
        <w:t xml:space="preserve"> </w:t>
      </w:r>
      <w:r>
        <w:t xml:space="preserve">- A data do último pagamento aparece como 11/02/2014 [D6, § 222] e 21/02/2014 [D6, § 187; D9].</w:t>
      </w:r>
    </w:p>
    <w:p>
      <w:pPr>
        <w:pStyle w:val="BodyText"/>
      </w:pPr>
      <w:r>
        <w:t xml:space="preserve">Essas divergências devem ser resolvidas com base no cálculo SEI 1569432 antes de qualquer quantificação.</w:t>
      </w:r>
    </w:p>
    <w:p>
      <w:r>
        <w:pict>
          <v:rect style="width:0;height:1.5pt" o:hralign="center" o:hrstd="t" o:hr="t"/>
        </w:pict>
      </w:r>
    </w:p>
    <w:bookmarkEnd w:id="24"/>
    <w:bookmarkStart w:id="37" w:name="produto-4-nota-técnica-conclusiva"/>
    <w:p>
      <w:pPr>
        <w:pStyle w:val="Heading1"/>
      </w:pPr>
      <w:r>
        <w:t xml:space="preserve">PRODUTO 4 — NOTA TÉCNICA CONCLUSIVA</w:t>
      </w:r>
    </w:p>
    <w:p>
      <w:pPr>
        <w:pStyle w:val="FirstParagraph"/>
      </w:pPr>
      <w:r>
        <w:rPr>
          <w:bCs/>
          <w:b/>
        </w:rPr>
        <w:t xml:space="preserve">CONTROLADORIA-GERAL DA UNIÃO</w:t>
      </w:r>
      <w:r>
        <w:t xml:space="preserve"> </w:t>
      </w:r>
      <w:r>
        <w:rPr>
          <w:bCs/>
          <w:b/>
        </w:rPr>
        <w:t xml:space="preserve">NOTA TÉCNICA Nº ____/2026/[UNIDADE]</w:t>
      </w:r>
    </w:p>
    <w:p>
      <w:pPr>
        <w:pStyle w:val="BodyText"/>
      </w:pPr>
      <w:r>
        <w:rPr>
          <w:bCs/>
          <w:b/>
        </w:rPr>
        <w:t xml:space="preserve">PROCESSO DE REFERÊNCIA:</w:t>
      </w:r>
      <w:r>
        <w:t xml:space="preserve"> </w:t>
      </w:r>
      <w:r>
        <w:t xml:space="preserve">PAR nº 00190.105349/2020-07 (pedido de reabilitação: SEI 4250406)</w:t>
      </w:r>
      <w:r>
        <w:t xml:space="preserve"> </w:t>
      </w:r>
      <w:r>
        <w:rPr>
          <w:bCs/>
          <w:b/>
        </w:rPr>
        <w:t xml:space="preserve">INTERESSADO:</w:t>
      </w:r>
      <w:r>
        <w:t xml:space="preserve"> </w:t>
      </w:r>
      <w:r>
        <w:t xml:space="preserve">DECAL BRASIL LTDA., CNPJ nº 03.973.894/0001-94</w:t>
      </w:r>
    </w:p>
    <w:bookmarkStart w:id="25" w:name="i-assunto"/>
    <w:p>
      <w:pPr>
        <w:pStyle w:val="Heading2"/>
      </w:pPr>
      <w:r>
        <w:t xml:space="preserve">I — ASSUNTO</w:t>
      </w:r>
    </w:p>
    <w:p>
      <w:pPr>
        <w:pStyle w:val="FirstParagraph"/>
      </w:pPr>
      <w:r>
        <w:t xml:space="preserve">1.1. Análise do atendimento, pela pessoa jurídica DECAL BRASIL LTDA., do requisito de ressarcimento integral previsto no art. 2º, inciso II, da Portaria CGU nº 1.214/2020, para fins de reabilitação da declaração de inidoneidade.</w:t>
      </w:r>
    </w:p>
    <w:bookmarkEnd w:id="25"/>
    <w:bookmarkStart w:id="26" w:name="ii-referências"/>
    <w:p>
      <w:pPr>
        <w:pStyle w:val="Heading2"/>
      </w:pPr>
      <w:r>
        <w:t xml:space="preserve">II — REFERÊNCIAS</w:t>
      </w:r>
    </w:p>
    <w:p>
      <w:pPr>
        <w:pStyle w:val="FirstParagraph"/>
      </w:pPr>
      <w:r>
        <w:rPr>
          <w:bCs/>
          <w:b/>
        </w:rPr>
        <w:t xml:space="preserve">Atos normativos</w:t>
      </w:r>
    </w:p>
    <w:p>
      <w:pPr>
        <w:pStyle w:val="BodyText"/>
      </w:pPr>
      <w:r>
        <w:t xml:space="preserve">2.1. Constituição Federal, art. 5º, incisos XXXVI, LIV, LV e LXXVIII.</w:t>
      </w:r>
      <w:r>
        <w:t xml:space="preserve"> </w:t>
      </w:r>
      <w:r>
        <w:t xml:space="preserve">2.2. Lei nº 8.666, de 21 de junho de 1993, art. 6º, XI; art. 87, IV e § 3º; art. 88, III.</w:t>
      </w:r>
      <w:r>
        <w:t xml:space="preserve"> </w:t>
      </w:r>
      <w:r>
        <w:t xml:space="preserve">2.3. Lei nº 12.846, de 1º de agosto de 2013, art. 6º, I, II e § 3º; art. 13; art. 16, § 3º; arts. 19 e 21, parágrafo único.</w:t>
      </w:r>
      <w:r>
        <w:t xml:space="preserve"> </w:t>
      </w:r>
      <w:r>
        <w:t xml:space="preserve">2.4. Lei nº 9.784, de 29 de janeiro de 1999, art. 2º, caput e parágrafo único, VIII e XIII; arts. 3º, III, 29, 36, 37, 38, 44, 49, 50 (inclusive inciso VII) e 53.</w:t>
      </w:r>
      <w:r>
        <w:t xml:space="preserve"> </w:t>
      </w:r>
      <w:r>
        <w:t xml:space="preserve">2.5. Decreto-Lei nº 4.657, de 4 de setembro de 1942 (LINDB), arts. 6º, 20 e 30, com redação da Lei nº 13.655/2018.</w:t>
      </w:r>
      <w:r>
        <w:t xml:space="preserve"> </w:t>
      </w:r>
      <w:r>
        <w:t xml:space="preserve">2.6. Código Civil, art. 935. Código de Processo Penal, arts. 63, parágrafo único, 66, 67 e 387, IV. Código de Processo Civil, art. 506. Código Penal, art. 91, II,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.</w:t>
      </w:r>
      <w:r>
        <w:t xml:space="preserve"> </w:t>
      </w:r>
      <w:r>
        <w:t xml:space="preserve">2.7. Decreto nº 8.420, de 18 de março de 2015 (fundamento da Decisão nº 9), e Decreto nº 11.129, de 11 de julho de 2022, arts. 26 e 37, § 2º (fundamento da Decisão nº 347).</w:t>
      </w:r>
      <w:r>
        <w:t xml:space="preserve"> </w:t>
      </w:r>
      <w:r>
        <w:t xml:space="preserve">2.8. Portaria CGU nº 1.214, de 8 de junho de 2020 (DOU de 09/06/2020) [D18].</w:t>
      </w:r>
      <w:r>
        <w:t xml:space="preserve"> </w:t>
      </w:r>
      <w:r>
        <w:t xml:space="preserve">2.9. Portaria Normativa CGU nº 54, de 14 de fevereiro de 2023 (alterações parciais da Portaria nº 1.214/2020; arts. 3º a 6º transcritos em D15; demais alterações conhecidas apenas por fonte secundária — Seção VI-A).</w:t>
      </w:r>
      <w:r>
        <w:t xml:space="preserve"> </w:t>
      </w:r>
      <w:r>
        <w:t xml:space="preserve">2.10. Instrução Normativa CGU/AGU nº 2, de 16 de maio de 2018 (revogada).</w:t>
      </w:r>
      <w:r>
        <w:t xml:space="preserve"> </w:t>
      </w:r>
      <w:r>
        <w:t xml:space="preserve">2.11. Portaria Normativa Interministerial CGU/AGU nº 1, de 19 de dezembro de 2025 (DOU de 23/12/2025), arts. 4º, VI e VII, 33, 34, 59, 60 e 61 [D19].</w:t>
      </w:r>
      <w:r>
        <w:t xml:space="preserve"> </w:t>
      </w:r>
      <w:r>
        <w:t xml:space="preserve">2.12. Portaria Normativa SE/CGU nº 226, de 9 de setembro de 2025 (texto oficial não acessado; ver Anexo C).</w:t>
      </w:r>
      <w:r>
        <w:t xml:space="preserve"> </w:t>
      </w:r>
      <w:r>
        <w:t xml:space="preserve">2.13. Lei nº 14.133, de 1º de abril de 2021, art. 163 (apenas para delimitação).</w:t>
      </w:r>
    </w:p>
    <w:p>
      <w:pPr>
        <w:pStyle w:val="BodyText"/>
      </w:pPr>
      <w:r>
        <w:rPr>
          <w:bCs/>
          <w:b/>
        </w:rPr>
        <w:t xml:space="preserve">Documentos processuais</w:t>
      </w:r>
      <w:r>
        <w:t xml:space="preserve"> </w:t>
      </w:r>
      <w:r>
        <w:t xml:space="preserve">(detalhamento no Anexo A)</w:t>
      </w:r>
    </w:p>
    <w:p>
      <w:pPr>
        <w:pStyle w:val="BodyText"/>
      </w:pPr>
      <w:r>
        <w:t xml:space="preserve">2.14. Decisão nº 9/2023 (SEI 2646749) [D2]; Decisão nº 347/2023 (SEI 2991463) [D3]; DOU, Seção 2, nº 205, de 27/10/2023 [D4].</w:t>
      </w:r>
      <w:r>
        <w:t xml:space="preserve"> </w:t>
      </w:r>
      <w:r>
        <w:t xml:space="preserve">2.15. Pedido de reconsideração da DECAL, de 22/02/2023 [D13].</w:t>
      </w:r>
      <w:r>
        <w:t xml:space="preserve"> </w:t>
      </w:r>
      <w:r>
        <w:t xml:space="preserve">2.16. Pedido de reabilitação, de 21/09/2026 (SEI 4250406) [D11]; petição de juntada, de 14/10/2026 [D12].</w:t>
      </w:r>
      <w:r>
        <w:t xml:space="preserve"> </w:t>
      </w:r>
      <w:r>
        <w:t xml:space="preserve">2.17. Sentença na Ação Penal nº 5000553-66.2017.4.04.7000 (SEI 4250408) [D6]; parecer do MPF/PRR4 [D7]; acórdão do TRF4 na ACR nº 5000553-66.2017.4.04.7000 (SEI 4250409) [D8].</w:t>
      </w:r>
      <w:r>
        <w:t xml:space="preserve"> </w:t>
      </w:r>
      <w:r>
        <w:t xml:space="preserve">2.18. Acórdão do TRF5 no AI nº 0809667-58.2024.4.05.0000 [D9]; Parecer de Força Executória nº 00011/2025/CGJ/NAE/PRU5R/PGU/AGU [D10].</w:t>
      </w:r>
      <w:r>
        <w:t xml:space="preserve"> </w:t>
      </w:r>
      <w:r>
        <w:t xml:space="preserve">2.19. Demonstrações financeiras auditadas da DECAL de 2025 (Doc. 8) [D17].</w:t>
      </w:r>
      <w:r>
        <w:t xml:space="preserve"> </w:t>
      </w:r>
      <w:r>
        <w:t xml:space="preserve">2.20. Nota Técnica nº 676/2026/SIPRI (SEI 3980745), Processo nº 00190.110692/2025-70 [D15], como precedente administrativo.</w:t>
      </w:r>
      <w:r>
        <w:t xml:space="preserve"> </w:t>
      </w:r>
      <w:r>
        <w:t xml:space="preserve">2.21. STF, AgR no RMS nº 33.526/DF, 2ª Turma, Rel. Min. Gilmar Mendes, sessão virtual de 22 a 28/09/2017, DJe de 09/10/2017 (inteiro teor não conferido; ver Anexo C).</w:t>
      </w:r>
    </w:p>
    <w:bookmarkEnd w:id="26"/>
    <w:bookmarkStart w:id="27" w:name="iii-sumário-executivo"/>
    <w:p>
      <w:pPr>
        <w:pStyle w:val="Heading2"/>
      </w:pPr>
      <w:r>
        <w:t xml:space="preserve">III — SUMÁRIO EXECUTIVO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Cs/>
          <w:b/>
        </w:rPr>
        <w:t xml:space="preserve">Objeto.</w:t>
      </w:r>
      <w:r>
        <w:t xml:space="preserve"> </w:t>
      </w:r>
      <w:r>
        <w:t xml:space="preserve">Verificar se a DECAL ressarciu integralmente os prejuízos apontados pela Administração Pública em decorrência dos atos que justificaram a declaração de inidoneidade aplicada pela Decisão nº 9/2023, mantida pela Decisão nº 347/2023.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Cs/>
          <w:b/>
        </w:rPr>
        <w:t xml:space="preserve">Questão jurídica central.</w:t>
      </w:r>
      <w:r>
        <w:t xml:space="preserve"> </w:t>
      </w:r>
      <w:r>
        <w:t xml:space="preserve">O requisito exige o ressarcimento dos prejuízos</w:t>
      </w:r>
      <w:r>
        <w:t xml:space="preserve"> </w:t>
      </w:r>
      <w:r>
        <w:t xml:space="preserve">“</w:t>
      </w:r>
      <w:r>
        <w:t xml:space="preserve">apontados</w:t>
      </w:r>
      <w:r>
        <w:t xml:space="preserve">”</w:t>
      </w:r>
      <w:r>
        <w:t xml:space="preserve">, e não de todo dano concebível. É preciso determinar: (i) se existe prejuízo assim apontado; (ii) qual o efeito do acórdão do TRF4 que afastou a indenização mínima fixada na sentença, única base declarada do apontamento de USD 868.450,00 feito pela Comissão; (iii) se há outros prejuízos apontados por órgãos ou entes competentes.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Cs/>
          <w:b/>
        </w:rPr>
        <w:t xml:space="preserve">Principais elementos de prova.</w:t>
      </w:r>
      <w:r>
        <w:t xml:space="preserve"> </w:t>
      </w:r>
      <w:r>
        <w:t xml:space="preserve">- Sentença criminal e sua reforma pelo TRF4 [D6; D8].</w:t>
      </w:r>
      <w:r>
        <w:t xml:space="preserve"> </w:t>
      </w:r>
      <w:r>
        <w:t xml:space="preserve">- Parecer do MPF [D7].</w:t>
      </w:r>
      <w:r>
        <w:t xml:space="preserve"> </w:t>
      </w:r>
      <w:r>
        <w:t xml:space="preserve">- Acórdão do TRF5 e parecer de força executória [D9; D10].</w:t>
      </w:r>
      <w:r>
        <w:t xml:space="preserve"> </w:t>
      </w:r>
      <w:r>
        <w:t xml:space="preserve">- Demonstrações financeiras de 2025 [D17].</w:t>
      </w:r>
      <w:r>
        <w:t xml:space="preserve"> </w:t>
      </w:r>
      <w:r>
        <w:t xml:space="preserve">- Precedente da NT nº 676/2026/SIPRI [D15].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Cs/>
          <w:b/>
        </w:rPr>
        <w:t xml:space="preserve">Lacunas relevantes.</w:t>
      </w:r>
      <w:r>
        <w:t xml:space="preserve"> </w:t>
      </w:r>
      <w:r>
        <w:t xml:space="preserve">- Os instrumentos que conteriam o próprio</w:t>
      </w:r>
      <w:r>
        <w:t xml:space="preserve"> </w:t>
      </w:r>
      <w:r>
        <w:t xml:space="preserve">“</w:t>
      </w:r>
      <w:r>
        <w:t xml:space="preserve">apontamento</w:t>
      </w:r>
      <w:r>
        <w:t xml:space="preserve">”</w:t>
      </w:r>
      <w:r>
        <w:t xml:space="preserve"> </w:t>
      </w:r>
      <w:r>
        <w:t xml:space="preserve">não foram examinados: Relatório Final SEI 1843086, cálculo SEI 1569432, Parecer nº 00199/2021/CONJUR e despachos.</w:t>
      </w:r>
      <w:r>
        <w:t xml:space="preserve"> </w:t>
      </w:r>
      <w:r>
        <w:t xml:space="preserve">- Não houve circularização com Petrobras, AGU, TCU e SFC/CGU.</w:t>
      </w:r>
      <w:r>
        <w:t xml:space="preserve"> </w:t>
      </w:r>
      <w:r>
        <w:t xml:space="preserve">- Não se sabe se o confisco da fiança foi executado nem quem o recebeu.</w:t>
      </w:r>
      <w:r>
        <w:t xml:space="preserve"> </w:t>
      </w:r>
      <w:r>
        <w:t xml:space="preserve">- Faltam os Docs. 1, 4 e 7 do pedido e a certidão de trânsito em julgado.</w:t>
      </w:r>
    </w:p>
    <w:p>
      <w:pPr>
        <w:pStyle w:val="BodyText"/>
      </w:pPr>
      <w:r>
        <w:t xml:space="preserve">3.5.</w:t>
      </w:r>
      <w:r>
        <w:t xml:space="preserve"> </w:t>
      </w:r>
      <w:r>
        <w:rPr>
          <w:bCs/>
          <w:b/>
        </w:rPr>
        <w:t xml:space="preserve">Conclusão.</w:t>
      </w:r>
      <w:r>
        <w:t xml:space="preserve"> </w:t>
      </w:r>
      <w:r>
        <w:t xml:space="preserve">Alternativa C. A instrução ainda não permite conclusão definitiva. Os elementos disponíveis indicam que não há dano incontroverso constituído contra a DECAL, mas o próprio apontamento administrativo de dano ainda não foi examinado e a Administração não foi consultada.</w:t>
      </w:r>
    </w:p>
    <w:p>
      <w:pPr>
        <w:pStyle w:val="BodyText"/>
      </w:pPr>
      <w:r>
        <w:t xml:space="preserve">3.6.</w:t>
      </w:r>
      <w:r>
        <w:t xml:space="preserve"> </w:t>
      </w:r>
      <w:r>
        <w:rPr>
          <w:bCs/>
          <w:b/>
        </w:rPr>
        <w:t xml:space="preserve">Providência recomendada.</w:t>
      </w:r>
      <w:r>
        <w:t xml:space="preserve"> </w:t>
      </w:r>
      <w:r>
        <w:t xml:space="preserve">Diligências descritas na Seção X, seguidas de nova manifestação conclusiva sobre o inciso II e da remessa à CONJUR/CGU (art. 6º da Portaria nº 1.214/2020).</w:t>
      </w:r>
    </w:p>
    <w:bookmarkEnd w:id="27"/>
    <w:bookmarkStart w:id="28" w:name="iv-relatório"/>
    <w:p>
      <w:pPr>
        <w:pStyle w:val="Heading2"/>
      </w:pPr>
      <w:r>
        <w:t xml:space="preserve">IV — RELATÓRIO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Cs/>
          <w:b/>
        </w:rPr>
        <w:t xml:space="preserve">Fatos subjacentes.</w:t>
      </w:r>
      <w:r>
        <w:t xml:space="preserve"> </w:t>
      </w:r>
      <w:r>
        <w:t xml:space="preserve">Segundo a sentença [D6] e o acórdão do TRF5 [D9]: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Primeiro contrato.</w:t>
      </w:r>
      <w:r>
        <w:t xml:space="preserve"> </w:t>
      </w:r>
      <w:r>
        <w:t xml:space="preserve">A DECAL celebrou com a Petrobras o Contrato nº 1002.00.27.258.00, em 25/10/2006, no valor de R$ 30.999.840,00, com aditivos de 15/01/2008 e 30/07/2009 e vigência até 20/04/2012.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Propina.</w:t>
      </w:r>
      <w:r>
        <w:t xml:space="preserve"> </w:t>
      </w:r>
      <w:r>
        <w:t xml:space="preserve">Mariano Marcondes Ferraz, representante comercial da DECAL, acertou com Paulo Roberto Costa, então Diretor de Abastecimento da Petrobras, o pagamento de vantagem indevida. Foram oito transferências entre 19/05/2011 e fevereiro de 2014, a partir de contas próprias e de</w:t>
      </w:r>
      <w:r>
        <w:t xml:space="preserve"> </w:t>
      </w:r>
      <w:r>
        <w:rPr>
          <w:iCs/>
          <w:i/>
        </w:rPr>
        <w:t xml:space="preserve">offshores</w:t>
      </w:r>
      <w:r>
        <w:t xml:space="preserve"> </w:t>
      </w:r>
      <w:r>
        <w:t xml:space="preserve">na Suíça, totalizando cerca de USD 868.450,00.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Novo contrato.</w:t>
      </w:r>
      <w:r>
        <w:t xml:space="preserve"> </w:t>
      </w:r>
      <w:r>
        <w:t xml:space="preserve">A Petrobras celebrou com a DECAL, em 01/05/2012, novo contrato de cerca de R$ 280.013.236,00, com prazo de cinco anos.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Cs/>
          <w:b/>
        </w:rPr>
        <w:t xml:space="preserve">Esfera penal.</w:t>
      </w:r>
      <w:r>
        <w:t xml:space="preserve"> </w:t>
      </w:r>
      <w:r>
        <w:t xml:space="preserve">- A 13ª Vara Federal de Curitiba condenou Mariano Marcondes Ferraz por corrupção ativa e lavagem de dinheiro em 05/03/2018 [D6]. A sentença:</w:t>
      </w:r>
      <w:r>
        <w:t xml:space="preserve"> </w:t>
      </w:r>
      <w:r>
        <w:t xml:space="preserve">- (i) decretou o confisco da fiança de R$ 3.000.000,00</w:t>
      </w:r>
      <w:r>
        <w:t xml:space="preserve"> </w:t>
      </w:r>
      <w:r>
        <w:t xml:space="preserve">“</w:t>
      </w:r>
      <w:r>
        <w:t xml:space="preserve">até o valor equivalente em reais do montante pago de vantagem indevida</w:t>
      </w:r>
      <w:r>
        <w:t xml:space="preserve">”</w:t>
      </w:r>
      <w:r>
        <w:t xml:space="preserve">, a ser revertido à Petrobras (§§ 222-223);</w:t>
      </w:r>
      <w:r>
        <w:t xml:space="preserve"> </w:t>
      </w:r>
      <w:r>
        <w:t xml:space="preserve">- (ii) fixou, com base no art. 387, IV, do CPP, indenização mínima no mesmo valor em favor da Petrobras (§§ 224-225);</w:t>
      </w:r>
      <w:r>
        <w:t xml:space="preserve"> </w:t>
      </w:r>
      <w:r>
        <w:t xml:space="preserve">- (iii) dispôs que</w:t>
      </w:r>
      <w:r>
        <w:t xml:space="preserve"> </w:t>
      </w:r>
      <w:r>
        <w:t xml:space="preserve">“</w:t>
      </w:r>
      <w:r>
        <w:t xml:space="preserve">o confisco compensará o valor da indenização</w:t>
      </w:r>
      <w:r>
        <w:t xml:space="preserve">”</w:t>
      </w:r>
      <w:r>
        <w:t xml:space="preserve"> </w:t>
      </w:r>
      <w:r>
        <w:t xml:space="preserve">(§ 226).</w:t>
      </w:r>
      <w:r>
        <w:t xml:space="preserve"> </w:t>
      </w:r>
      <w:r>
        <w:t xml:space="preserve">- O MPF/PRR4 opinou pelo afastamento da indenização mínima, por</w:t>
      </w:r>
      <w:r>
        <w:t xml:space="preserve"> </w:t>
      </w:r>
      <w:r>
        <w:t xml:space="preserve">“</w:t>
      </w:r>
      <w:r>
        <w:t xml:space="preserve">não houve mínima demonstração da transmissão deste custo à PETROBRAS</w:t>
      </w:r>
      <w:r>
        <w:t xml:space="preserve">”</w:t>
      </w:r>
      <w:r>
        <w:t xml:space="preserve">, e pela manutenção do confisco</w:t>
      </w:r>
      <w:r>
        <w:t xml:space="preserve"> </w:t>
      </w:r>
      <w:r>
        <w:t xml:space="preserve">“</w:t>
      </w:r>
      <w:r>
        <w:t xml:space="preserve">em favor da União</w:t>
      </w:r>
      <w:r>
        <w:t xml:space="preserve">”</w:t>
      </w:r>
      <w:r>
        <w:t xml:space="preserve"> </w:t>
      </w:r>
      <w:r>
        <w:t xml:space="preserve">[D7, item II.2.1.4].</w:t>
      </w:r>
      <w:r>
        <w:t xml:space="preserve"> </w:t>
      </w:r>
      <w:r>
        <w:t xml:space="preserve">- A 8ª Turma do TRF4, em 10/04/2019, adotou esse parecer como razão de decidir. Afastou a indenização mínima e manteve o confisco (ementa, item 13:</w:t>
      </w:r>
      <w:r>
        <w:t xml:space="preserve"> </w:t>
      </w:r>
      <w:r>
        <w:t xml:space="preserve">“</w:t>
      </w:r>
      <w:r>
        <w:t xml:space="preserve">Não comprovado a transferência de custo à Petrobras, impõe-se o afastamento da fixação de valor mínimo indenizatório</w:t>
      </w:r>
      <w:r>
        <w:t xml:space="preserve">”</w:t>
      </w:r>
      <w:r>
        <w:t xml:space="preserve">) [D8].</w:t>
      </w:r>
      <w:r>
        <w:t xml:space="preserve"> </w:t>
      </w:r>
      <w:r>
        <w:t xml:space="preserve">- O Revisor acompanhou o Relator</w:t>
      </w:r>
      <w:r>
        <w:t xml:space="preserve"> </w:t>
      </w:r>
      <w:r>
        <w:t xml:space="preserve">“</w:t>
      </w:r>
      <w:r>
        <w:t xml:space="preserve">inclusive no que toca à reparação de danos</w:t>
      </w:r>
      <w:r>
        <w:t xml:space="preserve">”</w:t>
      </w:r>
      <w:r>
        <w:t xml:space="preserve"> </w:t>
      </w:r>
      <w:r>
        <w:t xml:space="preserve">[D8, voto do Des. Leandro Paulsen, item 7]. O voto-vista do Des. Victor Laus, parcialmente vencido, divergiu quanto à lavagem de dinheiro e à extensão do provimento dos apelos. Não contém manifestação sobre a reparação de danos [D8, voto-vista, itens 3.3 a 5].</w:t>
      </w:r>
      <w:r>
        <w:t xml:space="preserve"> </w:t>
      </w:r>
      <w:r>
        <w:t xml:space="preserve">- A Petrobras figurou como apelante, no polo ativo (</w:t>
      </w:r>
      <w:r>
        <w:t xml:space="preserve">“</w:t>
      </w:r>
      <w:r>
        <w:t xml:space="preserve">AUTOR</w:t>
      </w:r>
      <w:r>
        <w:t xml:space="preserve">”</w:t>
      </w:r>
      <w:r>
        <w:t xml:space="preserve">), e ratificou as razões do MPF, que versavam sobre a dosimetria [D8, cabeçalho e relatório]. Não consta que tenha impugnado especificamente o afastamento da indenização mínima. Sua condição de assistente de acusação é inferida, não documentada [INFERÊNCIA].</w:t>
      </w:r>
      <w:r>
        <w:t xml:space="preserve"> </w:t>
      </w:r>
      <w:r>
        <w:t xml:space="preserve">- O trânsito em julgado em 17/02/2020 é afirmado pela DECAL e reproduzido no acórdão do TRF5 [D9; D13]. Não consta certidão.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Cs/>
          <w:b/>
        </w:rPr>
        <w:t xml:space="preserve">PAR e sanção.</w:t>
      </w:r>
      <w:r>
        <w:t xml:space="preserve"> </w:t>
      </w:r>
      <w:r>
        <w:t xml:space="preserve">- O PAR nº 00190.105349/2020-07 foi instaurado em 2020 [D9; D13]. Segundo a narrativa da DECAL reproduzida no acórdão do TRF5, o procedimento teria sido deflagrado pela Petrobras e avocado pela CGU no mesmo ano [D9] [ALEGAÇÃO]. A narrativa invoca o art. 41 do Decreto nº 11.129/2022, norma posterior aos fatos que relata. Se confirmada a instauração originária pela Petrobras, os autos do procedimento na estatal podem conter apuração de dano (D2).</w:t>
      </w:r>
      <w:r>
        <w:t xml:space="preserve"> </w:t>
      </w:r>
      <w:r>
        <w:t xml:space="preserve">- Pela Decisão nº 9, assinada em 09/02/2023 [D2] e publicada em 10/02/2023 [D11, § 1 — dado da requerente, não conferido no DOU], o Ministro de Estado da CGU adotou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 </w:t>
      </w:r>
      <w:r>
        <w:t xml:space="preserve">o Relatório Final da CPAR e o Parecer nº 00199/2021/CONJUR-CGU/CGU/AGU, aprovado pelos Despachos nº 00651/2022 e 00890/2022 [D2]. Com fundamento no art. 87, IV, da Lei nº 8.666/1993 e no art. 6º, I e II, da Lei nº 12.846/2013, c/c arts. 15, 17 e 18 do Decreto nº 8.420/2015, aplicou:</w:t>
      </w:r>
      <w:r>
        <w:t xml:space="preserve"> </w:t>
      </w:r>
      <w:r>
        <w:t xml:space="preserve">- (a) declaração de inidoneidade;</w:t>
      </w:r>
      <w:r>
        <w:t xml:space="preserve"> </w:t>
      </w:r>
      <w:r>
        <w:t xml:space="preserve">- (b) multa de R$ 3.905.734,97;</w:t>
      </w:r>
      <w:r>
        <w:t xml:space="preserve"> </w:t>
      </w:r>
      <w:r>
        <w:t xml:space="preserve">- (c) publicação extraordinária.</w:t>
      </w:r>
      <w:r>
        <w:t xml:space="preserve"> </w:t>
      </w:r>
      <w:r>
        <w:t xml:space="preserve">- O dispositivo da Decisão nº 9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contém quantificação de dano nem condições expressas de reabilitação. Nisso difere da Decisão nº 175 examinada no precedente [D15, item 3.4].</w:t>
      </w:r>
      <w:r>
        <w:t xml:space="preserve"> </w:t>
      </w:r>
      <w:r>
        <w:t xml:space="preserve">- O pedido de reconsideração, de 22/02/2023, invocou expressamente o acórdão do TRF4 e a ausência de dano à Petrobras [D13, §§ 4-5 e nota 2]. Foi conhecido e indeferido pela Decisão nº 347, assinada em 24/10/2023 e publicada no DOU de 27/10/2023,</w:t>
      </w:r>
      <w:r>
        <w:t xml:space="preserve"> </w:t>
      </w:r>
      <w:r>
        <w:t xml:space="preserve">“</w:t>
      </w:r>
      <w:r>
        <w:t xml:space="preserve">tendo em vista não haver nenhum fato novo ou questão jurídica relevante</w:t>
      </w:r>
      <w:r>
        <w:t xml:space="preserve">”</w:t>
      </w:r>
      <w:r>
        <w:t xml:space="preserve"> </w:t>
      </w:r>
      <w:r>
        <w:t xml:space="preserve">[D3; D4].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Cs/>
          <w:b/>
        </w:rPr>
        <w:t xml:space="preserve">Esfera judicial cível.</w:t>
      </w:r>
      <w:r>
        <w:t xml:space="preserve"> </w:t>
      </w:r>
      <w:r>
        <w:t xml:space="preserve">- A DECAL ajuizou ação anulatória contra a União.</w:t>
      </w:r>
      <w:r>
        <w:t xml:space="preserve"> </w:t>
      </w:r>
      <w:r>
        <w:t xml:space="preserve">- No AI nº 0815236-74.2023.4.05.0000, obteve suspensão das sanções em 04/12/2023 [D11, § 49].</w:t>
      </w:r>
      <w:r>
        <w:t xml:space="preserve"> </w:t>
      </w:r>
      <w:r>
        <w:t xml:space="preserve">- No AI nº 0809667-58.2024.4.05.0000, obteve nova suspensão em 19/09/2024. Em 05/02/2025, a 6ª Turma do TRF5, por maioria, deu parcial provimento ao agravo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para autorizar o depósito judicial da multa</w:t>
      </w:r>
      <w:r>
        <w:t xml:space="preserve"> </w:t>
      </w:r>
      <w:r>
        <w:t xml:space="preserve">“</w:t>
      </w:r>
      <w:r>
        <w:t xml:space="preserve">com a finalidade de suspensão da sua exigibilidade</w:t>
      </w:r>
      <w:r>
        <w:t xml:space="preserve">”</w:t>
      </w:r>
      <w:r>
        <w:t xml:space="preserve"> </w:t>
      </w:r>
      <w:r>
        <w:t xml:space="preserve">[D9; D10].</w:t>
      </w:r>
      <w:r>
        <w:t xml:space="preserve"> </w:t>
      </w:r>
      <w:r>
        <w:t xml:space="preserve">- O voto condutor registrou que</w:t>
      </w:r>
      <w:r>
        <w:t xml:space="preserve"> </w:t>
      </w:r>
      <w:r>
        <w:t xml:space="preserve">“</w:t>
      </w:r>
      <w:r>
        <w:t xml:space="preserve">a alegação de que não houve dano a Petrobrás […] não serve de nada para o afastamento da responsabilização, mas tão somente para impedir a condenação pelo dano</w:t>
      </w:r>
      <w:r>
        <w:t xml:space="preserve">”</w:t>
      </w:r>
      <w:r>
        <w:t xml:space="preserve"> </w:t>
      </w:r>
      <w:r>
        <w:t xml:space="preserve">[D9].</w:t>
      </w:r>
      <w:r>
        <w:t xml:space="preserve"> </w:t>
      </w:r>
      <w:r>
        <w:t xml:space="preserve">- A DECAL efetuou o depósito em 2025 (R$ 3.906 mil), contabilizado como ativo realizável a longo prazo</w:t>
      </w:r>
      <w:r>
        <w:t xml:space="preserve"> </w:t>
      </w:r>
      <w:r>
        <w:t xml:space="preserve">“</w:t>
      </w:r>
      <w:r>
        <w:t xml:space="preserve">sem que haja a caracterização da liquidação do passivo</w:t>
      </w:r>
      <w:r>
        <w:t xml:space="preserve">”</w:t>
      </w:r>
      <w:r>
        <w:t xml:space="preserve"> </w:t>
      </w:r>
      <w:r>
        <w:t xml:space="preserve">[D17, notas 2.6 e 17].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Cs/>
          <w:b/>
        </w:rPr>
        <w:t xml:space="preserve">Pedido de reabilitação.</w:t>
      </w:r>
      <w:r>
        <w:t xml:space="preserve"> </w:t>
      </w:r>
      <w:r>
        <w:t xml:space="preserve">- Em 21/09/2026, a DECAL requereu a reabilitação (SEI 4250406). Sustentou, em síntese:</w:t>
      </w:r>
      <w:r>
        <w:t xml:space="preserve"> </w:t>
      </w:r>
      <w:r>
        <w:t xml:space="preserve">- (i) aplicação exclusiva do art. 87, IV e § 3º, da Lei nº 8.666/1993;</w:t>
      </w:r>
      <w:r>
        <w:t xml:space="preserve"> </w:t>
      </w:r>
      <w:r>
        <w:t xml:space="preserve">- (ii) inaplicabilidade das Portarias nº 1.214/2020 e nº 226/2025;</w:t>
      </w:r>
      <w:r>
        <w:t xml:space="preserve"> </w:t>
      </w:r>
      <w:r>
        <w:t xml:space="preserve">- (iii) inexistência de prejuízo a ressarcir;</w:t>
      </w:r>
      <w:r>
        <w:t xml:space="preserve"> </w:t>
      </w:r>
      <w:r>
        <w:t xml:space="preserve">- (iv) irrelevância do pagamento da multa ou, subsidiariamente, seu atendimento pelo depósito judicial [D11].</w:t>
      </w:r>
      <w:r>
        <w:t xml:space="preserve"> </w:t>
      </w:r>
      <w:r>
        <w:t xml:space="preserve">- Em 14/10/2026, juntou o parecer do MPF [D12].</w:t>
      </w:r>
    </w:p>
    <w:bookmarkEnd w:id="28"/>
    <w:bookmarkStart w:id="29" w:name="v-delimitação-da-questão"/>
    <w:p>
      <w:pPr>
        <w:pStyle w:val="Heading2"/>
      </w:pPr>
      <w:r>
        <w:t xml:space="preserve">V — DELIMITAÇÃO DA QUESTÃO</w:t>
      </w:r>
    </w:p>
    <w:p>
      <w:pPr>
        <w:pStyle w:val="FirstParagraph"/>
      </w:pPr>
      <w:r>
        <w:t xml:space="preserve">5.1. A Portaria nº 1.214/2020 prevê três requisitos</w:t>
      </w:r>
      <w:r>
        <w:t xml:space="preserve"> </w:t>
      </w:r>
      <w:r>
        <w:rPr>
          <w:bCs/>
          <w:b/>
        </w:rPr>
        <w:t xml:space="preserve">cumulativos e autônomos</w:t>
      </w:r>
      <w:r>
        <w:t xml:space="preserve"> </w:t>
      </w:r>
      <w:r>
        <w:t xml:space="preserve">(art. 2º):</w:t>
      </w:r>
      <w:r>
        <w:t xml:space="preserve"> </w:t>
      </w:r>
      <w:r>
        <w:t xml:space="preserve">- I — transcurso de prazo;</w:t>
      </w:r>
      <w:r>
        <w:t xml:space="preserve"> </w:t>
      </w:r>
      <w:r>
        <w:t xml:space="preserve">- II — ressarcimento integral dos prejuízos apontados;</w:t>
      </w:r>
      <w:r>
        <w:t xml:space="preserve"> </w:t>
      </w:r>
      <w:r>
        <w:t xml:space="preserve">- III — superação dos motivos determinantes, incluindo programa de integridade.</w:t>
      </w:r>
    </w:p>
    <w:p>
      <w:pPr>
        <w:pStyle w:val="BodyText"/>
      </w:pPr>
      <w:r>
        <w:t xml:space="preserve">Esta Nota examina</w:t>
      </w:r>
      <w:r>
        <w:t xml:space="preserve"> </w:t>
      </w:r>
      <w:r>
        <w:rPr>
          <w:bCs/>
          <w:b/>
        </w:rPr>
        <w:t xml:space="preserve">apenas o inciso II</w:t>
      </w:r>
      <w:r>
        <w:t xml:space="preserve">. As teses da DECAL sobre a contagem do prazo [D11, §§ 46-56; D12, item 1] e sobre a exigibilidade e a metodologia do programa de integridade [D11, §§ 23-42 e 65-75] são mencionadas somente para delimitar o objeto e não recebem juízo de mérito.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Cs/>
          <w:b/>
        </w:rPr>
        <w:t xml:space="preserve">Elementos do requisito.</w:t>
      </w:r>
      <w:r>
        <w:t xml:space="preserve"> </w:t>
      </w:r>
      <w:r>
        <w:t xml:space="preserve">A norma tem cinco elementos:</w:t>
      </w:r>
      <w:r>
        <w:t xml:space="preserve"> </w:t>
      </w:r>
      <w:r>
        <w:t xml:space="preserve">- (a)</w:t>
      </w:r>
      <w:r>
        <w:t xml:space="preserve"> </w:t>
      </w:r>
      <w:r>
        <w:rPr>
          <w:bCs/>
          <w:b/>
        </w:rPr>
        <w:t xml:space="preserve">prejuízos</w:t>
      </w:r>
      <w:r>
        <w:t xml:space="preserve">, isto é, dano patrimonial à Administração Pública, conceito que abrange a Petrobras, sociedade de economia mista integrante da Administração indireta (art. 6º, XI, da Lei nº 8.666/1993);</w:t>
      </w:r>
      <w:r>
        <w:t xml:space="preserve"> </w:t>
      </w:r>
      <w:r>
        <w:t xml:space="preserve">- (b)</w:t>
      </w:r>
      <w:r>
        <w:t xml:space="preserve"> </w:t>
      </w:r>
      <w:r>
        <w:rPr>
          <w:bCs/>
          <w:b/>
        </w:rPr>
        <w:t xml:space="preserve">causados pela pessoa jurídica</w:t>
      </w:r>
      <w:r>
        <w:t xml:space="preserve">;</w:t>
      </w:r>
      <w:r>
        <w:t xml:space="preserve"> </w:t>
      </w:r>
      <w:r>
        <w:t xml:space="preserve">- (c)</w:t>
      </w:r>
      <w:r>
        <w:t xml:space="preserve"> </w:t>
      </w:r>
      <w:r>
        <w:rPr>
          <w:bCs/>
          <w:b/>
        </w:rPr>
        <w:t xml:space="preserve">apontados pela Administração Pública</w:t>
      </w:r>
      <w:r>
        <w:t xml:space="preserve">;</w:t>
      </w:r>
      <w:r>
        <w:t xml:space="preserve"> </w:t>
      </w:r>
      <w:r>
        <w:t xml:space="preserve">- (d)</w:t>
      </w:r>
      <w:r>
        <w:t xml:space="preserve"> </w:t>
      </w:r>
      <w:r>
        <w:rPr>
          <w:bCs/>
          <w:b/>
        </w:rPr>
        <w:t xml:space="preserve">em decorrência dos atos que justificaram a inidoneidade</w:t>
      </w:r>
      <w:r>
        <w:t xml:space="preserve">, o que exige nexo causal com o ato lesivo sancionado (art. 88, III, da Lei nº 8.666/1993 — pagamento de vantagem indevida para obter a renovação contratual);</w:t>
      </w:r>
      <w:r>
        <w:t xml:space="preserve"> </w:t>
      </w:r>
      <w:r>
        <w:t xml:space="preserve">- (e)</w:t>
      </w:r>
      <w:r>
        <w:t xml:space="preserve"> </w:t>
      </w:r>
      <w:r>
        <w:rPr>
          <w:bCs/>
          <w:b/>
        </w:rPr>
        <w:t xml:space="preserve">ressarcimento integral</w:t>
      </w:r>
      <w:r>
        <w:t xml:space="preserve">, isto é, satisfação ou extinção válida da totalidade do prejuízo apontado.</w:t>
      </w:r>
    </w:p>
    <w:p>
      <w:pPr>
        <w:pStyle w:val="BodyText"/>
      </w:pPr>
      <w:r>
        <w:t xml:space="preserve">5.2-A.</w:t>
      </w:r>
      <w:r>
        <w:t xml:space="preserve"> </w:t>
      </w:r>
      <w:r>
        <w:rPr>
          <w:bCs/>
          <w:b/>
        </w:rPr>
        <w:t xml:space="preserve">Prejuízo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apontado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 prejuízo exigível.</w:t>
      </w:r>
      <w:r>
        <w:t xml:space="preserve"> </w:t>
      </w:r>
      <w:r>
        <w:t xml:space="preserve">Convém distinguir duas camadas de exame, que a versão anterior desta Nota não separava com clareza:</w:t>
      </w:r>
      <w:r>
        <w:t xml:space="preserve"> </w:t>
      </w:r>
      <w:r>
        <w:t xml:space="preserve">- (i)</w:t>
      </w:r>
      <w:r>
        <w:t xml:space="preserve"> </w:t>
      </w:r>
      <w:r>
        <w:rPr>
          <w:bCs/>
          <w:b/>
        </w:rPr>
        <w:t xml:space="preserve">Camada literal (art. 2º, II).</w:t>
      </w:r>
      <w:r>
        <w:t xml:space="preserve"> </w:t>
      </w:r>
      <w:r>
        <w:t xml:space="preserve">Houve indicação de prejuízo por órgão ou agente da Administração Pública? A CPAR integra a Administração, de modo que seu Relatório Final pode, em tese, conter tal indicação.</w:t>
      </w:r>
      <w:r>
        <w:t xml:space="preserve"> </w:t>
      </w:r>
      <w:r>
        <w:t xml:space="preserve">- (ii)</w:t>
      </w:r>
      <w:r>
        <w:t xml:space="preserve"> </w:t>
      </w:r>
      <w:r>
        <w:rPr>
          <w:bCs/>
          <w:b/>
        </w:rPr>
        <w:t xml:space="preserve">Camada metodológica (art. 2º, § 1º, conforme interpretado pela CGU).</w:t>
      </w:r>
      <w:r>
        <w:t xml:space="preserve"> </w:t>
      </w:r>
      <w:r>
        <w:t xml:space="preserve">O prejuízo indicado está quantificado e decorre de admissão da pessoa jurídica ou de decisão administrativa ou judicial definitiva, com nexo causal com o ato sancionado? Esse é o conceito de dano incontroverso do art. 37, § 2º, do Decreto nº 11.129/2022 e do art. 33 da PNI nº 1/2025, adotado no precedente [D15, itens 4.14, 4.17 e 4.48].</w:t>
      </w:r>
    </w:p>
    <w:p>
      <w:pPr>
        <w:pStyle w:val="BodyText"/>
      </w:pPr>
      <w:r>
        <w:t xml:space="preserve">O relatório de comissão processante é peça opinativa. A indicação nele contida só satisfaz a segunda camada se incorporada pela autoridade julgadora e se identificar e quantificar o dano com nexo causal. A expressão</w:t>
      </w:r>
      <w:r>
        <w:t xml:space="preserve"> </w:t>
      </w:r>
      <w:r>
        <w:t xml:space="preserve">“</w:t>
      </w:r>
      <w:r>
        <w:t xml:space="preserve">no mínimo, o montante pago a título de vantagem indevida</w:t>
      </w:r>
      <w:r>
        <w:t xml:space="preserve">”</w:t>
      </w:r>
      <w:r>
        <w:t xml:space="preserve"> </w:t>
      </w:r>
      <w:r>
        <w:t xml:space="preserve">é estimativa por</w:t>
      </w:r>
      <w:r>
        <w:t xml:space="preserve"> </w:t>
      </w:r>
      <w:r>
        <w:rPr>
          <w:iCs/>
          <w:i/>
        </w:rPr>
        <w:t xml:space="preserve">proxy</w:t>
      </w:r>
      <w:r>
        <w:t xml:space="preserve">. Ainda que adotada, pode não preencher esse padrão (Seções 8.4 e 9.4).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Cs/>
          <w:b/>
        </w:rPr>
        <w:t xml:space="preserve">Categorias que não se confundem com o objeto:</w:t>
      </w:r>
      <w:r>
        <w:t xml:space="preserve"> </w:t>
      </w:r>
      <w:r>
        <w:t xml:space="preserve">- (a)</w:t>
      </w:r>
      <w:r>
        <w:t xml:space="preserve"> </w:t>
      </w:r>
      <w:r>
        <w:rPr>
          <w:bCs/>
          <w:b/>
        </w:rPr>
        <w:t xml:space="preserve">multa da Lei nº 12.846/2013</w:t>
      </w:r>
      <w:r>
        <w:t xml:space="preserve">: sanção de natureza punitiva. O art. 6º, § 3º, dispõe que</w:t>
      </w:r>
      <w:r>
        <w:t xml:space="preserve"> </w:t>
      </w:r>
      <w:r>
        <w:t xml:space="preserve">“</w:t>
      </w:r>
      <w:r>
        <w:t xml:space="preserve">a aplicação das sanções previstas neste artigo não exclui, em qualquer hipótese, a obrigação da reparação integral do dano causado</w:t>
      </w:r>
      <w:r>
        <w:t xml:space="preserve">”</w:t>
      </w:r>
      <w:r>
        <w:t xml:space="preserve">, e o art. 13 prevê processo específico de reparação. A multa não mede o dano e seu pagamento não o ressarce;</w:t>
      </w:r>
      <w:r>
        <w:t xml:space="preserve"> </w:t>
      </w:r>
      <w:r>
        <w:t xml:space="preserve">- (b)</w:t>
      </w:r>
      <w:r>
        <w:t xml:space="preserve"> </w:t>
      </w:r>
      <w:r>
        <w:rPr>
          <w:bCs/>
          <w:b/>
        </w:rPr>
        <w:t xml:space="preserve">acordos ou instrumentos consensuais</w:t>
      </w:r>
      <w:r>
        <w:t xml:space="preserve">: não há nos autos acordo de leniência, termo de compromisso ou ajuste envolvendo a DECAL. Mesmo que houvesse, o acordo não exime da obrigação de reparar integralmente o dano (art. 16, § 3º, da Lei nº 12.846/2013);</w:t>
      </w:r>
      <w:r>
        <w:t xml:space="preserve"> </w:t>
      </w:r>
      <w:r>
        <w:t xml:space="preserve">- (c)</w:t>
      </w:r>
      <w:r>
        <w:t xml:space="preserve"> </w:t>
      </w:r>
      <w:r>
        <w:rPr>
          <w:bCs/>
          <w:b/>
        </w:rPr>
        <w:t xml:space="preserve">perdimento da vantagem auferida</w:t>
      </w:r>
      <w:r>
        <w:t xml:space="preserve"> </w:t>
      </w:r>
      <w:r>
        <w:t xml:space="preserve">(art. 26 do Decreto nº 11.129/2022): rubrica distinta do dano, que só se confunde com ele havendo identidade (art. 33, § 1º, da PNI CGU/AGU nº 1/2025);</w:t>
      </w:r>
      <w:r>
        <w:t xml:space="preserve"> </w:t>
      </w:r>
      <w:r>
        <w:t xml:space="preserve">- (d)</w:t>
      </w:r>
      <w:r>
        <w:t xml:space="preserve"> </w:t>
      </w:r>
      <w:r>
        <w:rPr>
          <w:bCs/>
          <w:b/>
        </w:rPr>
        <w:t xml:space="preserve">confisco penal</w:t>
      </w:r>
      <w:r>
        <w:t xml:space="preserve"> </w:t>
      </w:r>
      <w:r>
        <w:t xml:space="preserve">(art. 91, II,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, do CP) imposto a pessoa física: efeito da condenação, que não constitui obrigação da DECAL, mas pode ser relevante para afastar duplicidade;</w:t>
      </w:r>
      <w:r>
        <w:t xml:space="preserve"> </w:t>
      </w:r>
      <w:r>
        <w:t xml:space="preserve">- (e)</w:t>
      </w:r>
      <w:r>
        <w:t xml:space="preserve"> </w:t>
      </w:r>
      <w:r>
        <w:rPr>
          <w:bCs/>
          <w:b/>
        </w:rPr>
        <w:t xml:space="preserve">depósito judicial</w:t>
      </w:r>
      <w:r>
        <w:t xml:space="preserve">: garantia que suspende a exigibilidade, não pagamento;</w:t>
      </w:r>
      <w:r>
        <w:t xml:space="preserve"> </w:t>
      </w:r>
      <w:r>
        <w:t xml:space="preserve">- (f)</w:t>
      </w:r>
      <w:r>
        <w:t xml:space="preserve"> </w:t>
      </w:r>
      <w:r>
        <w:rPr>
          <w:bCs/>
          <w:b/>
        </w:rPr>
        <w:t xml:space="preserve">valor reconhecido, apurado, exigido, depositado ou pago</w:t>
      </w:r>
      <w:r>
        <w:t xml:space="preserve">: estados jurídicos distintos, que serão diferenciados na Seção VIII.</w:t>
      </w:r>
    </w:p>
    <w:bookmarkEnd w:id="29"/>
    <w:bookmarkStart w:id="30" w:name="Xcb595c5d466b81fdc5109f4d8766ba9ead48455"/>
    <w:p>
      <w:pPr>
        <w:pStyle w:val="Heading2"/>
      </w:pPr>
      <w:r>
        <w:t xml:space="preserve">VI — MARCO NORMATIVO E ANÁLISE INTERTEMPORAL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Cs/>
          <w:b/>
        </w:rPr>
        <w:t xml:space="preserve">Base legal do requisito.</w:t>
      </w:r>
      <w:r>
        <w:t xml:space="preserve"> </w:t>
      </w:r>
      <w:r>
        <w:t xml:space="preserve">O ressarcimento é exigência da</w:t>
      </w:r>
      <w:r>
        <w:t xml:space="preserve"> </w:t>
      </w:r>
      <w:r>
        <w:rPr>
          <w:bCs/>
          <w:b/>
        </w:rPr>
        <w:t xml:space="preserve">própria lei</w:t>
      </w:r>
      <w:r>
        <w:t xml:space="preserve">. O art. 87, IV, da Lei nº 8.666/1993 dispõe que a reabilitação</w:t>
      </w:r>
      <w:r>
        <w:t xml:space="preserve"> </w:t>
      </w:r>
      <w:r>
        <w:t xml:space="preserve">“</w:t>
      </w:r>
      <w:r>
        <w:t xml:space="preserve">será concedida sempre que o contratado ressarcir a Administração pelos prejuízos resultantes e após decorrido o prazo da sanção aplicada com base no inciso anterior</w:t>
      </w:r>
      <w:r>
        <w:t xml:space="preserve">”</w:t>
      </w:r>
      <w:r>
        <w:t xml:space="preserve">. O § 3º acrescenta que</w:t>
      </w:r>
      <w:r>
        <w:t xml:space="preserve"> </w:t>
      </w:r>
      <w:r>
        <w:t xml:space="preserve">“</w:t>
      </w:r>
      <w:r>
        <w:t xml:space="preserve">a reabilitação [pode] ser requerida após 2 (dois) anos de sua aplicação</w:t>
      </w:r>
      <w:r>
        <w:t xml:space="preserve">”</w:t>
      </w:r>
      <w:r>
        <w:t xml:space="preserve">. Essa redação, inalterada desde 1993, vigorava na data dos fatos (2011-2014) e na da sanção (fevereiro e outubro de 2023). Na data do pedido (2026), a Lei nº 8.666/1993 já estava revogada pela Lei nº 14.133/2021 (art. 193, II; revogação efetivada ao final de 2023). A sanção aplicada com base nela e seus efeitos, inclusive a reabilitação, continuam regidos pelo regime sob o qual foi imposta (ultratividade). Esse é o entendimento adotado pela CGU no precedente [D15, item 4.1] e postulado pela própria DECAL [D11, §§ 20-21].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Cs/>
          <w:b/>
        </w:rPr>
        <w:t xml:space="preserve">Portaria CGU nº 1.214/2020.</w:t>
      </w:r>
      <w:r>
        <w:t xml:space="preserve"> </w:t>
      </w:r>
      <w:r>
        <w:t xml:space="preserve">- Vigente desde sete dias após a publicação no DOU de 09/06/2020 (art. 8º) [D18], portanto antes da sanção e do pedido.</w:t>
      </w:r>
      <w:r>
        <w:t xml:space="preserve"> </w:t>
      </w:r>
      <w:r>
        <w:t xml:space="preserve">- O inciso II</w:t>
      </w:r>
      <w:r>
        <w:t xml:space="preserve"> </w:t>
      </w:r>
      <w:r>
        <w:rPr>
          <w:bCs/>
          <w:b/>
        </w:rPr>
        <w:t xml:space="preserve">não amplia</w:t>
      </w:r>
      <w:r>
        <w:t xml:space="preserve"> </w:t>
      </w:r>
      <w:r>
        <w:t xml:space="preserve">a exigência legal; restringe-a, ao exigir que os prejuízos sejam</w:t>
      </w:r>
      <w:r>
        <w:t xml:space="preserve"> </w:t>
      </w:r>
      <w:r>
        <w:t xml:space="preserve">“</w:t>
      </w:r>
      <w:r>
        <w:t xml:space="preserve">apontados pela Administração Pública</w:t>
      </w:r>
      <w:r>
        <w:t xml:space="preserve">”</w:t>
      </w:r>
      <w:r>
        <w:t xml:space="preserve"> </w:t>
      </w:r>
      <w:r>
        <w:t xml:space="preserve">e decorram dos atos sancionados.</w:t>
      </w:r>
      <w:r>
        <w:t xml:space="preserve"> </w:t>
      </w:r>
      <w:r>
        <w:t xml:space="preserve">- A tese de irretroatividade da norma mais gravosa [D11, §§ 25 e 35] não alcança o inciso II: não há gravame novo em relação ao art. 87, IV, vigente desde 1993.</w:t>
      </w:r>
      <w:r>
        <w:t xml:space="preserve"> </w:t>
      </w:r>
      <w:r>
        <w:t xml:space="preserve">- A Portaria Normativa CGU nº 54/2023 alterou os arts. 3º a 6º, transferindo o processamento da CRG/DIREP para a SIPRI/DPI. O § 2º do art. 4º passou a atribuir à DPI a faculdade de</w:t>
      </w:r>
      <w:r>
        <w:t xml:space="preserve"> </w:t>
      </w:r>
      <w:r>
        <w:t xml:space="preserve">“</w:t>
      </w:r>
      <w:r>
        <w:t xml:space="preserve">solicitar informações aos entes lesados e órgãos públicos competentes para a aferição do ressarcimento integral dos prejuízos</w:t>
      </w:r>
      <w:r>
        <w:t xml:space="preserve">”</w:t>
      </w:r>
      <w:r>
        <w:t xml:space="preserve"> </w:t>
      </w:r>
      <w:r>
        <w:t xml:space="preserve">[D15, item 4.3 — transcrição oficial]. Segundo fontes secundárias, a PN nº 54/2023 também alterou o art. 1º e a remissão do inciso III do art. 2º (que passou ao Decreto nº 11.129/2022). Nenhuma fonte consultada indica alteração do inciso II ou do § 1º do art. 2º, e a transcrição do art. 2º, II, na NT nº 676/2026 é idêntica à redação original [D15, item 4.2; D18]. A redação consolidada oficial não pôde ser conferida (Seção VI-A).</w:t>
      </w:r>
      <w:r>
        <w:t xml:space="preserve"> </w:t>
      </w:r>
      <w:r>
        <w:t xml:space="preserve">- As normas procedimentais aplicam-se ao pedido em curso (</w:t>
      </w:r>
      <w:r>
        <w:rPr>
          <w:iCs/>
          <w:i/>
        </w:rPr>
        <w:t xml:space="preserve">tempus regit actum</w:t>
      </w:r>
      <w:r>
        <w:t xml:space="preserve">).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Cs/>
          <w:b/>
        </w:rPr>
        <w:t xml:space="preserve">Metodologia do § 1º do art. 2º.</w:t>
      </w:r>
      <w:r>
        <w:t xml:space="preserve"> </w:t>
      </w:r>
      <w:r>
        <w:t xml:space="preserve">- O § 1º remete às</w:t>
      </w:r>
      <w:r>
        <w:t xml:space="preserve"> </w:t>
      </w:r>
      <w:r>
        <w:t xml:space="preserve">“</w:t>
      </w:r>
      <w:r>
        <w:t xml:space="preserve">definições e [à] metodologia</w:t>
      </w:r>
      <w:r>
        <w:t xml:space="preserve">”</w:t>
      </w:r>
      <w:r>
        <w:t xml:space="preserve"> </w:t>
      </w:r>
      <w:r>
        <w:t xml:space="preserve">da IN CGU/AGU nº 2/2018. Essa IN considerava rubrica de ressarcimento, entre outras, o</w:t>
      </w:r>
      <w:r>
        <w:t xml:space="preserve"> </w:t>
      </w:r>
      <w:r>
        <w:t xml:space="preserve">“</w:t>
      </w:r>
      <w:r>
        <w:t xml:space="preserve">somatório de todas as propinas pagas</w:t>
      </w:r>
      <w:r>
        <w:t xml:space="preserve">”</w:t>
      </w:r>
      <w:r>
        <w:t xml:space="preserve"> </w:t>
      </w:r>
      <w:r>
        <w:t xml:space="preserve">[D15, item 4.12].</w:t>
      </w:r>
      <w:r>
        <w:t xml:space="preserve"> </w:t>
      </w:r>
      <w:r>
        <w:t xml:space="preserve">- A IN foi revogada pelo art. 60, I, da PNI CGU/AGU nº 1/2025, em vigor desde a publicação em 23/12/2025 (art. 61) [D19], antes do pedido (21/09/2026) e desta análise.</w:t>
      </w:r>
      <w:r>
        <w:t xml:space="preserve"> </w:t>
      </w:r>
      <w:r>
        <w:t xml:space="preserve">- No precedente, a CGU passou a adotar como referência o conceito de</w:t>
      </w:r>
      <w:r>
        <w:t xml:space="preserve"> </w:t>
      </w:r>
      <w:r>
        <w:rPr>
          <w:bCs/>
          <w:b/>
        </w:rPr>
        <w:t xml:space="preserve">parcela incontroversa do dano</w:t>
      </w:r>
      <w:r>
        <w:t xml:space="preserve">: art. 37, § 2º, do Decreto nº 11.129/2022 (</w:t>
      </w:r>
      <w:r>
        <w:t xml:space="preserve">“</w:t>
      </w:r>
      <w:r>
        <w:t xml:space="preserve">valores dos danos admitidos pela pessoa jurídica ou àqueles decorrentes de decisão definitiva no âmbito do devido processo administrativo ou judicial</w:t>
      </w:r>
      <w:r>
        <w:t xml:space="preserve">”</w:t>
      </w:r>
      <w:r>
        <w:t xml:space="preserve">) e art. 33 da PNI nº 1/2025 [D15, itens 4.13-4.17; D19, art. 33].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Duas interpretações plausíveis sobre a norma aplicável ao § 1º: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Interpretação 1 — ultratividade da IN nº 2/2018.</w:t>
      </w:r>
      <w:r>
        <w:t xml:space="preserve"> </w:t>
      </w:r>
      <w:r>
        <w:t xml:space="preserve">A IN vigorava quando os fatos foram apurados, quando o Relatório Final foi elaborado e quando a sanção foi aplicada. Sendo a norma expressamente eleita pelo § 1º para a</w:t>
      </w:r>
      <w:r>
        <w:t xml:space="preserve"> </w:t>
      </w:r>
      <w:r>
        <w:t xml:space="preserve">“</w:t>
      </w:r>
      <w:r>
        <w:t xml:space="preserve">comprovação</w:t>
      </w:r>
      <w:r>
        <w:t xml:space="preserve">”</w:t>
      </w:r>
      <w:r>
        <w:t xml:space="preserve"> </w:t>
      </w:r>
      <w:r>
        <w:t xml:space="preserve">do inciso II, o ressarcimento abrangeria o somatório das propinas pagas, aproximadamente USD 868.450,00. A empresa não teria demonstrado o pagamento, e a conclusão tenderia à Alternativa B.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Interpretação 2 — remissão instrumental e dinâmica.</w:t>
      </w:r>
      <w:r>
        <w:t xml:space="preserve"> </w:t>
      </w:r>
      <w:r>
        <w:t xml:space="preserve">O § 1º remete a definições e método de aferição, e não ao conteúdo da obrigação, que é legal (art. 87, IV). Revogada a norma remetida antes do pedido (21/09/2026) e da análise, aplicam-se os conceitos da disciplina que a sucedeu no mesmo objeto (PNI nº 1/2025, art. 33; Decreto nº 11.129/2022, art. 37, § 2º).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Interpretação que deve prevalecer: a 2.</w:t>
      </w:r>
      <w:r>
        <w:t xml:space="preserve"> </w:t>
      </w:r>
      <w:r>
        <w:t xml:space="preserve">Por quatro razões:</w:t>
      </w:r>
      <w:r>
        <w:t xml:space="preserve"> </w:t>
      </w:r>
      <w:r>
        <w:t xml:space="preserve">- (a) é a adotada pela CGU em caso equivalente de sanção da Lei nº 8.666/1993 decidido em 2026 [D15, itens 4.13-4.17]. Afastá-la exigiria motivação específica (Lei nº 9.784/1999, art. 50, VII) e romperia a coerência administrativa (LINDB, art. 30);</w:t>
      </w:r>
      <w:r>
        <w:t xml:space="preserve"> </w:t>
      </w:r>
      <w:r>
        <w:t xml:space="preserve">- (b) a IN nº 2/2018 era metodologia de cálculo para acordos de leniência, em que a pessoa jurídica admite responsabilidade e negocia valores. Transpô-la sem mediação para impor um débito a quem não o admitiu é solução menos compatível com a exigência de decisão definitiva ou admissão;</w:t>
      </w:r>
      <w:r>
        <w:t xml:space="preserve"> </w:t>
      </w:r>
      <w:r>
        <w:t xml:space="preserve">- (c) a obrigação de ressarcir não muda; muda apenas o critério de verificação, aplicado no momento da instrução (</w:t>
      </w:r>
      <w:r>
        <w:rPr>
          <w:iCs/>
          <w:i/>
        </w:rPr>
        <w:t xml:space="preserve">tempus regit actum</w:t>
      </w:r>
      <w:r>
        <w:t xml:space="preserve"> </w:t>
      </w:r>
      <w:r>
        <w:t xml:space="preserve">procedimental);</w:t>
      </w:r>
      <w:r>
        <w:t xml:space="preserve"> </w:t>
      </w:r>
      <w:r>
        <w:t xml:space="preserve">- (d) a nova interpretação não agrava a situação do interessado, o que afasta a vedação do art. 2º, parágrafo único, XIII, da Lei nº 9.784/1999.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Convergência das duas leituras.</w:t>
      </w:r>
      <w:r>
        <w:t xml:space="preserve"> </w:t>
      </w:r>
      <w:r>
        <w:t xml:space="preserve">Mesmo sob a Interpretação 2, o precedente mantém a propina como possível dano incontroverso</w:t>
      </w:r>
      <w:r>
        <w:t xml:space="preserve"> </w:t>
      </w:r>
      <w:r>
        <w:t xml:space="preserve">“</w:t>
      </w:r>
      <w:r>
        <w:t xml:space="preserve">quando o tipo específico de ilícito praticado assim indicar</w:t>
      </w:r>
      <w:r>
        <w:t xml:space="preserve">”</w:t>
      </w:r>
      <w:r>
        <w:t xml:space="preserve"> </w:t>
      </w:r>
      <w:r>
        <w:t xml:space="preserve">[D15, itens 4.16-4.17]. As duas leituras convergem, portanto, para a mesma questão de fato: houve ou não repasse do custo da propina à Petrobras? Essa questão é examinada na Seção 8.4. A escolha deve ser confirmada pela CONJUR, por ser controvertida.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Cs/>
          <w:b/>
        </w:rPr>
        <w:t xml:space="preserve">Portaria Normativa SE/CGU nº 226/2025.</w:t>
      </w:r>
      <w:r>
        <w:t xml:space="preserve"> </w:t>
      </w:r>
      <w:r>
        <w:t xml:space="preserve">- Segundo o precedente, disciplina a metodologia de avaliação de programas de integridade, inclusive em reabilitação (art. 1º, III e parágrafo único) [D15, item 4.50]. Segundo a própria DECAL, seus arts. 20 e 21 se referem às infrações e aos requisitos do art. 163 da Lei nº 14.133/2021 [D11, §§ 36-37].</w:t>
      </w:r>
      <w:r>
        <w:t xml:space="preserve"> </w:t>
      </w:r>
      <w:r>
        <w:t xml:space="preserve">- O art. 163 da Lei nº 14.133/2021 exige, cumulativamente, reparação integral do dano (inciso I) e pagamento da multa (inciso II). Este último requisito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no art. 87, IV, da Lei nº 8.666/1993 nem no art. 2º da Portaria nº 1.214/2020.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Conclusão intertemporal.</w:t>
      </w:r>
      <w:r>
        <w:t xml:space="preserve"> </w:t>
      </w:r>
      <w:r>
        <w:t xml:space="preserve">A PN nº 226/2025 não cria, não modifica e não substitui o requisito do inciso II para sanções aplicadas com base na Lei nº 8.666/1993. Sua eventual aplicação ao inciso III não é examinada aqui. O texto oficial não pôde ser conferido neste ambiente (Anexo C).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Cs/>
          <w:b/>
        </w:rPr>
        <w:t xml:space="preserve">Decretos regulamentares.</w:t>
      </w:r>
      <w:r>
        <w:t xml:space="preserve"> </w:t>
      </w:r>
      <w:r>
        <w:t xml:space="preserve">A Decisão nº 9 fundou-se no Decreto nº 8.420/2015 e a Decisão nº 347, no Decreto nº 11.129/2022 [D2; D3]. A escolha do decreto não interfere no inciso II. O art. 37, § 2º, do Decreto nº 11.129/2022 é usado apenas como parâmetro conceitual de</w:t>
      </w:r>
      <w:r>
        <w:t xml:space="preserve"> </w:t>
      </w:r>
      <w:r>
        <w:t xml:space="preserve">“</w:t>
      </w:r>
      <w:r>
        <w:t xml:space="preserve">dano incontroverso</w:t>
      </w:r>
      <w:r>
        <w:t xml:space="preserve">”</w:t>
      </w:r>
      <w:r>
        <w:t xml:space="preserve">, como no precedente, e não como fonte de obrigação nova.</w:t>
      </w:r>
    </w:p>
    <w:p>
      <w:pPr>
        <w:pStyle w:val="BodyText"/>
      </w:pPr>
      <w:r>
        <w:t xml:space="preserve">6.5-A.</w:t>
      </w:r>
      <w:r>
        <w:t xml:space="preserve"> </w:t>
      </w:r>
      <w:r>
        <w:rPr>
          <w:bCs/>
          <w:b/>
        </w:rPr>
        <w:t xml:space="preserve">Quadro de conferência normativa (Seção VI-A).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Redação aplicável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da conferência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Portaria CGU 1.214/2020, arts. 1º a 8º (redação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 de 09/06/2020 [D18]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Conferido em fonte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Portaria 1.214, arts. 2º, II, 3º a 6º (com a PN 54/2023)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Transcrição em ato oficial da CGU [D15]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Conferido em transcrição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 54/2023 — alterações dos arts. 1º e 2º,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secundárias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PNI CGU/AGU 1/2025, arts. 4º, 33, 34, 59, 60 e 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23/12/2025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 [D19]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Conferido em fonte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Decreto 11.129/2022, arts. 26 e 37,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Transcrição em ato oficial da CGU [D15]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Conferido em transcrição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8.666/1993, art. 87, IV e § 3º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1993-2023 (ultrativo)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Transcrição da requerente [D11]; texto notório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 de conferência oficial</w:t>
            </w:r>
            <w:r>
              <w:t xml:space="preserve"> </w:t>
            </w:r>
            <w:r>
              <w:t xml:space="preserve">(redação convergente em D11 e D15)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12.846/2013, arts. 6º, § 3º, 13, 16, § 3º, 19 e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Redação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conferido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9.784/1999; LINDB; CC, art. 935; CPP, arts. 63, 66, 67 e 387, IV; CPC, art. 506; CP, art. 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935 do CC transcrito em D11; demais não conferidos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14.133/2021, arts. 163 e 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secundárias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  <w:r>
              <w:t xml:space="preserve"> </w:t>
            </w:r>
            <w:r>
              <w:t xml:space="preserve">(uso apenas delimitador)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 SE/CGU 226/2025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09-11/09/2025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secundárias; transcrição do art. 20 em 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</w:p>
        </w:tc>
      </w:tr>
    </w:tbl>
    <w:p>
      <w:pPr>
        <w:pStyle w:val="BodyText"/>
      </w:pPr>
      <w:r>
        <w:t xml:space="preserve">A conferência pendente não altera, em princípio, o raciocínio: as redações empregadas são estáveis e os pontos centrais estão conferidos em fonte oficial ou em transcrição oficial. A conferência deve, porém, preceder a assinatura.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Cs/>
          <w:b/>
        </w:rPr>
        <w:t xml:space="preserve">Hierarquia e conflito aparente.</w:t>
      </w:r>
      <w:r>
        <w:t xml:space="preserve"> </w:t>
      </w:r>
      <w:r>
        <w:t xml:space="preserve">Não há antinomia relevante para o inciso II: lei (art. 87, IV), regulamento (Portaria nº 1.214/2020, art. 2º, II e § 1º) e norma conceitual vigente (PNI nº 1/2025, art. 33) convergem. Prevalece, em qualquer hipótese, a exigência legal de ressarcimento, nos limites dados pela expressão regulamentar</w:t>
      </w:r>
      <w:r>
        <w:t xml:space="preserve"> </w:t>
      </w:r>
      <w:r>
        <w:t xml:space="preserve">“</w:t>
      </w:r>
      <w:r>
        <w:t xml:space="preserve">quando apontados</w:t>
      </w:r>
      <w:r>
        <w:t xml:space="preserve">”</w:t>
      </w:r>
      <w:r>
        <w:t xml:space="preserve">.</w:t>
      </w:r>
    </w:p>
    <w:bookmarkEnd w:id="30"/>
    <w:bookmarkStart w:id="31" w:name="vii-análise-documental-e-probatória"/>
    <w:p>
      <w:pPr>
        <w:pStyle w:val="Heading2"/>
      </w:pPr>
      <w:r>
        <w:t xml:space="preserve">VII — ANÁLISE DOCUMENTAL E PROBATÓRIA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Cs/>
          <w:b/>
        </w:rPr>
        <w:t xml:space="preserve">Inventário e limitações.</w:t>
      </w:r>
      <w:r>
        <w:t xml:space="preserve"> </w:t>
      </w:r>
      <w:r>
        <w:t xml:space="preserve">- Foram examinados integralmente os 14 documentos da pasta</w:t>
      </w:r>
      <w:r>
        <w:t xml:space="preserve"> </w:t>
      </w:r>
      <w:r>
        <w:rPr>
          <w:rStyle w:val="VerbatimChar"/>
        </w:rPr>
        <w:t xml:space="preserve">DECAL/Nota_tecnica</w:t>
      </w:r>
      <w:r>
        <w:t xml:space="preserve"> </w:t>
      </w:r>
      <w:r>
        <w:t xml:space="preserve">e as demonstrações financeiras de 2025 (Anexo A).</w:t>
      </w:r>
      <w:r>
        <w:t xml:space="preserve"> </w:t>
      </w:r>
      <w:r>
        <w:t xml:space="preserve">- Os demais arquivos da pasta</w:t>
      </w:r>
      <w:r>
        <w:t xml:space="preserve"> </w:t>
      </w:r>
      <w:r>
        <w:rPr>
          <w:rStyle w:val="VerbatimChar"/>
        </w:rPr>
        <w:t xml:space="preserve">DECAL/</w:t>
      </w:r>
      <w:r>
        <w:t xml:space="preserve"> </w:t>
      </w:r>
      <w:r>
        <w:t xml:space="preserve">(políticas, atas, certificados, treinamentos) referem-se ao programa de integridade (inciso III) e não contêm elementos sobre ressarcimento.</w:t>
      </w:r>
      <w:r>
        <w:t xml:space="preserve"> </w:t>
      </w:r>
      <w:r>
        <w:t xml:space="preserve">- Não estão disponíveis: Doc. 1 (e-mail da Petrobras), Doc. 4 (comprovante de depósito da multa) e Doc. 7 (relatórios em PDF) do pedido; Relatório Final (SEI 1843086); cálculo SEI 1569432; Pareceres nº 00199/2021 e nº 00273/2023/CONJUR e respectivos despachos; certidão de trânsito em julgado da ação penal; petição inicial e andamento da ação anulatória.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Cs/>
          <w:b/>
        </w:rPr>
        <w:t xml:space="preserve">Sentença [D6].</w:t>
      </w:r>
      <w:r>
        <w:t xml:space="preserve"> </w:t>
      </w:r>
      <w:r>
        <w:t xml:space="preserve">Documento judicial autêntico (extrato do</w:t>
      </w:r>
      <w:r>
        <w:t xml:space="preserve"> </w:t>
      </w:r>
      <w:r>
        <w:rPr>
          <w:iCs/>
          <w:i/>
        </w:rPr>
        <w:t xml:space="preserve">eproc</w:t>
      </w:r>
      <w:r>
        <w:t xml:space="preserve">). Comprova:</w:t>
      </w:r>
      <w:r>
        <w:t xml:space="preserve"> </w:t>
      </w:r>
      <w:r>
        <w:t xml:space="preserve">- a fixação de indenização mínima e do confisco em favor da Petrobras;</w:t>
      </w:r>
      <w:r>
        <w:t xml:space="preserve"> </w:t>
      </w:r>
      <w:r>
        <w:t xml:space="preserve">- que o devedor era a pessoa física Mariano Marcondes Ferraz;</w:t>
      </w:r>
      <w:r>
        <w:t xml:space="preserve"> </w:t>
      </w:r>
      <w:r>
        <w:t xml:space="preserve">- a ausência de prova de ato de ofício ilegal de Paulo Roberto Costa e de ingerência na contratação (§§ 184-186).</w:t>
      </w:r>
    </w:p>
    <w:p>
      <w:pPr>
        <w:pStyle w:val="BodyText"/>
      </w:pPr>
      <w:r>
        <w:t xml:space="preserve">Limites:</w:t>
      </w:r>
      <w:r>
        <w:t xml:space="preserve"> </w:t>
      </w:r>
      <w:r>
        <w:t xml:space="preserve">- não vincula a DECAL, que não foi parte;</w:t>
      </w:r>
      <w:r>
        <w:t xml:space="preserve"> </w:t>
      </w:r>
      <w:r>
        <w:t xml:space="preserve">- foi reformada no ponto da indenização;</w:t>
      </w:r>
      <w:r>
        <w:t xml:space="preserve"> </w:t>
      </w:r>
      <w:r>
        <w:t xml:space="preserve">- apresenta divergências internas de valor e de data (Produto 3).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Cs/>
          <w:b/>
        </w:rPr>
        <w:t xml:space="preserve">Parecer do MPF [D7].</w:t>
      </w:r>
      <w:r>
        <w:t xml:space="preserve"> </w:t>
      </w:r>
      <w:r>
        <w:t xml:space="preserve">Peça opinativa, sem força decisória própria. Ganha relevância por ter sido adotada como razão de decidir pelo TRF4. O conteúdo determinante é:</w:t>
      </w:r>
      <w:r>
        <w:t xml:space="preserve"> </w:t>
      </w:r>
      <w:r>
        <w:t xml:space="preserve">- reconhece a</w:t>
      </w:r>
      <w:r>
        <w:t xml:space="preserve"> </w:t>
      </w:r>
      <w:r>
        <w:t xml:space="preserve">“</w:t>
      </w:r>
      <w:r>
        <w:t xml:space="preserve">lógica econômica</w:t>
      </w:r>
      <w:r>
        <w:t xml:space="preserve">”</w:t>
      </w:r>
      <w:r>
        <w:t xml:space="preserve"> </w:t>
      </w:r>
      <w:r>
        <w:t xml:space="preserve">pela qual a propina normalmente se reflete no preço;</w:t>
      </w:r>
      <w:r>
        <w:t xml:space="preserve"> </w:t>
      </w:r>
      <w:r>
        <w:t xml:space="preserve">- afirma que, no caso,</w:t>
      </w:r>
      <w:r>
        <w:t xml:space="preserve"> </w:t>
      </w:r>
      <w:r>
        <w:t xml:space="preserve">“</w:t>
      </w:r>
      <w:r>
        <w:t xml:space="preserve">não houve mínima demonstração da transmissão deste custo</w:t>
      </w:r>
      <w:r>
        <w:t xml:space="preserve">”</w:t>
      </w:r>
      <w:r>
        <w:t xml:space="preserve">;</w:t>
      </w:r>
      <w:r>
        <w:t xml:space="preserve"> </w:t>
      </w:r>
      <w:r>
        <w:t xml:space="preserve">- infere que Mariano Marcondes Ferraz</w:t>
      </w:r>
      <w:r>
        <w:t xml:space="preserve"> </w:t>
      </w:r>
      <w:r>
        <w:t xml:space="preserve">“</w:t>
      </w:r>
      <w:r>
        <w:t xml:space="preserve">arcou com o custo das vantagens indevidas, diminuindo o seu próprio ganho</w:t>
      </w:r>
      <w:r>
        <w:t xml:space="preserve">”</w:t>
      </w:r>
      <w:r>
        <w:t xml:space="preserve">, porque</w:t>
      </w:r>
      <w:r>
        <w:t xml:space="preserve"> </w:t>
      </w:r>
      <w:r>
        <w:t xml:space="preserve">“</w:t>
      </w:r>
      <w:r>
        <w:t xml:space="preserve">não se sabe do envolvimento dos controladores da empresa DECAL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O raciocínio é</w:t>
      </w:r>
      <w:r>
        <w:t xml:space="preserve"> </w:t>
      </w:r>
      <w:r>
        <w:rPr>
          <w:bCs/>
          <w:b/>
        </w:rPr>
        <w:t xml:space="preserve">probatório e inferencial</w:t>
      </w:r>
      <w:r>
        <w:t xml:space="preserve">, condicionado ao conjunto de provas daquela ação penal. Não é uma declaração categórica de inexistência do dano.</w:t>
      </w:r>
    </w:p>
    <w:p>
      <w:pPr>
        <w:pStyle w:val="BodyText"/>
      </w:pPr>
      <w:r>
        <w:t xml:space="preserve">7.4.</w:t>
      </w:r>
      <w:r>
        <w:t xml:space="preserve"> </w:t>
      </w:r>
      <w:r>
        <w:rPr>
          <w:bCs/>
          <w:b/>
        </w:rPr>
        <w:t xml:space="preserve">Acórdão do TRF4 [D8].</w:t>
      </w:r>
      <w:r>
        <w:t xml:space="preserve"> </w:t>
      </w:r>
      <w:r>
        <w:t xml:space="preserve">Decisão colegiada autêntica (código verificador indicado). Comprova o afastamento da indenização mínima</w:t>
      </w:r>
      <w:r>
        <w:t xml:space="preserve"> </w:t>
      </w:r>
      <w:r>
        <w:t xml:space="preserve">“</w:t>
      </w:r>
      <w:r>
        <w:t xml:space="preserve">não comprovado a transferência de custo à Petrobras</w:t>
      </w:r>
      <w:r>
        <w:t xml:space="preserve">”</w:t>
      </w:r>
      <w:r>
        <w:t xml:space="preserve"> </w:t>
      </w:r>
      <w:r>
        <w:t xml:space="preserve">e a manutenção do confisco. Não comprova:</w:t>
      </w:r>
      <w:r>
        <w:t xml:space="preserve"> </w:t>
      </w:r>
      <w:r>
        <w:t xml:space="preserve">- (i) o trânsito em julgado;</w:t>
      </w:r>
      <w:r>
        <w:t xml:space="preserve"> </w:t>
      </w:r>
      <w:r>
        <w:t xml:space="preserve">- (ii) a inexistência de dano para além do processo penal;</w:t>
      </w:r>
      <w:r>
        <w:t xml:space="preserve"> </w:t>
      </w:r>
      <w:r>
        <w:t xml:space="preserve">- (iii) a destinação final do confisco (a fundamentação adotada fala em perdimento</w:t>
      </w:r>
      <w:r>
        <w:t xml:space="preserve"> </w:t>
      </w:r>
      <w:r>
        <w:t xml:space="preserve">“</w:t>
      </w:r>
      <w:r>
        <w:t xml:space="preserve">em favor da União</w:t>
      </w:r>
      <w:r>
        <w:t xml:space="preserve">”</w:t>
      </w:r>
      <w:r>
        <w:t xml:space="preserve">, enquanto a sentença previa reversão à Petrobras, sem ressalva expressa no dispositivo do acórdão).</w:t>
      </w:r>
    </w:p>
    <w:p>
      <w:pPr>
        <w:pStyle w:val="BodyText"/>
      </w:pPr>
      <w:r>
        <w:t xml:space="preserve">7.5.</w:t>
      </w:r>
      <w:r>
        <w:t xml:space="preserve"> </w:t>
      </w:r>
      <w:r>
        <w:rPr>
          <w:bCs/>
          <w:b/>
        </w:rPr>
        <w:t xml:space="preserve">Acórdão do TRF5 e Parecer de Força Executória [D9; D10].</w:t>
      </w:r>
      <w:r>
        <w:t xml:space="preserve"> </w:t>
      </w:r>
      <w:r>
        <w:t xml:space="preserve">Comprovam a autorização do depósito da multa para suspender sua exigibilidade, com natureza precária (</w:t>
      </w:r>
      <w:r>
        <w:t xml:space="preserve">“</w:t>
      </w:r>
      <w:r>
        <w:t xml:space="preserve">poderá ser revertida por ocasião do julgamento final da ação</w:t>
      </w:r>
      <w:r>
        <w:t xml:space="preserve">”</w:t>
      </w:r>
      <w:r>
        <w:t xml:space="preserve"> </w:t>
      </w:r>
      <w:r>
        <w:t xml:space="preserve">[D10]).</w:t>
      </w:r>
      <w:r>
        <w:t xml:space="preserve"> </w:t>
      </w:r>
      <w:r>
        <w:t xml:space="preserve">- O voto do relator (vencido quanto à suspensão das sanções) mencionou avaliações técnicas da Petrobras que teriam apontado vantajosidade econômica do contrato [D9]. Trata-se de reprodução indireta: os documentos originais não foram examinados.</w:t>
      </w:r>
      <w:r>
        <w:t xml:space="preserve"> </w:t>
      </w:r>
      <w:r>
        <w:t xml:space="preserve">- O voto condutor ressalvou que a ausência de dano</w:t>
      </w:r>
      <w:r>
        <w:t xml:space="preserve"> </w:t>
      </w:r>
      <w:r>
        <w:t xml:space="preserve">“</w:t>
      </w:r>
      <w:r>
        <w:t xml:space="preserve">tão somente [serve] para impedir a condenação pelo dano</w:t>
      </w:r>
      <w:r>
        <w:t xml:space="preserve">”</w:t>
      </w:r>
      <w:r>
        <w:t xml:space="preserve">. A passagem é</w:t>
      </w:r>
      <w:r>
        <w:t xml:space="preserve"> </w:t>
      </w:r>
      <w:r>
        <w:rPr>
          <w:iCs/>
          <w:i/>
        </w:rPr>
        <w:t xml:space="preserve">obiter</w:t>
      </w:r>
      <w:r>
        <w:t xml:space="preserve"> </w:t>
      </w:r>
      <w:r>
        <w:t xml:space="preserve">e não quantifica prejuízo algum.</w:t>
      </w:r>
    </w:p>
    <w:p>
      <w:pPr>
        <w:pStyle w:val="BodyText"/>
      </w:pPr>
      <w:r>
        <w:t xml:space="preserve">7.6.</w:t>
      </w:r>
      <w:r>
        <w:t xml:space="preserve"> </w:t>
      </w:r>
      <w:r>
        <w:rPr>
          <w:bCs/>
          <w:b/>
        </w:rPr>
        <w:t xml:space="preserve">Demonstrações financeiras de 2025 [D17].</w:t>
      </w:r>
      <w:r>
        <w:t xml:space="preserve"> </w:t>
      </w:r>
      <w:r>
        <w:t xml:space="preserve">Documento contábil auditado.</w:t>
      </w:r>
      <w:r>
        <w:t xml:space="preserve"> </w:t>
      </w:r>
      <w:r>
        <w:t xml:space="preserve">- Comprova o depósito judicial de R$ 3.906 mil em 2025 relacionado à multa da CGU e a provisão de R$ 3.962 mil para contingências cíveis, referente à</w:t>
      </w:r>
      <w:r>
        <w:t xml:space="preserve"> </w:t>
      </w:r>
      <w:r>
        <w:t xml:space="preserve">“</w:t>
      </w:r>
      <w:r>
        <w:t xml:space="preserve">penalidade pecuniária</w:t>
      </w:r>
      <w:r>
        <w:t xml:space="preserve">”</w:t>
      </w:r>
      <w:r>
        <w:t xml:space="preserve"> </w:t>
      </w:r>
      <w:r>
        <w:t xml:space="preserve">(nota 17).</w:t>
      </w:r>
      <w:r>
        <w:t xml:space="preserve"> </w:t>
      </w:r>
      <w:r>
        <w:t xml:space="preserve">- Não indica provisão para indenização à Petrobras. Embora sem força probante de inexistência de obrigação, é coerente com a alegação da DECAL.</w:t>
      </w:r>
      <w:r>
        <w:t xml:space="preserve"> </w:t>
      </w:r>
      <w:r>
        <w:t xml:space="preserve">- Registra</w:t>
      </w:r>
      <w:r>
        <w:t xml:space="preserve"> </w:t>
      </w:r>
      <w:r>
        <w:t xml:space="preserve">“</w:t>
      </w:r>
      <w:r>
        <w:t xml:space="preserve">perdas possíveis</w:t>
      </w:r>
      <w:r>
        <w:t xml:space="preserve">”</w:t>
      </w:r>
      <w:r>
        <w:t xml:space="preserve"> </w:t>
      </w:r>
      <w:r>
        <w:t xml:space="preserve">de R$ 6.170 mil sem especificar a natureza, o que exige esclarecimento.</w:t>
      </w:r>
    </w:p>
    <w:p>
      <w:pPr>
        <w:pStyle w:val="BodyText"/>
      </w:pPr>
      <w:r>
        <w:t xml:space="preserve">7.7.</w:t>
      </w:r>
      <w:r>
        <w:t xml:space="preserve"> </w:t>
      </w:r>
      <w:r>
        <w:rPr>
          <w:bCs/>
          <w:b/>
        </w:rPr>
        <w:t xml:space="preserve">Precedente NT nº 676/2026/SIPRI [D15].</w:t>
      </w:r>
      <w:r>
        <w:t xml:space="preserve"> </w:t>
      </w:r>
      <w:r>
        <w:t xml:space="preserve">Ato administrativo da CGU, de caráter orientador e não vinculante. Estabelece:</w:t>
      </w:r>
      <w:r>
        <w:t xml:space="preserve"> </w:t>
      </w:r>
      <w:r>
        <w:t xml:space="preserve">- (i) o critério do dano incontroverso;</w:t>
      </w:r>
      <w:r>
        <w:t xml:space="preserve"> </w:t>
      </w:r>
      <w:r>
        <w:t xml:space="preserve">- (ii) a possibilidade de a propina caracterizar dano mínimo quando o ilícito assim indicar;</w:t>
      </w:r>
      <w:r>
        <w:t xml:space="preserve"> </w:t>
      </w:r>
      <w:r>
        <w:t xml:space="preserve">- (iii) a circularização prévia com o ente lesado, a AGU, o TCU e a SFC;</w:t>
      </w:r>
      <w:r>
        <w:t xml:space="preserve"> </w:t>
      </w:r>
      <w:r>
        <w:t xml:space="preserve">- (iv) a solução de considerar</w:t>
      </w:r>
      <w:r>
        <w:t xml:space="preserve"> </w:t>
      </w:r>
      <w:r>
        <w:t xml:space="preserve">“</w:t>
      </w:r>
      <w:r>
        <w:t xml:space="preserve">superado</w:t>
      </w:r>
      <w:r>
        <w:t xml:space="preserve">”</w:t>
      </w:r>
      <w:r>
        <w:t xml:space="preserve"> </w:t>
      </w:r>
      <w:r>
        <w:t xml:space="preserve">o requisito na falta de decisão definitiva que identifique e quantifique o dano com nexo causal, com a ressalva de que a reabilitação não implica reconhecimento de inexistência de prejuízo nem impede apurações futuras.</w:t>
      </w:r>
    </w:p>
    <w:p>
      <w:pPr>
        <w:pStyle w:val="BodyText"/>
      </w:pPr>
      <w:r>
        <w:t xml:space="preserve">7.8.</w:t>
      </w:r>
      <w:r>
        <w:t xml:space="preserve"> </w:t>
      </w:r>
      <w:r>
        <w:rPr>
          <w:bCs/>
          <w:b/>
        </w:rPr>
        <w:t xml:space="preserve">Matriz de análise documental.</w:t>
      </w:r>
      <w:r>
        <w:t xml:space="preserve"> </w:t>
      </w:r>
      <w:r>
        <w:t xml:space="preserve">É a do Produto 2.</w:t>
      </w:r>
    </w:p>
    <w:bookmarkEnd w:id="31"/>
    <w:bookmarkStart w:id="32" w:name="X52cb3f74a2f580aa0181dc3b53e97d03322d59c"/>
    <w:p>
      <w:pPr>
        <w:pStyle w:val="Heading2"/>
      </w:pPr>
      <w:r>
        <w:t xml:space="preserve">VIII — IDENTIFICAÇÃO DOS PREJUÍZOS E RECONCILIAÇÃO DAS OBRIGAÇÕES</w:t>
      </w:r>
    </w:p>
    <w:p>
      <w:pPr>
        <w:pStyle w:val="FirstParagraph"/>
      </w:pPr>
      <w:r>
        <w:t xml:space="preserve">8.1.</w:t>
      </w:r>
      <w:r>
        <w:t xml:space="preserve"> </w:t>
      </w:r>
      <w:r>
        <w:rPr>
          <w:bCs/>
          <w:b/>
        </w:rPr>
        <w:t xml:space="preserve">Prejuízo apontado pela Administração.</w:t>
      </w:r>
      <w:r>
        <w:t xml:space="preserve"> </w:t>
      </w:r>
      <w:r>
        <w:t xml:space="preserve">O único apontamento de que se tem notícia é o trecho do Relatório Final transcrito pela DECAL [D11, § 58]:</w:t>
      </w:r>
      <w:r>
        <w:t xml:space="preserve"> </w:t>
      </w:r>
      <w:r>
        <w:t xml:space="preserve">“</w:t>
      </w:r>
      <w:r>
        <w:t xml:space="preserve">evidenciou-se a ocorrência de dano de, no mínimo, o montante pago a título de vantagem indevida a agente público (US$ 868.450,00). Nesse sentido se manifestou o juízo criminal […] baseada em cálculo apresentado pelo núcleo de cálculos judiciais (SEI 1569432)</w:t>
      </w:r>
      <w:r>
        <w:t xml:space="preserve">”</w:t>
      </w:r>
      <w:r>
        <w:t xml:space="preserve">. Também segundo transcrição da DECAL, a Comissão sugeriu que a reabilitação exigisse</w:t>
      </w:r>
      <w:r>
        <w:t xml:space="preserve"> </w:t>
      </w:r>
      <w:r>
        <w:t xml:space="preserve">“</w:t>
      </w:r>
      <w:r>
        <w:t xml:space="preserve">o ressarcimento dos prejuízos causados ao erário</w:t>
      </w:r>
      <w:r>
        <w:t xml:space="preserve">”</w:t>
      </w:r>
      <w:r>
        <w:t xml:space="preserve"> </w:t>
      </w:r>
      <w:r>
        <w:t xml:space="preserve">[D13, § 6].</w:t>
      </w:r>
      <w:r>
        <w:t xml:space="preserve"> </w:t>
      </w:r>
      <w:r>
        <w:rPr>
          <w:bCs/>
          <w:b/>
        </w:rPr>
        <w:t xml:space="preserve">[ALEGAÇÃO/FATO DE TERCEIRO NÃO CONFERIDO]</w:t>
      </w:r>
    </w:p>
    <w:p>
      <w:pPr>
        <w:pStyle w:val="BodyText"/>
      </w:pPr>
      <w:r>
        <w:t xml:space="preserve">8.2.</w:t>
      </w:r>
      <w:r>
        <w:t xml:space="preserve"> </w:t>
      </w:r>
      <w:r>
        <w:rPr>
          <w:bCs/>
          <w:b/>
        </w:rPr>
        <w:t xml:space="preserve">Questões em aberto sobre esse apontamento:</w:t>
      </w:r>
      <w:r>
        <w:t xml:space="preserve"> </w:t>
      </w:r>
      <w:r>
        <w:t xml:space="preserve">- (i) se a Decisão nº 9, ao adotar o Relatório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, incorporou o trecho;</w:t>
      </w:r>
      <w:r>
        <w:t xml:space="preserve"> </w:t>
      </w:r>
      <w:r>
        <w:t xml:space="preserve">- (ii) se o Parecer nº 00199/2021/CONJUR acolheu, afastou ou ignorou a existência de dano;</w:t>
      </w:r>
      <w:r>
        <w:t xml:space="preserve"> </w:t>
      </w:r>
      <w:r>
        <w:t xml:space="preserve">- (iii) se a Comissão conhecia o acórdão do TRF4 de 10/04/2019, anterior ao Relatório;</w:t>
      </w:r>
      <w:r>
        <w:t xml:space="preserve"> </w:t>
      </w:r>
      <w:r>
        <w:t xml:space="preserve">- (iv) se houve fundamento autônomo para a afirmação do dano além da sentença.</w:t>
      </w:r>
    </w:p>
    <w:p>
      <w:pPr>
        <w:pStyle w:val="BodyText"/>
      </w:pPr>
      <w:r>
        <w:t xml:space="preserve">Essas respostas estão em documentos da própria CGU (art. 37 da Lei nº 9.784/1999) e são determinantes. Se o apontamento não integrou a decisão, não há</w:t>
      </w:r>
      <w:r>
        <w:t xml:space="preserve"> </w:t>
      </w:r>
      <w:r>
        <w:t xml:space="preserve">“</w:t>
      </w:r>
      <w:r>
        <w:t xml:space="preserve">prejuízo apontado</w:t>
      </w:r>
      <w:r>
        <w:t xml:space="preserve">”</w:t>
      </w:r>
      <w:r>
        <w:t xml:space="preserve"> </w:t>
      </w:r>
      <w:r>
        <w:t xml:space="preserve">a ressarcir com base no PAR. Se integrou, cabe avaliar sua subsistência (item 9.4).</w:t>
      </w:r>
    </w:p>
    <w:p>
      <w:pPr>
        <w:pStyle w:val="BodyText"/>
      </w:pPr>
      <w:r>
        <w:t xml:space="preserve">8.3.</w:t>
      </w:r>
      <w:r>
        <w:t xml:space="preserve"> </w:t>
      </w:r>
      <w:r>
        <w:rPr>
          <w:bCs/>
          <w:b/>
        </w:rPr>
        <w:t xml:space="preserve">Titular do crédito.</w:t>
      </w:r>
      <w:r>
        <w:t xml:space="preserve"> </w:t>
      </w:r>
      <w:r>
        <w:t xml:space="preserve">O ente potencialmente lesado é a Petrobras, contratante e vítima reconhecida na sentença [D6, §§ 223 e 225] [INFERÊNCIA]. A União é titular apenas da multa (O1) e, conforme a fundamentação do MPF, possivelmente do confisco (O4).</w:t>
      </w:r>
    </w:p>
    <w:p>
      <w:pPr>
        <w:pStyle w:val="BodyText"/>
      </w:pPr>
      <w:r>
        <w:t xml:space="preserve">8.4.</w:t>
      </w:r>
      <w:r>
        <w:t xml:space="preserve"> </w:t>
      </w:r>
      <w:r>
        <w:rPr>
          <w:bCs/>
          <w:b/>
        </w:rPr>
        <w:t xml:space="preserve">Natureza do valor.</w:t>
      </w:r>
      <w:r>
        <w:t xml:space="preserve"> </w:t>
      </w:r>
      <w:r>
        <w:t xml:space="preserve">O valor de USD 868.450,00 corresponde à</w:t>
      </w:r>
      <w:r>
        <w:t xml:space="preserve"> </w:t>
      </w:r>
      <w:r>
        <w:rPr>
          <w:bCs/>
          <w:b/>
        </w:rPr>
        <w:t xml:space="preserve">vantagem indevida paga</w:t>
      </w:r>
      <w:r>
        <w:t xml:space="preserve"> </w:t>
      </w:r>
      <w:r>
        <w:t xml:space="preserve">(propina), usada como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do dano. Não se trata de sobrepreço ou superfaturamento quantificado em contrato. O precedente admite essa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com base no Guia de Identificação e Quantificação da Vantagem Auferida, segundo o qual a indenização</w:t>
      </w:r>
      <w:r>
        <w:t xml:space="preserve"> </w:t>
      </w:r>
      <w:r>
        <w:t xml:space="preserve">“</w:t>
      </w:r>
      <w:r>
        <w:t xml:space="preserve">deve ser de no mínimo o montante pago a título de propina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presumindo que a empresa não tenha retirado dos seus lucros os valores necessários ao pagamento da propina</w:t>
      </w:r>
      <w:r>
        <w:rPr>
          <w:bCs/>
          <w:b/>
        </w:rPr>
        <w:t xml:space="preserve">”</w:t>
      </w:r>
      <w:r>
        <w:t xml:space="preserve"> </w:t>
      </w:r>
      <w:r>
        <w:t xml:space="preserve">[D15, item 4.16]. A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é, portanto, uma</w:t>
      </w:r>
      <w:r>
        <w:t xml:space="preserve"> </w:t>
      </w:r>
      <w:r>
        <w:rPr>
          <w:bCs/>
          <w:b/>
        </w:rPr>
        <w:t xml:space="preserve">presunção relativa</w:t>
      </w:r>
      <w:r>
        <w:t xml:space="preserve">. No caso, a única instância que examinou a questão com contraditório concluiu, por ausência de prova, que o custo não foi repassado à Petrobras [D7; D8]. Esse é exatamente o fato que afasta a premissa da presunção.</w:t>
      </w:r>
    </w:p>
    <w:p>
      <w:pPr>
        <w:pStyle w:val="BodyText"/>
      </w:pPr>
      <w:r>
        <w:t xml:space="preserve">8.5.</w:t>
      </w:r>
      <w:r>
        <w:t xml:space="preserve"> </w:t>
      </w:r>
      <w:r>
        <w:rPr>
          <w:bCs/>
          <w:b/>
        </w:rPr>
        <w:t xml:space="preserve">Indícios favoráveis e contrários à existência de prejuízo:</w:t>
      </w:r>
      <w:r>
        <w:t xml:space="preserve"> </w:t>
      </w:r>
      <w:r>
        <w:t xml:space="preserve">- Favoráveis à inexistência de repasse do custo:</w:t>
      </w:r>
      <w:r>
        <w:t xml:space="preserve"> </w:t>
      </w:r>
      <w:r>
        <w:t xml:space="preserve">- conclusão do TRF4 [D8];</w:t>
      </w:r>
      <w:r>
        <w:t xml:space="preserve"> </w:t>
      </w:r>
      <w:r>
        <w:t xml:space="preserve">- ausência, na sentença, de prova de ato de ofício ilegal ou de ingerência na contratação [D6, §§ 184-186];</w:t>
      </w:r>
      <w:r>
        <w:t xml:space="preserve"> </w:t>
      </w:r>
      <w:r>
        <w:t xml:space="preserve">- menção, no voto do relator do TRF5, a avaliações da Petrobras sobre a vantajosidade do contrato e ao fato de a estatal considerar os preços contratados abaixo do ideal [D9];</w:t>
      </w:r>
      <w:r>
        <w:t xml:space="preserve"> </w:t>
      </w:r>
      <w:r>
        <w:t xml:space="preserve">- ausência de provisão de indenização nas DFs [D17].</w:t>
      </w:r>
      <w:r>
        <w:t xml:space="preserve"> </w:t>
      </w:r>
      <w:r>
        <w:t xml:space="preserve">- Contrários ou neutros:</w:t>
      </w:r>
      <w:r>
        <w:t xml:space="preserve"> </w:t>
      </w:r>
      <w:r>
        <w:t xml:space="preserve">- o apontamento da Comissão [D11, § 58];</w:t>
      </w:r>
      <w:r>
        <w:t xml:space="preserve"> </w:t>
      </w:r>
      <w:r>
        <w:t xml:space="preserve">- a ressalva do voto condutor do TRF5 sobre outros prejuízos, como o concorrencial, não quantificados [D9];</w:t>
      </w:r>
      <w:r>
        <w:t xml:space="preserve"> </w:t>
      </w:r>
      <w:r>
        <w:t xml:space="preserve">- a</w:t>
      </w:r>
      <w:r>
        <w:t xml:space="preserve"> </w:t>
      </w:r>
      <w:r>
        <w:t xml:space="preserve">“</w:t>
      </w:r>
      <w:r>
        <w:t xml:space="preserve">lógica econômica</w:t>
      </w:r>
      <w:r>
        <w:t xml:space="preserve">”</w:t>
      </w:r>
      <w:r>
        <w:t xml:space="preserve"> </w:t>
      </w:r>
      <w:r>
        <w:t xml:space="preserve">reconhecida pelo próprio MPF de que a propina normalmente se reflete no preço [D7];</w:t>
      </w:r>
      <w:r>
        <w:t xml:space="preserve"> </w:t>
      </w:r>
      <w:r>
        <w:t xml:space="preserve">- o fato de a propina ter sido custeada, segundo o MPF, com a comissão paga pela DECAL a Mariano Marcondes Ferraz [D7], o que demonstra benefício, mas não prejuízo patrimonial à Petrobras.</w:t>
      </w:r>
    </w:p>
    <w:p>
      <w:pPr>
        <w:pStyle w:val="BodyText"/>
      </w:pPr>
      <w:r>
        <w:t xml:space="preserve">8.6.</w:t>
      </w:r>
      <w:r>
        <w:t xml:space="preserve"> </w:t>
      </w:r>
      <w:r>
        <w:rPr>
          <w:bCs/>
          <w:b/>
        </w:rPr>
        <w:t xml:space="preserve">Risco de duplicidade.</w:t>
      </w:r>
      <w:r>
        <w:t xml:space="preserve"> </w:t>
      </w:r>
      <w:r>
        <w:t xml:space="preserve">A sentença decretou o confisco da fiança até o valor da propina, com reversão à Petrobras, e determinou que o confisco</w:t>
      </w:r>
      <w:r>
        <w:t xml:space="preserve"> </w:t>
      </w:r>
      <w:r>
        <w:t xml:space="preserve">“</w:t>
      </w:r>
      <w:r>
        <w:t xml:space="preserve">compensará o valor da indenização</w:t>
      </w:r>
      <w:r>
        <w:t xml:space="preserve">”</w:t>
      </w:r>
      <w:r>
        <w:t xml:space="preserve"> </w:t>
      </w:r>
      <w:r>
        <w:t xml:space="preserve">[D6, §§ 222-226]. O TRF4 manteve o confisco [D8]. Se executado em favor da Petrobras, valor idêntico ao</w:t>
      </w:r>
      <w:r>
        <w:t xml:space="preserve"> </w:t>
      </w:r>
      <w:r>
        <w:t xml:space="preserve">“</w:t>
      </w:r>
      <w:r>
        <w:t xml:space="preserve">dano mínimo</w:t>
      </w:r>
      <w:r>
        <w:t xml:space="preserve">”</w:t>
      </w:r>
      <w:r>
        <w:t xml:space="preserve"> </w:t>
      </w:r>
      <w:r>
        <w:t xml:space="preserve">de O2 pode já ter sido recebido pelo ente lesado. Exigi-lo também da DECAL importaria risco de recomposição em duplicidade. A destinação final é controvertida e não comprovada (O4).</w:t>
      </w:r>
      <w:r>
        <w:t xml:space="preserve"> </w:t>
      </w:r>
      <w:r>
        <w:rPr>
          <w:bCs/>
          <w:b/>
        </w:rPr>
        <w:t xml:space="preserve">[DILIGÊNCIA D6]</w:t>
      </w:r>
    </w:p>
    <w:p>
      <w:pPr>
        <w:pStyle w:val="BodyText"/>
      </w:pPr>
      <w:r>
        <w:t xml:space="preserve">Ressalva jurídica: o confisco é efeito da condenação penal (perda do produto ou proveito do crime,</w:t>
      </w:r>
      <w:r>
        <w:t xml:space="preserve"> </w:t>
      </w:r>
      <w:r>
        <w:t xml:space="preserve">“</w:t>
      </w:r>
      <w:r>
        <w:t xml:space="preserve">ressalvado o direito do lesado ou de terceiro de boa-fé</w:t>
      </w:r>
      <w:r>
        <w:t xml:space="preserve">”</w:t>
      </w:r>
      <w:r>
        <w:t xml:space="preserve"> </w:t>
      </w:r>
      <w:r>
        <w:t xml:space="preserve">— art. 91, II, do CP), imposto a pessoa diversa da DECAL. Não é, em si, pagamento de indenização. Saber se valores confiscados e revertidos à vítima podem ser imputados ao prejuízo eventualmente exigível da DECAL depende de juízo jurídico ainda não feito, que deve ser submetido à CONJUR. Esse juízo envolve a eventual corresponsabilidade civil entre a pessoa física e a pessoa jurídica pelo mesmo dano e a vedação ao enriquecimento sem causa do credor. Por isso, a dedução não é tratada nesta Nota como certa.</w:t>
      </w:r>
    </w:p>
    <w:p>
      <w:pPr>
        <w:pStyle w:val="BodyText"/>
      </w:pPr>
      <w:r>
        <w:t xml:space="preserve">8.7.</w:t>
      </w:r>
      <w:r>
        <w:t xml:space="preserve"> </w:t>
      </w:r>
      <w:r>
        <w:rPr>
          <w:bCs/>
          <w:b/>
        </w:rPr>
        <w:t xml:space="preserve">Universo das obrigações.</w:t>
      </w:r>
      <w:r>
        <w:t xml:space="preserve"> </w:t>
      </w:r>
      <w:r>
        <w:t xml:space="preserve">Os documentos não permitem fechar o universo das obrigações de ressarcimento. Não há informação sobre:</w:t>
      </w:r>
      <w:r>
        <w:t xml:space="preserve"> </w:t>
      </w:r>
      <w:r>
        <w:t xml:space="preserve">- auditorias internas da Petrobras;</w:t>
      </w:r>
      <w:r>
        <w:t xml:space="preserve"> </w:t>
      </w:r>
      <w:r>
        <w:t xml:space="preserve">- tomadas de contas especiais;</w:t>
      </w:r>
      <w:r>
        <w:t xml:space="preserve"> </w:t>
      </w:r>
      <w:r>
        <w:t xml:space="preserve">- ações civis ou de improbidade;</w:t>
      </w:r>
      <w:r>
        <w:t xml:space="preserve"> </w:t>
      </w:r>
      <w:r>
        <w:t xml:space="preserve">- ações com base no art. 19 da Lei nº 12.846/2013;</w:t>
      </w:r>
      <w:r>
        <w:t xml:space="preserve"> </w:t>
      </w:r>
      <w:r>
        <w:t xml:space="preserve">- créditos em cobrança contra a DECAL relativos aos fatos.</w:t>
      </w:r>
    </w:p>
    <w:p>
      <w:pPr>
        <w:pStyle w:val="BodyText"/>
      </w:pPr>
      <w:r>
        <w:t xml:space="preserve">A ausência de informação não equivale à inexistência do fato (Seção 13, regra 2, do roteiro de controle).</w:t>
      </w:r>
    </w:p>
    <w:p>
      <w:pPr>
        <w:pStyle w:val="BodyText"/>
      </w:pPr>
      <w:r>
        <w:t xml:space="preserve">8.8.</w:t>
      </w:r>
      <w:r>
        <w:t xml:space="preserve"> </w:t>
      </w:r>
      <w:r>
        <w:rPr>
          <w:bCs/>
          <w:b/>
        </w:rPr>
        <w:t xml:space="preserve">Reconciliação.</w:t>
      </w:r>
      <w:r>
        <w:t xml:space="preserve"> </w:t>
      </w:r>
      <w:r>
        <w:t xml:space="preserve">Quadro completo no Produto 3. Em síntese:</w:t>
      </w:r>
      <w:r>
        <w:t xml:space="preserve"> </w:t>
      </w:r>
      <w:r>
        <w:t xml:space="preserve">- (i) nenhum prejuízo está constituído contra a DECAL por decisão definitiva demonstrada nos autos;</w:t>
      </w:r>
      <w:r>
        <w:t xml:space="preserve"> </w:t>
      </w:r>
      <w:r>
        <w:t xml:space="preserve">- (ii) nenhum pagamento a título de ressarcimento foi feito ou alegado;</w:t>
      </w:r>
      <w:r>
        <w:t xml:space="preserve"> </w:t>
      </w:r>
      <w:r>
        <w:t xml:space="preserve">- (iii) o único valor desembolsado (depósito de R$ 3.906 mil) refere-se à multa e não a extingue;</w:t>
      </w:r>
      <w:r>
        <w:t xml:space="preserve"> </w:t>
      </w:r>
      <w:r>
        <w:t xml:space="preserve">- (iv) o saldo de eventual obrigação de ressarcimento é indeterminável no estado atual.</w:t>
      </w:r>
    </w:p>
    <w:bookmarkEnd w:id="32"/>
    <w:bookmarkStart w:id="33" w:name="X2a3835b71c4ddcddfeb84dd3740043b7cdccf7a"/>
    <w:p>
      <w:pPr>
        <w:pStyle w:val="Heading2"/>
      </w:pPr>
      <w:r>
        <w:t xml:space="preserve">IX — ANÁLISE JURÍDICA DAS ALEGAÇÕES DA DECAL</w:t>
      </w:r>
    </w:p>
    <w:p>
      <w:pPr>
        <w:pStyle w:val="FirstParagraph"/>
      </w:pPr>
      <w:r>
        <w:rPr>
          <w:bCs/>
          <w:b/>
        </w:rPr>
        <w:t xml:space="preserve">9.1.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Os únicos requisitos são os do art. 87, IV; a reabilitação é ato vinculado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21, 27-29] (E6).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não há.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jurídica:</w:t>
      </w:r>
      <w:r>
        <w:t xml:space="preserve"> </w:t>
      </w:r>
      <w:r>
        <w:t xml:space="preserve">a lei esgota os requisitos e a palavra</w:t>
      </w:r>
      <w:r>
        <w:t xml:space="preserve"> </w:t>
      </w:r>
      <w:r>
        <w:t xml:space="preserve">“</w:t>
      </w:r>
      <w:r>
        <w:t xml:space="preserve">sempre</w:t>
      </w:r>
      <w:r>
        <w:t xml:space="preserve">”</w:t>
      </w:r>
      <w:r>
        <w:t xml:space="preserve"> </w:t>
      </w:r>
      <w:r>
        <w:t xml:space="preserve">torna o ato vinculado.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o debate sobre o inciso III não pertence a esta Nota. Para o inciso II, a premissa é</w:t>
      </w:r>
      <w:r>
        <w:t xml:space="preserve"> </w:t>
      </w:r>
      <w:r>
        <w:rPr>
          <w:bCs/>
          <w:b/>
        </w:rPr>
        <w:t xml:space="preserve">incontroversa e não favorece a DECAL</w:t>
      </w:r>
      <w:r>
        <w:t xml:space="preserve">: a própria lei exige o ressarcimento. A DECAL cita o RMS nº 33.526/DF (STF, Rel. Min. Gilmar Mendes) como</w:t>
      </w:r>
      <w:r>
        <w:t xml:space="preserve"> </w:t>
      </w:r>
      <w:r>
        <w:t xml:space="preserve">“</w:t>
      </w:r>
      <w:r>
        <w:t xml:space="preserve">decisão monocrática transitada em julgado</w:t>
      </w:r>
      <w:r>
        <w:t xml:space="preserve">”</w:t>
      </w:r>
      <w:r>
        <w:t xml:space="preserve">. Segundo fontes secundárias:</w:t>
      </w:r>
      <w:r>
        <w:t xml:space="preserve"> </w:t>
      </w:r>
      <w:r>
        <w:t xml:space="preserve">- a decisão monocrática foi impugnada pela União por agravo regimental;</w:t>
      </w:r>
      <w:r>
        <w:t xml:space="preserve"> </w:t>
      </w:r>
      <w:r>
        <w:t xml:space="preserve">- a 2ª Turma negou provimento ao agravo, por unanimidade, em sessão virtual de 22 a 28/09/2017 (DJe de 09/10/2017);</w:t>
      </w:r>
      <w:r>
        <w:t xml:space="preserve"> </w:t>
      </w:r>
      <w:r>
        <w:t xml:space="preserve">- a ementa trata da sanção do art. 87, IV, da Lei nº 8.666/1993, da impossibilidade de restrição de direitos por prazo indeterminado, da temporariedade da pena (CF, art. 5º, XLVI e XLVII) e da prescritibilidade da pretensão de ressarcimento por ilícito civil.</w:t>
      </w:r>
    </w:p>
    <w:p>
      <w:pPr>
        <w:pStyle w:val="BodyText"/>
      </w:pPr>
      <w:r>
        <w:t xml:space="preserve">A caracterização feita pela DECAL omite a confirmação colegiada, o que não reduz, antes reforça, o peso do julgado. O inteiro teor não pôde ser conferido (Anexo C).</w:t>
      </w:r>
      <w:r>
        <w:t xml:space="preserve"> </w:t>
      </w:r>
      <w:r>
        <w:t xml:space="preserve">- No trecho transcrito pela DECAL, a</w:t>
      </w:r>
      <w:r>
        <w:t xml:space="preserve"> </w:t>
      </w:r>
      <w:r>
        <w:rPr>
          <w:iCs/>
          <w:i/>
        </w:rPr>
        <w:t xml:space="preserve">ratio</w:t>
      </w:r>
      <w:r>
        <w:t xml:space="preserve"> </w:t>
      </w:r>
      <w:r>
        <w:t xml:space="preserve">é que não se pode negar a reabilitação com fundamento em suposta dívida</w:t>
      </w:r>
      <w:r>
        <w:t xml:space="preserve"> </w:t>
      </w:r>
      <w:r>
        <w:rPr>
          <w:bCs/>
          <w:b/>
        </w:rPr>
        <w:t xml:space="preserve">não líquida</w:t>
      </w:r>
      <w:r>
        <w:t xml:space="preserve">, quando não instaurado procedimento para apurar e quantificar o dano. Trata-se de precedente</w:t>
      </w:r>
      <w:r>
        <w:t xml:space="preserve"> </w:t>
      </w:r>
      <w:r>
        <w:rPr>
          <w:iCs/>
          <w:i/>
        </w:rPr>
        <w:t xml:space="preserve">inter partes</w:t>
      </w:r>
      <w:r>
        <w:t xml:space="preserve">, sem efeito vinculante, mas persuasivo. Converge com a expressão</w:t>
      </w:r>
      <w:r>
        <w:t xml:space="preserve"> </w:t>
      </w:r>
      <w:r>
        <w:t xml:space="preserve">“</w:t>
      </w:r>
      <w:r>
        <w:t xml:space="preserve">quando apontados</w:t>
      </w:r>
      <w:r>
        <w:t xml:space="preserve">”</w:t>
      </w:r>
      <w:r>
        <w:t xml:space="preserve"> </w:t>
      </w:r>
      <w:r>
        <w:t xml:space="preserve">e com o critério do dano incontroverso do precedente da CGU.</w:t>
      </w:r>
      <w:r>
        <w:t xml:space="preserve"> </w:t>
      </w:r>
      <w:r>
        <w:t xml:space="preserve">- Segundo fonte secundária, o Parecer nº 00241/2023/CONJUR-CGU/CGU/AGU (caso Mendes Júnior), não lido nesta análise, registra que a reabilitação não extingue a responsabilidade pelo dano, que pode ser cobrado quando calculado em definitivo pelas autoridades competentes. A orientação coincide com a ressalva da NT nº 676/2026 [D15, itens 4.47-4.48].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o argumento confirma o método (só se exige dano apontado e determinado), mas não demonstra, por si, a inexistência de apontamento no caso.</w:t>
      </w:r>
    </w:p>
    <w:p>
      <w:pPr>
        <w:pStyle w:val="BodyText"/>
      </w:pPr>
      <w:r>
        <w:rPr>
          <w:bCs/>
          <w:b/>
        </w:rPr>
        <w:t xml:space="preserve">9.2.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há prejuízo a ressarcir porque o ato não gerou dano à Petrobras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 57] (E1).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inexistência de dano.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jurídica:</w:t>
      </w:r>
      <w:r>
        <w:t xml:space="preserve"> </w:t>
      </w:r>
      <w:r>
        <w:t xml:space="preserve">sem prejuízo, o inciso II não tem objeto.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a premissa jurídica está correta. Inexistindo prejuízo apontado, o requisito não pode impedir a reabilitação, sob pena de transformar a inidoneidade em sanção por prazo indeterminado e de caráter coercitivo, como ressalta a decisão invocada (9.1). A premissa fática está</w:t>
      </w:r>
      <w:r>
        <w:t xml:space="preserve"> </w:t>
      </w:r>
      <w:r>
        <w:rPr>
          <w:bCs/>
          <w:b/>
        </w:rPr>
        <w:t xml:space="preserve">parcialmente</w:t>
      </w:r>
      <w:r>
        <w:t xml:space="preserve"> </w:t>
      </w:r>
      <w:r>
        <w:t xml:space="preserve">demonstrada (Seção 8.5), restrita ao processo penal. Faltam as informações do ente lesado e dos órgãos de controle. A DECAL não juntou declaração da Petrobras nem certidões negativas de procedimentos de ressarcimento.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plausível, mas não demonstrada em toda a extensão.</w:t>
      </w:r>
    </w:p>
    <w:p>
      <w:pPr>
        <w:pStyle w:val="BodyText"/>
      </w:pPr>
      <w:r>
        <w:rPr>
          <w:bCs/>
          <w:b/>
        </w:rPr>
        <w:t xml:space="preserve">9.3.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TRF4 reconheceu, com trânsito em julgado, a inexistência de dano; pelo art. 935 do CC isso é inquestionável na esfera cível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59-60] (E3/E4).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o acórdão declarou que</w:t>
      </w:r>
      <w:r>
        <w:t xml:space="preserve"> </w:t>
      </w:r>
      <w:r>
        <w:t xml:space="preserve">“</w:t>
      </w:r>
      <w:r>
        <w:t xml:space="preserve">não houve dano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jurídica:</w:t>
      </w:r>
      <w:r>
        <w:t xml:space="preserve"> </w:t>
      </w:r>
      <w:r>
        <w:t xml:space="preserve">art. 935 do CC.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- (i)</w:t>
      </w:r>
      <w:r>
        <w:t xml:space="preserve"> </w:t>
      </w:r>
      <w:r>
        <w:rPr>
          <w:bCs/>
          <w:b/>
        </w:rPr>
        <w:t xml:space="preserve">Extensão do julgado.</w:t>
      </w:r>
      <w:r>
        <w:t xml:space="preserve"> </w:t>
      </w:r>
      <w:r>
        <w:t xml:space="preserve">O acórdão afastou o</w:t>
      </w:r>
      <w:r>
        <w:t xml:space="preserve"> </w:t>
      </w:r>
      <w:r>
        <w:rPr>
          <w:iCs/>
          <w:i/>
        </w:rPr>
        <w:t xml:space="preserve">valor mínimo</w:t>
      </w:r>
      <w:r>
        <w:t xml:space="preserve"> </w:t>
      </w:r>
      <w:r>
        <w:t xml:space="preserve">do art. 387, IV, do CPP porque</w:t>
      </w:r>
      <w:r>
        <w:t xml:space="preserve"> </w:t>
      </w:r>
      <w:r>
        <w:t xml:space="preserve">“</w:t>
      </w:r>
      <w:r>
        <w:t xml:space="preserve">não comprovado a transferência de custo</w:t>
      </w:r>
      <w:r>
        <w:t xml:space="preserve">”</w:t>
      </w:r>
      <w:r>
        <w:t xml:space="preserve">. É juízo de insuficiência probatória num instituto que, por definição, fixa apenas um mínimo</w:t>
      </w:r>
      <w:r>
        <w:t xml:space="preserve"> </w:t>
      </w:r>
      <w:r>
        <w:t xml:space="preserve">“</w:t>
      </w:r>
      <w:r>
        <w:t xml:space="preserve">sem prejuízo da liquidação para a apuração do dano efetivamente sofrido</w:t>
      </w:r>
      <w:r>
        <w:t xml:space="preserve">”</w:t>
      </w:r>
      <w:r>
        <w:t xml:space="preserve"> </w:t>
      </w:r>
      <w:r>
        <w:t xml:space="preserve">(art. 63, parágrafo único, do CPP). Não é reconhecimento categórico da</w:t>
      </w:r>
      <w:r>
        <w:t xml:space="preserve"> </w:t>
      </w:r>
      <w:r>
        <w:t xml:space="preserve">“</w:t>
      </w:r>
      <w:r>
        <w:t xml:space="preserve">inexistência material do fato</w:t>
      </w:r>
      <w:r>
        <w:t xml:space="preserve">”</w:t>
      </w:r>
      <w:r>
        <w:t xml:space="preserve"> </w:t>
      </w:r>
      <w:r>
        <w:t xml:space="preserve">(art. 66 do CPP).</w:t>
      </w:r>
      <w:r>
        <w:t xml:space="preserve"> </w:t>
      </w:r>
      <w:r>
        <w:t xml:space="preserve">- (ii)</w:t>
      </w:r>
      <w:r>
        <w:t xml:space="preserve"> </w:t>
      </w:r>
      <w:r>
        <w:rPr>
          <w:bCs/>
          <w:b/>
        </w:rPr>
        <w:t xml:space="preserve">Alcance do art. 935 do CC.</w:t>
      </w:r>
      <w:r>
        <w:t xml:space="preserve"> </w:t>
      </w:r>
      <w:r>
        <w:t xml:space="preserve">O dispositivo impede rediscutir no cível</w:t>
      </w:r>
      <w:r>
        <w:t xml:space="preserve"> </w:t>
      </w:r>
      <w:r>
        <w:t xml:space="preserve">“</w:t>
      </w:r>
      <w:r>
        <w:t xml:space="preserve">a existência do fato, ou […] quem seja o seu autor</w:t>
      </w:r>
      <w:r>
        <w:t xml:space="preserve">”</w:t>
      </w:r>
      <w:r>
        <w:t xml:space="preserve">. O fato (pagamento de vantagem indevida) e a autoria foram</w:t>
      </w:r>
      <w:r>
        <w:t xml:space="preserve"> </w:t>
      </w:r>
      <w:r>
        <w:rPr>
          <w:bCs/>
          <w:b/>
        </w:rPr>
        <w:t xml:space="preserve">confirmados</w:t>
      </w:r>
      <w:r>
        <w:t xml:space="preserve">, não negados. A quantificação do dano não se inclui nessas matérias.</w:t>
      </w:r>
      <w:r>
        <w:t xml:space="preserve"> </w:t>
      </w:r>
      <w:r>
        <w:t xml:space="preserve">- (iii)</w:t>
      </w:r>
      <w:r>
        <w:t xml:space="preserve"> </w:t>
      </w:r>
      <w:r>
        <w:rPr>
          <w:bCs/>
          <w:b/>
        </w:rPr>
        <w:t xml:space="preserve">Limites subjetivos.</w:t>
      </w:r>
      <w:r>
        <w:t xml:space="preserve"> </w:t>
      </w:r>
      <w:r>
        <w:t xml:space="preserve">A DECAL não foi parte na ação penal. A coisa julgada vincula as partes (art. 506 do CPC). A Petrobras figurou no polo ativo como apelante [D8, cabeçalho e relatório]. Isso reforça o valor do julgado perante ela quanto ao valor mínimo do art. 387, IV, mas não converte a decisão em declaração vinculante de inexistência de dano em favor de terceiro, nem impede a apuração do dano efetivo na esfera cível (art. 63, parágrafo único, do CPP).</w:t>
      </w:r>
      <w:r>
        <w:t xml:space="preserve"> </w:t>
      </w:r>
      <w:r>
        <w:t xml:space="preserve">- (iv)</w:t>
      </w:r>
      <w:r>
        <w:t xml:space="preserve"> </w:t>
      </w:r>
      <w:r>
        <w:rPr>
          <w:bCs/>
          <w:b/>
        </w:rPr>
        <w:t xml:space="preserve">Valor probatório.</w:t>
      </w:r>
      <w:r>
        <w:t xml:space="preserve"> </w:t>
      </w:r>
      <w:r>
        <w:t xml:space="preserve">Ainda assim, o acórdão é prova relevante e qualificada, formada com contraditório e com a participação do ente lesado, e é exatamente a instância cuja decisão anterior (a sentença) sustentou o apontamento da Comissão.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a tese é</w:t>
      </w:r>
      <w:r>
        <w:t xml:space="preserve"> </w:t>
      </w:r>
      <w:r>
        <w:rPr>
          <w:bCs/>
          <w:b/>
        </w:rPr>
        <w:t xml:space="preserve">improcedente</w:t>
      </w:r>
      <w:r>
        <w:t xml:space="preserve"> </w:t>
      </w:r>
      <w:r>
        <w:t xml:space="preserve">como regra de preclusão ou vinculação. É</w:t>
      </w:r>
      <w:r>
        <w:t xml:space="preserve"> </w:t>
      </w:r>
      <w:r>
        <w:rPr>
          <w:bCs/>
          <w:b/>
        </w:rPr>
        <w:t xml:space="preserve">procedente</w:t>
      </w:r>
      <w:r>
        <w:t xml:space="preserve"> </w:t>
      </w:r>
      <w:r>
        <w:t xml:space="preserve">como elemento de prova que enfraquece a presunção de repasse do custo e, com ela, a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da propina. Seu peso final depende do teor do Relatório Final (D1) e das informações da Petrobras (D2).</w:t>
      </w:r>
    </w:p>
    <w:p>
      <w:pPr>
        <w:pStyle w:val="BodyText"/>
      </w:pPr>
      <w:r>
        <w:rPr>
          <w:bCs/>
          <w:b/>
        </w:rPr>
        <w:t xml:space="preserve">9.4.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Sendo a sentença o único fundamento do Relatório, sua reforma leva à reversão do entendimento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 60] (E5).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Premissa fática:</w:t>
      </w:r>
      <w:r>
        <w:t xml:space="preserve"> </w:t>
      </w:r>
      <w:r>
        <w:t xml:space="preserve">a sentença teria sido o único fundamento do apontamento.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a premissa não pôde ser verificada (D1). O acórdão do TRF4 é de 10/04/2019,</w:t>
      </w:r>
      <w:r>
        <w:t xml:space="preserve"> </w:t>
      </w:r>
      <w:r>
        <w:rPr>
          <w:bCs/>
          <w:b/>
        </w:rPr>
        <w:t xml:space="preserve">anterior</w:t>
      </w:r>
      <w:r>
        <w:t xml:space="preserve"> </w:t>
      </w:r>
      <w:r>
        <w:t xml:space="preserve">à instauração do PAR (2020) e às Decisões nº 9 e 347 (2023). Foi expressamente invocado no pedido de reconsideração [D13, nota 2], indeferido por</w:t>
      </w:r>
      <w:r>
        <w:t xml:space="preserve"> </w:t>
      </w:r>
      <w:r>
        <w:t xml:space="preserve">“</w:t>
      </w:r>
      <w:r>
        <w:t xml:space="preserve">não haver nenhum fato novo</w:t>
      </w:r>
      <w:r>
        <w:t xml:space="preserve">”</w:t>
      </w:r>
      <w:r>
        <w:t xml:space="preserve"> </w:t>
      </w:r>
      <w:r>
        <w:t xml:space="preserve">[D3].</w:t>
      </w:r>
      <w:r>
        <w:t xml:space="preserve"> </w:t>
      </w:r>
      <w:r>
        <w:rPr>
          <w:bCs/>
          <w:b/>
        </w:rPr>
        <w:t xml:space="preserve">Não se trata, portanto, de fato novo.</w:t>
      </w:r>
      <w:r>
        <w:t xml:space="preserve"> </w:t>
      </w:r>
      <w:r>
        <w:t xml:space="preserve">Duas leituras são possíveis:</w:t>
      </w:r>
      <w:r>
        <w:t xml:space="preserve"> </w:t>
      </w:r>
      <w:r>
        <w:t xml:space="preserve">- (a)</w:t>
      </w:r>
      <w:r>
        <w:t xml:space="preserve"> </w:t>
      </w:r>
      <w:r>
        <w:rPr>
          <w:bCs/>
          <w:b/>
        </w:rPr>
        <w:t xml:space="preserve">Leitura restritiva (desfavorável à DECAL).</w:t>
      </w:r>
      <w:r>
        <w:t xml:space="preserve"> </w:t>
      </w:r>
      <w:r>
        <w:t xml:space="preserve">Se a Decisão nº 9 adotou o apontamento de dano conhecendo o acórdão, há apontamento administrativo definitivo na esfera administrativa (após a Decisão nº 347). Reabri-lo no pedido de reabilitação exigiria fundamento de invalidade (art. 53 da Lei nº 9.784/1999) ou fato novo.</w:t>
      </w:r>
      <w:r>
        <w:t xml:space="preserve"> </w:t>
      </w:r>
      <w:r>
        <w:t xml:space="preserve">- (b)</w:t>
      </w:r>
      <w:r>
        <w:t xml:space="preserve"> </w:t>
      </w:r>
      <w:r>
        <w:rPr>
          <w:bCs/>
          <w:b/>
        </w:rPr>
        <w:t xml:space="preserve">Leitura ampliativa (favorável à DECAL).</w:t>
      </w:r>
      <w:r>
        <w:t xml:space="preserve"> </w:t>
      </w:r>
      <w:r>
        <w:t xml:space="preserve">Se a Decisão nº 9 não incorporou o apontamento, ou se este se apoiou apenas em premissa judicial já reformada (motivo inexistente), não há prejuízo validamente apontado. Exigir seu pagamento afrontaria a teoria dos motivos determinantes e a necessidade de que o dano decorra de</w:t>
      </w:r>
      <w:r>
        <w:t xml:space="preserve"> </w:t>
      </w:r>
      <w:r>
        <w:t xml:space="preserve">“</w:t>
      </w:r>
      <w:r>
        <w:t xml:space="preserve">decisão definitiva</w:t>
      </w:r>
      <w:r>
        <w:t xml:space="preserve">”</w:t>
      </w:r>
      <w:r>
        <w:t xml:space="preserve"> </w:t>
      </w:r>
      <w:r>
        <w:t xml:space="preserve">(Decreto nº 11.129/2022, art. 37, § 2º).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Questão prévia às duas leituras.</w:t>
      </w:r>
      <w:r>
        <w:t xml:space="preserve"> </w:t>
      </w:r>
      <w:r>
        <w:t xml:space="preserve">Ainda que adotado pela Decisão nº 9, um apontamento feito em PAR sancionador não constitui, por si, crédito de ressarcimento líquido. A Lei nº 12.846/2013 prevê processo administrativo específico para a reparação integral do dano, ao fim do qual o crédito é inscrito em dívida ativa (art. 13 e parágrafo único). O precedente da CGU exige</w:t>
      </w:r>
      <w:r>
        <w:t xml:space="preserve"> </w:t>
      </w:r>
      <w:r>
        <w:t xml:space="preserve">“</w:t>
      </w:r>
      <w:r>
        <w:t xml:space="preserve">decisão administrativa ou judicial definitiva que tenha identificado e quantificado o dano, bem como estabelecido o nexo de causalidade</w:t>
      </w:r>
      <w:r>
        <w:t xml:space="preserve">”</w:t>
      </w:r>
      <w:r>
        <w:t xml:space="preserve"> </w:t>
      </w:r>
      <w:r>
        <w:t xml:space="preserve">[D15, item 4.48]. A leitura (a) só se sustenta se a decisão sancionadora tiver efetivamente identificado e quantificado o dano, com nexo causal e contraditório sobre o</w:t>
      </w:r>
      <w:r>
        <w:t xml:space="preserve"> </w:t>
      </w:r>
      <w:r>
        <w:rPr>
          <w:iCs/>
          <w:i/>
        </w:rPr>
        <w:t xml:space="preserve">quantum</w:t>
      </w:r>
      <w:r>
        <w:t xml:space="preserve">. Uma mera estimativa mínima por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pode não bastar.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Leitura que deve prevalecer.</w:t>
      </w:r>
      <w:r>
        <w:t xml:space="preserve"> </w:t>
      </w:r>
      <w:r>
        <w:t xml:space="preserve">Entre (a) e (b), a escolha depende do conteúdo dos documentos ausentes. Nenhuma das duas pode ser adotada com segurança antes de D1. Em qualquer hipótese, deixar de seguir o Relatório Final exige motivação expressa (art. 50, VII, da Lei nº 9.784/1999). A questão, incluída a questão prévia, deverá ser submetida à CONJUR.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questão aberta e determinante → D1.</w:t>
      </w:r>
    </w:p>
    <w:p>
      <w:pPr>
        <w:pStyle w:val="BodyText"/>
      </w:pPr>
      <w:r>
        <w:rPr>
          <w:bCs/>
          <w:b/>
        </w:rPr>
        <w:t xml:space="preserve">9.5.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Portaria nº 1.214/2020 é ilegal e irretroativa; a PN nº 226/2025 é inaplicável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23-42] (E7).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no tocante ao inciso II, nenhum dos vícios alegados se verifica (Seção 6.2). O inciso II limita a exigência legal e, portanto, beneficia o interessado. A PN nº 226/2025 não disciplina o inciso II para sanções da Lei nº 8.666/1993 (Seção 6.4).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irrelevante para o objeto. O exame do inciso III fica reservado à unidade competente.</w:t>
      </w:r>
    </w:p>
    <w:p>
      <w:pPr>
        <w:pStyle w:val="BodyText"/>
      </w:pPr>
      <w:r>
        <w:rPr>
          <w:bCs/>
          <w:b/>
        </w:rPr>
        <w:t xml:space="preserve">9.6.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pagamento da multa não é requisito; de todo modo, o depósito judicial o supre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62-64] (E8).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a primeira parte procede para fins dos arts. 87, IV, da Lei nº 8.666/1993 e 2º da Portaria nº 1.214/2020, que não exigem a quitação da multa (diversamente do art. 163, II, da Lei nº 14.133/2021). Disso decorre que</w:t>
      </w:r>
      <w:r>
        <w:t xml:space="preserve"> </w:t>
      </w:r>
      <w:r>
        <w:rPr>
          <w:bCs/>
          <w:b/>
        </w:rPr>
        <w:t xml:space="preserve">a multa e seu depósito são juridicamente neutros para o inciso II</w:t>
      </w:r>
      <w:r>
        <w:t xml:space="preserve">. O depósito, além disso, não extingue nem a multa: suspende sua exigibilidade por decisão precária [D9; D10], sem liquidar o passivo [D17, nota 2.6].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o depósito não comprova ressarcimento de prejuízo algum. Também não o pressupõe.</w:t>
      </w:r>
    </w:p>
    <w:p>
      <w:pPr>
        <w:pStyle w:val="BodyText"/>
      </w:pPr>
      <w:r>
        <w:rPr>
          <w:bCs/>
          <w:b/>
        </w:rPr>
        <w:t xml:space="preserve">9.7.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Interesse público, LINDB e liberdade econômica recomendam a pronta reabilitação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[D11, §§ 4-18] (E9).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Análise:</w:t>
      </w:r>
      <w:r>
        <w:t xml:space="preserve"> </w:t>
      </w:r>
      <w:r>
        <w:t xml:space="preserve">o art. 20 da LINDB impõe considerar as consequências práticas da decisão, mas não autoriza dispensar requisito legal expresso. As consequências invocadas (logística de QAV em Suape; consulta de mercado da Petrobras de 04/09/2026, Doc. 1 não disponível) recomendam</w:t>
      </w:r>
      <w:r>
        <w:t xml:space="preserve"> </w:t>
      </w:r>
      <w:r>
        <w:rPr>
          <w:bCs/>
          <w:b/>
        </w:rPr>
        <w:t xml:space="preserve">celeridade e objetividade nas diligências</w:t>
      </w:r>
      <w:r>
        <w:t xml:space="preserve"> </w:t>
      </w:r>
      <w:r>
        <w:t xml:space="preserve">(CF, art. 5º, LXXVIII; Lei nº 9.784/1999, art. 2º, caput — eficiência —, e art. 49), e não a presunção de cumprimento.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Conclusão parcial:</w:t>
      </w:r>
      <w:r>
        <w:t xml:space="preserve"> </w:t>
      </w:r>
      <w:r>
        <w:t xml:space="preserve">argumento insuscetível de comprovar o inciso II, mas relevante para a forma da instrução.</w:t>
      </w:r>
    </w:p>
    <w:p>
      <w:pPr>
        <w:pStyle w:val="BodyText"/>
      </w:pPr>
      <w:r>
        <w:rPr>
          <w:bCs/>
          <w:b/>
        </w:rPr>
        <w:t xml:space="preserve">9.8. Hipóteses não alegadas.</w:t>
      </w:r>
      <w:r>
        <w:t xml:space="preserve"> </w:t>
      </w:r>
      <w:r>
        <w:t xml:space="preserve">Não foram alegados acordo de leniência, quitação, reparação direta, parcelamento, compensação, novação, impossibilidade de apuração ou prescrição. Esses temas não são examinados.</w:t>
      </w:r>
    </w:p>
    <w:p>
      <w:pPr>
        <w:pStyle w:val="BodyText"/>
      </w:pPr>
      <w:r>
        <w:rPr>
          <w:bCs/>
          <w:b/>
        </w:rPr>
        <w:t xml:space="preserve">9.9. Jurisprudência e precedentes efetivamente utilizados: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Órgão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 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com o caso / distinção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STF, 2ª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 no RMS nº 33.526/DF, Rel. Min. Gilmar 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Sessão virtual de 22 a 28/09/2017; DJe de 09/10/2017 (fonte secundária)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IV; CF, art. 5º, XLVI e XLVII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Reabilitação sem dano apurado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 mantém inidoneidade por prazo indeterminado para cobrar dívida não líquida (trecho transcrito pela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 com</w:t>
            </w:r>
            <w:r>
              <w:t xml:space="preserve"> </w:t>
            </w:r>
            <w:r>
              <w:t xml:space="preserve">“</w:t>
            </w:r>
            <w:r>
              <w:t xml:space="preserve">quando apontados</w:t>
            </w:r>
            <w:r>
              <w:t xml:space="preserve">”</w:t>
            </w:r>
            <w:r>
              <w:t xml:space="preserve">. Distinção: lá não havia procedimento de apuração do dano; aqui houve apontamento pela CPAR, de alcance a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Persuasivo,</w:t>
            </w:r>
            <w:r>
              <w:t xml:space="preserve"> </w:t>
            </w:r>
            <w:r>
              <w:rPr>
                <w:iCs/>
                <w:i/>
              </w:rPr>
              <w:t xml:space="preserve">inter partes</w:t>
            </w:r>
            <w:r>
              <w:t xml:space="preserve">. Inteiro teor não conferido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CGU/SIPRI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nº 676/2026/SIPRI (SEI 3980745), Proc. 00190.110692/2025-70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1.214/20, art. 2º, II; Decreto 11.129/22, art. 37, § 2º; PNI 1/2025, art.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Ressarcimento em reabilitação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dano incontroverso com nexo causal; propina como</w:t>
            </w:r>
            <w:r>
              <w:t xml:space="preserve"> </w:t>
            </w:r>
            <w:r>
              <w:rPr>
                <w:iCs/>
                <w:i/>
              </w:rPr>
              <w:t xml:space="preserve">proxy</w:t>
            </w:r>
            <w:r>
              <w:t xml:space="preserve"> </w:t>
            </w:r>
            <w:r>
              <w:t xml:space="preserve">quando o ilícito indicar; circularização prévia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método. Distinção: lá a propina não era imputada à empresa no Relatório Final; aqui a propina é o próprio ato lesivo sancionado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 administrativo orientador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TRF4, 8ª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nº 5000553-66.2017.4.04.7000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10/04/2019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CPP, art. 387,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prova de transferência do custo à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do próprio caso; prova relevante, não vinculante para 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judicial do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TRF5, 6ª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nº 0809667-58.2024.4.05.0000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12.846/13, arts. 2º e 6º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Tutela de urgência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da multa apenas para suspender a exigibilidade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do próprio caso, de natureza precária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judicial do caso</w:t>
            </w:r>
          </w:p>
        </w:tc>
      </w:tr>
    </w:tbl>
    <w:p>
      <w:pPr>
        <w:pStyle w:val="BodyText"/>
      </w:pPr>
      <w:r>
        <w:t xml:space="preserve">Não foram localizados, nas fontes acessíveis, precedentes do STJ, do TCU ou do STF com efeito vinculante que tratem especificamente do ressarcimento como condição de reabilitação sob a Lei nº 8.666/1993. A interpretação foi desenvolvida com base no texto legal e no precedente administrativo da CGU.</w:t>
      </w:r>
    </w:p>
    <w:bookmarkEnd w:id="33"/>
    <w:bookmarkStart w:id="34" w:name="x-lacunas-e-diligências-necessárias"/>
    <w:p>
      <w:pPr>
        <w:pStyle w:val="Heading2"/>
      </w:pPr>
      <w:r>
        <w:t xml:space="preserve">X — LACUNAS E DILIGÊNCIAS NECESSÁRIAS</w:t>
      </w:r>
    </w:p>
    <w:p>
      <w:pPr>
        <w:pStyle w:val="FirstParagraph"/>
      </w:pPr>
      <w:r>
        <w:t xml:space="preserve">10.1. A insuficiência probatória atual</w:t>
      </w:r>
      <w:r>
        <w:t xml:space="preserve"> </w:t>
      </w:r>
      <w:r>
        <w:rPr>
          <w:bCs/>
          <w:b/>
        </w:rPr>
        <w:t xml:space="preserve">não equivale</w:t>
      </w:r>
      <w:r>
        <w:t xml:space="preserve"> </w:t>
      </w:r>
      <w:r>
        <w:t xml:space="preserve">ao descumprimento do requisito. Também não autoriza presumir seu cumprimento. Há ainda um ônus compartilhado:</w:t>
      </w:r>
      <w:r>
        <w:t xml:space="preserve"> </w:t>
      </w:r>
      <w:r>
        <w:t xml:space="preserve">- incumbe ao interessado provar os fatos que alega (art. 36 da Lei nº 9.784/1999);</w:t>
      </w:r>
      <w:r>
        <w:t xml:space="preserve"> </w:t>
      </w:r>
      <w:r>
        <w:t xml:space="preserve">- incumbe à Administração instruir de ofício (art. 29) e obter os documentos que estão em seu poder ou de outros órgãos (art. 37);</w:t>
      </w:r>
      <w:r>
        <w:t xml:space="preserve"> </w:t>
      </w:r>
      <w:r>
        <w:t xml:space="preserve">- a Portaria nº 1.214/2020 atribui expressamente à DPI a solicitação de informações aos entes lesados (art. 4º, § 2º).</w:t>
      </w:r>
    </w:p>
    <w:p>
      <w:pPr>
        <w:pStyle w:val="BodyText"/>
      </w:pPr>
      <w:r>
        <w:t xml:space="preserve">A solução tecnicamente adequada é diligenciar antes de concluir.</w:t>
      </w:r>
    </w:p>
    <w:p>
      <w:pPr>
        <w:pStyle w:val="BodyText"/>
      </w:pPr>
      <w:r>
        <w:t xml:space="preserve">10.2. As diligências específicas, com dúvida, fundamento, destinatário, finalidade e repercussão, estão no</w:t>
      </w:r>
      <w:r>
        <w:t xml:space="preserve"> </w:t>
      </w:r>
      <w:r>
        <w:rPr>
          <w:bCs/>
          <w:b/>
        </w:rPr>
        <w:t xml:space="preserve">Produto 5</w:t>
      </w:r>
      <w:r>
        <w:t xml:space="preserve">. São elas: D1 (documentos internos do PAR), D2 (Petrobras), D3 (AGU), D3-A (MPF), D4 (TCU), D5 (SFC/CGU), D6 (juízo criminal: confisco e trânsito em julgado), D7 (complementação pela DECAL) e D8 (vista ao interessado).</w:t>
      </w:r>
    </w:p>
    <w:p>
      <w:pPr>
        <w:pStyle w:val="BodyText"/>
      </w:pPr>
      <w:r>
        <w:t xml:space="preserve">10.3.</w:t>
      </w:r>
      <w:r>
        <w:t xml:space="preserve"> </w:t>
      </w:r>
      <w:r>
        <w:rPr>
          <w:bCs/>
          <w:b/>
        </w:rPr>
        <w:t xml:space="preserve">Indispensabilidade.</w:t>
      </w:r>
      <w:r>
        <w:t xml:space="preserve"> </w:t>
      </w:r>
      <w:r>
        <w:t xml:space="preserve">- D1 é</w:t>
      </w:r>
      <w:r>
        <w:t xml:space="preserve"> </w:t>
      </w:r>
      <w:r>
        <w:rPr>
          <w:bCs/>
          <w:b/>
        </w:rPr>
        <w:t xml:space="preserve">indispensável</w:t>
      </w:r>
      <w:r>
        <w:t xml:space="preserve">: trata do próprio</w:t>
      </w:r>
      <w:r>
        <w:t xml:space="preserve"> </w:t>
      </w:r>
      <w:r>
        <w:t xml:space="preserve">“</w:t>
      </w:r>
      <w:r>
        <w:t xml:space="preserve">apontamento</w:t>
      </w:r>
      <w:r>
        <w:t xml:space="preserve">”</w:t>
      </w:r>
      <w:r>
        <w:t xml:space="preserve"> </w:t>
      </w:r>
      <w:r>
        <w:t xml:space="preserve">a que alude a norma.</w:t>
      </w:r>
      <w:r>
        <w:t xml:space="preserve"> </w:t>
      </w:r>
      <w:r>
        <w:t xml:space="preserve">- D2 é</w:t>
      </w:r>
      <w:r>
        <w:t xml:space="preserve"> </w:t>
      </w:r>
      <w:r>
        <w:rPr>
          <w:bCs/>
          <w:b/>
        </w:rPr>
        <w:t xml:space="preserve">indispensável</w:t>
      </w:r>
      <w:r>
        <w:t xml:space="preserve">: a Petrobras é a titular do eventual crédito, e a CGU não pode declarar sua inexistência ou quitação sem ouvi-la.</w:t>
      </w:r>
      <w:r>
        <w:t xml:space="preserve"> </w:t>
      </w:r>
      <w:r>
        <w:t xml:space="preserve">- D8 é</w:t>
      </w:r>
      <w:r>
        <w:t xml:space="preserve"> </w:t>
      </w:r>
      <w:r>
        <w:rPr>
          <w:bCs/>
          <w:b/>
        </w:rPr>
        <w:t xml:space="preserve">indispensável</w:t>
      </w:r>
      <w:r>
        <w:t xml:space="preserve"> </w:t>
      </w:r>
      <w:r>
        <w:t xml:space="preserve">se as diligências trouxerem elementos desfavoráveis.</w:t>
      </w:r>
      <w:r>
        <w:t xml:space="preserve"> </w:t>
      </w:r>
      <w:r>
        <w:t xml:space="preserve">- D3, D3-A, D4 e D5 são</w:t>
      </w:r>
      <w:r>
        <w:t xml:space="preserve"> </w:t>
      </w:r>
      <w:r>
        <w:rPr>
          <w:bCs/>
          <w:b/>
        </w:rPr>
        <w:t xml:space="preserve">recomendáveis</w:t>
      </w:r>
      <w:r>
        <w:t xml:space="preserve">, conforme a prática do precedente.</w:t>
      </w:r>
      <w:r>
        <w:t xml:space="preserve"> </w:t>
      </w:r>
      <w:r>
        <w:t xml:space="preserve">- D6 e D7 são</w:t>
      </w:r>
      <w:r>
        <w:t xml:space="preserve"> </w:t>
      </w:r>
      <w:r>
        <w:rPr>
          <w:bCs/>
          <w:b/>
        </w:rPr>
        <w:t xml:space="preserve">complementares</w:t>
      </w:r>
      <w:r>
        <w:t xml:space="preserve">.</w:t>
      </w:r>
    </w:p>
    <w:bookmarkEnd w:id="34"/>
    <w:bookmarkStart w:id="35" w:name="xi-conclusão"/>
    <w:p>
      <w:pPr>
        <w:pStyle w:val="Heading2"/>
      </w:pPr>
      <w:r>
        <w:t xml:space="preserve">XI — CONCLUSÃO</w:t>
      </w:r>
    </w:p>
    <w:p>
      <w:pPr>
        <w:pStyle w:val="FirstParagraph"/>
      </w:pPr>
      <w:r>
        <w:t xml:space="preserve">11.1.</w:t>
      </w:r>
      <w:r>
        <w:t xml:space="preserve"> </w:t>
      </w:r>
      <w:r>
        <w:rPr>
          <w:bCs/>
          <w:b/>
        </w:rPr>
        <w:t xml:space="preserve">Roteiro decisório (Seção 9 do roteiro).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Fatos comprovados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Identificação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2º,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Houve apontamento de dano mínimo (USD 868.450,00) pela CPAR, segundo transcrição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D11, § 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Apontamento não conferido no original; adoção pela Decisão nº 9 desconhecida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Inconclusiva</w:t>
            </w:r>
            <w:r>
              <w:t xml:space="preserve"> </w:t>
            </w:r>
            <w:r>
              <w:t xml:space="preserve">→ 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Delimitação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2º, II e § 1º; PNI 1/2025, art.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outro prejuízo conhecido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aberto: não houve circularização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Inconclusiva</w:t>
            </w:r>
            <w:r>
              <w:t xml:space="preserve"> </w:t>
            </w:r>
            <w:r>
              <w:t xml:space="preserve">→ D2-D5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Idem; PNI 1/2025, art.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em USD com divergências; sem memória de cálculo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individualizado nem atualizado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Satisfação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8.666/93, art. 87,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pagamento a título de ressarcimento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D11; 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foi pago, porque a DECAL sustenta que nada é devido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aplicável se não houver prejuízo apontado;</w:t>
            </w:r>
            <w:r>
              <w:t xml:space="preserve"> </w:t>
            </w:r>
            <w:r>
              <w:rPr>
                <w:bCs/>
                <w:b/>
              </w:rPr>
              <w:t xml:space="preserve">não atendida</w:t>
            </w:r>
            <w:r>
              <w:t xml:space="preserve"> </w:t>
            </w:r>
            <w:r>
              <w:t xml:space="preserve">se houver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Abrangência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Prejudicada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art.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da multa comprovado contabilmente; Doc. 4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refere-se à multa, não a ressarcimento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Irrelevante para o inciso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Duplicidades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Confisco da fiança até o valor da propina, com destinação controvertida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D7; 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concreto de dupla recomposição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Pendente</w:t>
            </w:r>
            <w:r>
              <w:t xml:space="preserve"> </w:t>
            </w:r>
            <w:r>
              <w:t xml:space="preserve">→ 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Competência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arts. 4º, § 2º, 5º e 6º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Credor potencial é a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CGU não pode declarar quitação ou inexistência de crédito alheio sem ouvir o titular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Exige manifestação da Petrobras e da AGU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Alternativa C</w:t>
            </w:r>
          </w:p>
        </w:tc>
      </w:tr>
    </w:tbl>
    <w:p>
      <w:pPr>
        <w:pStyle w:val="BodyText"/>
      </w:pPr>
      <w:r>
        <w:t xml:space="preserve">11.2.</w:t>
      </w:r>
      <w:r>
        <w:t xml:space="preserve"> </w:t>
      </w:r>
      <w:r>
        <w:rPr>
          <w:bCs/>
          <w:b/>
        </w:rPr>
        <w:t xml:space="preserve">Conclusão.</w:t>
      </w:r>
      <w:r>
        <w:t xml:space="preserve"> </w:t>
      </w:r>
      <w:r>
        <w:t xml:space="preserve">Com base no art. 87, IV, da Lei nº 8.666/1993, no art. 2º, II e § 1º, e no art. 4º, § 2º, da Portaria CGU nº 1.214/2020, e no art. 33 da PNI CGU/AGU nº 1/2025, conclui-se que</w:t>
      </w:r>
      <w:r>
        <w:t xml:space="preserve"> </w:t>
      </w:r>
      <w:r>
        <w:rPr>
          <w:bCs/>
          <w:b/>
        </w:rPr>
        <w:t xml:space="preserve">a instrução ainda não permite afirmar, com segurança, se o requisito do art. 2º, inciso II, foi atendido (Alternativa C)</w:t>
      </w:r>
      <w:r>
        <w:t xml:space="preserve">, porque:</w:t>
      </w:r>
      <w:r>
        <w:t xml:space="preserve"> </w:t>
      </w:r>
      <w:r>
        <w:t xml:space="preserve">- (a) o instrumento que conteria o apontamento de prejuízo pela Administração — Relatório Final, SEI 1843086, adotado</w:t>
      </w:r>
      <w:r>
        <w:t xml:space="preserve"> </w:t>
      </w:r>
      <w:r>
        <w:t xml:space="preserve">“</w:t>
      </w:r>
      <w:r>
        <w:t xml:space="preserve">em parte</w:t>
      </w:r>
      <w:r>
        <w:t xml:space="preserve">”</w:t>
      </w:r>
      <w:r>
        <w:t xml:space="preserve"> </w:t>
      </w:r>
      <w:r>
        <w:t xml:space="preserve">pela Decisão nº 9 — não foi examinado, nem os pareceres da CONJUR que delimitaram essa adoção;</w:t>
      </w:r>
      <w:r>
        <w:t xml:space="preserve"> </w:t>
      </w:r>
      <w:r>
        <w:t xml:space="preserve">- (b) o ente potencialmente lesado (Petrobras) e os órgãos competentes (AGU, MPF, TCU, SFC/CGU) não foram consultados sobre prejuízos identificados ou quantificados;</w:t>
      </w:r>
      <w:r>
        <w:t xml:space="preserve"> </w:t>
      </w:r>
      <w:r>
        <w:t xml:space="preserve">- (c) não se sabe se valor equivalente ao dano apontado já foi recebido pela Petrobras por meio do confisco penal.</w:t>
      </w:r>
    </w:p>
    <w:p>
      <w:pPr>
        <w:pStyle w:val="BodyText"/>
      </w:pPr>
      <w:r>
        <w:t xml:space="preserve">11.3.</w:t>
      </w:r>
      <w:r>
        <w:t xml:space="preserve"> </w:t>
      </w:r>
      <w:r>
        <w:rPr>
          <w:bCs/>
          <w:b/>
        </w:rPr>
        <w:t xml:space="preserve">Juízo preliminar, sujeito às diligências:</w:t>
      </w:r>
      <w:r>
        <w:t xml:space="preserve"> </w:t>
      </w:r>
      <w:r>
        <w:t xml:space="preserve">- (i) Não há nos autos examinados dano incontroverso constituído contra a DECAL, ou seja, dano admitido pela empresa ou fixado em decisão definitiva com nexo causal.</w:t>
      </w:r>
      <w:r>
        <w:t xml:space="preserve"> </w:t>
      </w:r>
      <w:r>
        <w:t xml:space="preserve">- (ii) A única quantificação judicial do dano, cujo devedor era a pessoa física, foi afastada em definitivo por ausência de prova de repasse do custo à Petrobras. Isso enfraquece a presunção que sustenta o uso da propina como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de dano.</w:t>
      </w:r>
      <w:r>
        <w:t xml:space="preserve"> </w:t>
      </w:r>
      <w:r>
        <w:t xml:space="preserve">- (iii) A tese de vinculação pelo art. 935 do Código Civil não procede.</w:t>
      </w:r>
      <w:r>
        <w:t xml:space="preserve"> </w:t>
      </w:r>
      <w:r>
        <w:t xml:space="preserve">- (iv) A multa e seu depósito judicial são estranhos ao requisito.</w:t>
      </w:r>
    </w:p>
    <w:p>
      <w:pPr>
        <w:pStyle w:val="BodyText"/>
      </w:pPr>
      <w:r>
        <w:t xml:space="preserve">11.4.</w:t>
      </w:r>
      <w:r>
        <w:t xml:space="preserve"> </w:t>
      </w:r>
      <w:r>
        <w:rPr>
          <w:bCs/>
          <w:b/>
        </w:rPr>
        <w:t xml:space="preserve">Prognóstico condicionado</w:t>
      </w:r>
      <w:r>
        <w:t xml:space="preserve"> </w:t>
      </w:r>
      <w:r>
        <w:t xml:space="preserve">(sempre após vista ao interessado — art. 44 da Lei nº 9.784/1999):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Cenário 1.</w:t>
      </w:r>
      <w:r>
        <w:t xml:space="preserve"> </w:t>
      </w:r>
      <w:r>
        <w:t xml:space="preserve">As diligências D1 a D6 não revelam prejuízo identificado e quantificado em decisão administrativa ou judicial definitiva, com nexo causal (Seção 5.2-A, camada ii). Também se enquadra aqui o caso em que revelem apontamento não adotado pela decisão sancionadora, ou adotado apenas como estimativa por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cuja premissa foi infirmada judicialmente. O requisito deverá ser considerado</w:t>
      </w:r>
      <w:r>
        <w:t xml:space="preserve"> </w:t>
      </w:r>
      <w:r>
        <w:rPr>
          <w:bCs/>
          <w:b/>
        </w:rPr>
        <w:t xml:space="preserve">atendido (superado) por inexistência de prejuízo exigível a ressarcir</w:t>
      </w:r>
      <w:r>
        <w:t xml:space="preserve">, na linha da NT nº 676/2026/SIPRI. Deve-se consignar que isso não equivale a reconhecer a inexistência de prejuízo e não impede apurações e cobranças futuras.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Cenário 2.</w:t>
      </w:r>
      <w:r>
        <w:t xml:space="preserve"> </w:t>
      </w:r>
      <w:r>
        <w:t xml:space="preserve">A Decisão nº 9 adotou o dano de USD 868.450,00 com identificação, quantificação e nexo causal. A CONJUR deverá se manifestar sobre (i) sua aptidão para caracterizar prejuízo definitivamente constituído, considerando o art. 13 da Lei nº 12.846/2013 (questão prévia do item 9.4), e (ii) sua subsistência diante do acórdão do TRF4, anterior ao apontamento. Superadas ambas as questões em desfavor da requerente, o requisito</w:t>
      </w:r>
      <w:r>
        <w:t xml:space="preserve"> </w:t>
      </w:r>
      <w:r>
        <w:rPr>
          <w:bCs/>
          <w:b/>
        </w:rPr>
        <w:t xml:space="preserve">não estará atendido</w:t>
      </w:r>
      <w:r>
        <w:t xml:space="preserve"> </w:t>
      </w:r>
      <w:r>
        <w:t xml:space="preserve">até o pagamento do valor, atualizado por critério a definir. A imputação de valores eventualmente recebidos pela Petrobras por meio do confisco penal depende de juízo jurídico específico (Seção 8.6).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Cenário 3.</w:t>
      </w:r>
      <w:r>
        <w:t xml:space="preserve"> </w:t>
      </w:r>
      <w:r>
        <w:t xml:space="preserve">A Petrobras, a AGU, o MPF ou o TCU informam prejuízo definitivamente constituído contra a DECAL, com nexo com o ato sancionado. O requisito</w:t>
      </w:r>
      <w:r>
        <w:t xml:space="preserve"> </w:t>
      </w:r>
      <w:r>
        <w:rPr>
          <w:bCs/>
          <w:b/>
        </w:rPr>
        <w:t xml:space="preserve">não estará atendido</w:t>
      </w:r>
      <w:r>
        <w:t xml:space="preserve"> </w:t>
      </w:r>
      <w:r>
        <w:t xml:space="preserve">até a comprovação de sua satisfação, atestada pelo credor.</w:t>
      </w:r>
    </w:p>
    <w:bookmarkEnd w:id="35"/>
    <w:bookmarkStart w:id="36" w:name="xii-encaminhamento"/>
    <w:p>
      <w:pPr>
        <w:pStyle w:val="Heading2"/>
      </w:pPr>
      <w:r>
        <w:t xml:space="preserve">XII — ENCAMINHAMENTO</w:t>
      </w:r>
    </w:p>
    <w:p>
      <w:pPr>
        <w:pStyle w:val="FirstParagraph"/>
      </w:pPr>
      <w:r>
        <w:t xml:space="preserve">12.1. Propõe-se que a Secretaria de Integridade Privada, por intermédio da DPI (art. 4º, §§ 1º e 2º, da Portaria nº 1.214/2020, com redação da PN nº 54/2023):</w:t>
      </w:r>
      <w:r>
        <w:t xml:space="preserve"> </w:t>
      </w:r>
      <w:r>
        <w:t xml:space="preserve">- (a) junte e examine os documentos internos indicados em D1;</w:t>
      </w:r>
      <w:r>
        <w:t xml:space="preserve"> </w:t>
      </w:r>
      <w:r>
        <w:t xml:space="preserve">- (b) expeça ofícios à Petrobras, à AGU, ao MPF, ao TCU e à SFC/CGU (D2 a D5) e obtenha informações sobre o confisco e o trânsito em julgado da ação penal (D6), fixando prazo compatível com a celeridade exigida;</w:t>
      </w:r>
      <w:r>
        <w:t xml:space="preserve"> </w:t>
      </w:r>
      <w:r>
        <w:t xml:space="preserve">- (c) intime a DECAL para complementação documental (D7), observado o prazo que ela própria requereu [D11, § 45];</w:t>
      </w:r>
      <w:r>
        <w:t xml:space="preserve"> </w:t>
      </w:r>
      <w:r>
        <w:t xml:space="preserve">- (d) concluída a instrução, dê vista à DECAL dos elementos novos, para manifestação (D8; Lei nº 9.784/1999, arts. 3º, III, e 44).</w:t>
      </w:r>
    </w:p>
    <w:p>
      <w:pPr>
        <w:pStyle w:val="BodyText"/>
      </w:pPr>
      <w:r>
        <w:t xml:space="preserve">12.2. Recebidas as respostas e a manifestação do interessado, deve ser elaborada análise técnica conclusiva sobre o inciso II (art. 5º), em conjunto com os demais requisitos examinados pelas unidades competentes, e os autos devem ser remetidos à CONJUR/CGU (art. 6º). Recomenda-se submeter expressamente à CONJUR três questões:</w:t>
      </w:r>
      <w:r>
        <w:t xml:space="preserve"> </w:t>
      </w:r>
      <w:r>
        <w:t xml:space="preserve">- (i) a interpretação aplicável ao § 1º do art. 2º (item 6.3);</w:t>
      </w:r>
      <w:r>
        <w:t xml:space="preserve"> </w:t>
      </w:r>
      <w:r>
        <w:t xml:space="preserve">- (ii) a aptidão e a subsistência do apontamento de dano diante do art. 13 da Lei nº 12.846/2013 e do acórdão do TRF4 (item 9.4);</w:t>
      </w:r>
      <w:r>
        <w:t xml:space="preserve"> </w:t>
      </w:r>
      <w:r>
        <w:t xml:space="preserve">- (iii) a eventual imputação dos valores do confisco penal (item 8.6).</w:t>
      </w:r>
    </w:p>
    <w:p>
      <w:pPr>
        <w:pStyle w:val="BodyText"/>
      </w:pPr>
      <w:r>
        <w:t xml:space="preserve">12.3. Registra-se que esta Nota não examina os incisos I e III do art. 2º, cuja análise compete às unidades indicadas na Portaria nº 1.214/2020.</w:t>
      </w:r>
    </w:p>
    <w:p>
      <w:pPr>
        <w:pStyle w:val="BodyText"/>
      </w:pPr>
      <w:r>
        <w:t xml:space="preserve">À consideração superior.</w:t>
      </w:r>
    </w:p>
    <w:p>
      <w:pPr>
        <w:pStyle w:val="BodyText"/>
      </w:pPr>
      <w:r>
        <w:t xml:space="preserve">[Local], [data].</w:t>
      </w:r>
    </w:p>
    <w:p>
      <w:pPr>
        <w:pStyle w:val="BodyText"/>
      </w:pPr>
      <w:r>
        <w:t xml:space="preserve">[Nome] — [Cargo] — [Unidade]</w:t>
      </w:r>
      <w:r>
        <w:t xml:space="preserve"> </w:t>
      </w:r>
      <w:r>
        <w:rPr>
          <w:iCs/>
          <w:i/>
        </w:rPr>
        <w:t xml:space="preserve">(minuta sem número SEI e sem assinatura; campos a preencher pela unidade)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oduto-5-lista-de-diligências"/>
    <w:p>
      <w:pPr>
        <w:pStyle w:val="Heading1"/>
      </w:pPr>
      <w:r>
        <w:t xml:space="preserve">PRODUTO 5 — LISTA DE DILIGÊNCIAS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Dúvida a esclarecer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Documento/informação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 probatória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Repercussão na conclusão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apontamento de dano de USD 868.450,00 integrou a Decisão nº 9? Com que fundamento? A CPAR e a CONJUR consideraram o acórdão do TRF4?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29, 37 e 50,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Final (SEI 1843086); cálculo (SEI 1569432); Parecer nº 00199/2021/CONJUR e Despachos nº 00651/2022 e 00890/2022; Parecer nº 00273/2023/CONJUR e despachos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Própria CGU (SIPRI/CONJUR), juntada de ofício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se há</w:t>
            </w:r>
            <w:r>
              <w:t xml:space="preserve"> </w:t>
            </w:r>
            <w:r>
              <w:t xml:space="preserve">“</w:t>
            </w:r>
            <w:r>
              <w:t xml:space="preserve">prejuízo apontado</w:t>
            </w:r>
            <w:r>
              <w:t xml:space="preserve">”</w:t>
            </w:r>
            <w:r>
              <w:t xml:space="preserve"> </w:t>
            </w:r>
            <w:r>
              <w:t xml:space="preserve">e seu alcance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Determinante</w:t>
            </w:r>
            <w:r>
              <w:t xml:space="preserve">: define o Cenário 1 ou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Petrobras identificou ou quantificou prejuízo decorrente dos fatos (propina a PRC; contratos de 2006 a 2012 e de 2012)? Instaurou procedimento próprio em 2020, antes da avocação pela CGU, com apuração de dano? Há cobrança, ação ou crédito contra a DECAL? Recebeu valores do confisco?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4º,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Manifestação formal das áreas jurídica, de auditoria interna e de contratos, com memória de cálculo ou declaração de inexistência; cópia de eventual apuração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das obrigações; titularidade; quitação; duplicidade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levar ao Cenário 3 ou confirmar o Cenário 1.</w:t>
            </w:r>
            <w:r>
              <w:t xml:space="preserve"> </w:t>
            </w:r>
            <w:r>
              <w:rPr>
                <w:bCs/>
                <w:b/>
              </w:rPr>
              <w:t xml:space="preserve">Indispensável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ações judiciais da União (ressarcimento, improbidade, art. 19 da Lei 12.846/13) que tenham identificado e mensurado definitivamente prejuízo? Qual o estado da ação anulatória e se nela se discute dano?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4º,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jurídica, como no precedente [D15, item 4.23]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 (PGU/PNPP e PRU5)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 e definitividade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MPF, também legitimado para ações de improbidade e da Lei 12.846/13 (art. 19), ajuizou ação civil contra a DECAL pelos mesmos fatos?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4º,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MPF (PR/PR e PRR4)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TCE ou processo do TCU que tenha quantificado prejuízo relativo aos contratos DECAL/Petrobras?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Auditorias da CGU sobre os contratos DECAL/Petrobras apontaram prejuízo?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da unidade da SFC responsável pela auditoria da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CGU/SFC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confisco da fiança (até R$ 2.171.125,00) foi executado? Em favor de quem? Qual a data do trânsito em julgado?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9.784/99, arts. 29 e 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Certidão de trânsito em julgado; informação sobre a destinação dos valores confiscados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13ª Vara Federal de Curitiba (via AGU/MPF ou consulta processual) e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de duplicidade; definitividade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 o valor no Cenário 2; reforça o Cenário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Complementação pela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1.214, art. 4º, § 1º; Lei 9.784/99, art.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 1, 4 e 7; certidão de trânsito em julgado; natureza dos R$ 6.170 mil de</w:t>
            </w:r>
            <w:r>
              <w:t xml:space="preserve"> </w:t>
            </w:r>
            <w:r>
              <w:t xml:space="preserve">“</w:t>
            </w:r>
            <w:r>
              <w:t xml:space="preserve">perdas possíveis</w:t>
            </w:r>
            <w:r>
              <w:t xml:space="preserve">”</w:t>
            </w:r>
            <w:r>
              <w:t xml:space="preserve"> </w:t>
            </w:r>
            <w:r>
              <w:t xml:space="preserve">(DFs 2025, nota 17.d); certidões de distribuição de ações cíveis (Justiça Federal e Estadual) em seu nome; declaração sobre processos de ressarcimento em curso relativos aos fatos; peças principais da ação anulatória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Completude e 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Manifestação do interessado sobre os elementos obtidos nas diligências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CF, art. 5º, LV; Lei 9.784/99, arts. 3º, III, e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dos autos e prazo para manifestação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Indispensável antes de conclusão desfavorável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roduto-6-checklist-de-revisão"/>
    <w:p>
      <w:pPr>
        <w:pStyle w:val="Heading1"/>
      </w:pPr>
      <w:r>
        <w:t xml:space="preserve">PRODUTO 6 — CHECKLIST DE REVISÃO</w:t>
      </w:r>
    </w:p>
    <w:p>
      <w:pPr>
        <w:pStyle w:val="FirstParagraph"/>
      </w:pPr>
      <w:r>
        <w:rPr>
          <w:bCs/>
          <w:b/>
        </w:rPr>
        <w:t xml:space="preserve">Jurídico-normativo</w:t>
      </w:r>
      <w:r>
        <w:t xml:space="preserve"> </w:t>
      </w:r>
      <w:r>
        <w:t xml:space="preserve">- [x] Requisito do inciso II tratado como exigência</w:t>
      </w:r>
      <w:r>
        <w:t xml:space="preserve"> </w:t>
      </w:r>
      <w:r>
        <w:rPr>
          <w:bCs/>
          <w:b/>
        </w:rPr>
        <w:t xml:space="preserve">legal</w:t>
      </w:r>
      <w:r>
        <w:t xml:space="preserve"> </w:t>
      </w:r>
      <w:r>
        <w:t xml:space="preserve">(art. 87, IV), e não meramente regulamentar.</w:t>
      </w:r>
      <w:r>
        <w:t xml:space="preserve"> </w:t>
      </w:r>
      <w:r>
        <w:t xml:space="preserve">- [x] Expressão</w:t>
      </w:r>
      <w:r>
        <w:t xml:space="preserve"> </w:t>
      </w:r>
      <w:r>
        <w:t xml:space="preserve">“</w:t>
      </w:r>
      <w:r>
        <w:t xml:space="preserve">quando apontados pela Administração Pública</w:t>
      </w:r>
      <w:r>
        <w:t xml:space="preserve">”</w:t>
      </w:r>
      <w:r>
        <w:t xml:space="preserve"> </w:t>
      </w:r>
      <w:r>
        <w:t xml:space="preserve">interpretada sem ampliação para danos hipotéticos e sem restrição ao dispositivo da decisão sancionadora.</w:t>
      </w:r>
      <w:r>
        <w:t xml:space="preserve"> </w:t>
      </w:r>
      <w:r>
        <w:t xml:space="preserve">- [x] Análise intertemporal: Lei 8.666/93 (regime da sanção); Portaria 1.214/20 e PN 54/23 (procedimento); IN 2/2018 revogada → PNI 1/2025 (conceito de dano incontroverso); PN 226/2025 sem repercussão no inciso II.</w:t>
      </w:r>
      <w:r>
        <w:t xml:space="preserve"> </w:t>
      </w:r>
      <w:r>
        <w:t xml:space="preserve">- [x] Multa (Lei 12.846/13, art. 6º, § 3º, e art. 13) distinguida de ressarcimento.</w:t>
      </w:r>
      <w:r>
        <w:t xml:space="preserve"> </w:t>
      </w:r>
      <w:r>
        <w:t xml:space="preserve">- [x] Art. 935 do CC e arts. 63, 66 e 387, IV, do CPP analisados quanto ao alcance da decisão penal.</w:t>
      </w:r>
      <w:r>
        <w:t xml:space="preserve"> </w:t>
      </w:r>
      <w:r>
        <w:t xml:space="preserve">- [x] Limites subjetivos da coisa julgada (CPC, art. 506) considerados.</w:t>
      </w:r>
      <w:r>
        <w:t xml:space="preserve"> </w:t>
      </w:r>
      <w:r>
        <w:t xml:space="preserve">- [x] Duas interpretações sobre a subsistência do apontamento apresentadas (item 9.4), com indicação do que é necessário para escolher entre elas.</w:t>
      </w:r>
      <w:r>
        <w:t xml:space="preserve"> </w:t>
      </w:r>
      <w:r>
        <w:t xml:space="preserve">- [ ] Textos oficiais conferidos na fonte primária: PN 226/2025, redação consolidada da Portaria 1.214 após a PN 54/2023, Leis 8.666/93, 12.846/13 e 9.784/99, códigos e inteiro teor do RMS 33.526 (</w:t>
      </w:r>
      <w:r>
        <w:rPr>
          <w:bCs/>
          <w:b/>
        </w:rPr>
        <w:t xml:space="preserve">pendente</w:t>
      </w:r>
      <w:r>
        <w:t xml:space="preserve">; quadro 6.5-A e Anexo C).</w:t>
      </w:r>
      <w:r>
        <w:t xml:space="preserve"> </w:t>
      </w:r>
      <w:r>
        <w:t xml:space="preserve">- [x] Duas interpretações sobre o § 1º do art. 2º (IN 2/2018 x PNI 1/2025) apresentadas e escolha justificada (item 6.3).</w:t>
      </w:r>
      <w:r>
        <w:t xml:space="preserve"> </w:t>
      </w:r>
      <w:r>
        <w:t xml:space="preserve">- [x] Distinção entre prejuízo</w:t>
      </w:r>
      <w:r>
        <w:t xml:space="preserve"> </w:t>
      </w:r>
      <w:r>
        <w:t xml:space="preserve">“</w:t>
      </w:r>
      <w:r>
        <w:t xml:space="preserve">apontado</w:t>
      </w:r>
      <w:r>
        <w:t xml:space="preserve">”</w:t>
      </w:r>
      <w:r>
        <w:t xml:space="preserve"> </w:t>
      </w:r>
      <w:r>
        <w:t xml:space="preserve">e prejuízo exigível (item 5.2-A); questão do art. 13 da Lei 12.846/13 enfrentada (item 9.4).</w:t>
      </w:r>
    </w:p>
    <w:p>
      <w:pPr>
        <w:pStyle w:val="BodyText"/>
      </w:pPr>
      <w:r>
        <w:rPr>
          <w:bCs/>
          <w:b/>
        </w:rPr>
        <w:t xml:space="preserve">Documental</w:t>
      </w:r>
      <w:r>
        <w:t xml:space="preserve"> </w:t>
      </w:r>
      <w:r>
        <w:t xml:space="preserve">- [x] Todos os 14 documentos da pasta</w:t>
      </w:r>
      <w:r>
        <w:t xml:space="preserve"> </w:t>
      </w:r>
      <w:r>
        <w:rPr>
          <w:rStyle w:val="VerbatimChar"/>
        </w:rPr>
        <w:t xml:space="preserve">Nota_tecnica</w:t>
      </w:r>
      <w:r>
        <w:t xml:space="preserve"> </w:t>
      </w:r>
      <w:r>
        <w:t xml:space="preserve">e as DFs 2025 examinados integralmente.</w:t>
      </w:r>
      <w:r>
        <w:t xml:space="preserve"> </w:t>
      </w:r>
      <w:r>
        <w:t xml:space="preserve">- [x] Documentos ausentes listados (Docs. 1, 4 e 7; Relatório Final; cálculo; pareceres CONJUR; certidão de trânsito).</w:t>
      </w:r>
      <w:r>
        <w:t xml:space="preserve"> </w:t>
      </w:r>
      <w:r>
        <w:t xml:space="preserve">- [x] Divergências de valores e datas registradas.</w:t>
      </w:r>
      <w:r>
        <w:t xml:space="preserve"> </w:t>
      </w:r>
      <w:r>
        <w:t xml:space="preserve">- [x] Nenhum número SEI, valor ou dispositivo inventado; transcrições indiretas sinalizadas.</w:t>
      </w:r>
    </w:p>
    <w:p>
      <w:pPr>
        <w:pStyle w:val="BodyText"/>
      </w:pPr>
      <w:r>
        <w:rPr>
          <w:bCs/>
          <w:b/>
        </w:rPr>
        <w:t xml:space="preserve">Financeiro</w:t>
      </w:r>
      <w:r>
        <w:t xml:space="preserve"> </w:t>
      </w:r>
      <w:r>
        <w:t xml:space="preserve">- [x] Obrigações separadas por natureza, credor e devedor (Produto 3).</w:t>
      </w:r>
      <w:r>
        <w:t xml:space="preserve"> </w:t>
      </w:r>
      <w:r>
        <w:t xml:space="preserve">- [x] Distinção entre obrigação reconhecida, exigível, depositada e paga.</w:t>
      </w:r>
      <w:r>
        <w:t xml:space="preserve"> </w:t>
      </w:r>
      <w:r>
        <w:t xml:space="preserve">- [x] Nenhuma estimativa ou atualização não autorizada pelos documentos (apenas a conversão aritmética do critério da sentença, identificada como tal).</w:t>
      </w:r>
      <w:r>
        <w:t xml:space="preserve"> </w:t>
      </w:r>
      <w:r>
        <w:t xml:space="preserve">- [x] Risco de duplicidade (confisco) identificado.</w:t>
      </w:r>
    </w:p>
    <w:p>
      <w:pPr>
        <w:pStyle w:val="BodyText"/>
      </w:pPr>
      <w:r>
        <w:rPr>
          <w:bCs/>
          <w:b/>
        </w:rPr>
        <w:t xml:space="preserve">Competência</w:t>
      </w:r>
      <w:r>
        <w:t xml:space="preserve"> </w:t>
      </w:r>
      <w:r>
        <w:t xml:space="preserve">- [x] Reconhecido que a CGU não declara quitação ou inexistência de crédito da Petrobras sem manifestação do titular.</w:t>
      </w:r>
      <w:r>
        <w:t xml:space="preserve"> </w:t>
      </w:r>
      <w:r>
        <w:t xml:space="preserve">- [x] Encaminhamento à CONJUR (art. 6º) preservado; questões dos itens 6.3, 8.6 e 9.4 destacadas.</w:t>
      </w:r>
      <w:r>
        <w:t xml:space="preserve"> </w:t>
      </w:r>
      <w:r>
        <w:t xml:space="preserve">- [x] Contraditório sobre o resultado das diligências assegurado (D8; art. 44 da Lei 9.784/99).</w:t>
      </w:r>
      <w:r>
        <w:t xml:space="preserve"> </w:t>
      </w:r>
      <w:r>
        <w:t xml:space="preserve">- [x] MPF incluído entre os órgãos consultados (D3-A).</w:t>
      </w:r>
    </w:p>
    <w:p>
      <w:pPr>
        <w:pStyle w:val="BodyText"/>
      </w:pPr>
      <w:r>
        <w:rPr>
          <w:bCs/>
          <w:b/>
        </w:rPr>
        <w:t xml:space="preserve">Revisão adversarial (Seção 17 do roteiro)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Argumento mais forte da DECAL:</w:t>
      </w:r>
      <w:r>
        <w:t xml:space="preserve"> </w:t>
      </w:r>
      <w:r>
        <w:t xml:space="preserve">a única quantificação de dano foi afastada em definitivo por decisão judicial com participação da Petrobras. Exigir pagamento sobre presunção judicialmente refutada manteria a inidoneidade por prazo indeterminado para cobrar dívida ilíquida (RMS 33.526).</w:t>
      </w:r>
      <w:r>
        <w:t xml:space="preserve"> </w:t>
      </w:r>
      <w:r>
        <w:rPr>
          <w:iCs/>
          <w:i/>
        </w:rPr>
        <w:t xml:space="preserve">Resposta:</w:t>
      </w:r>
      <w:r>
        <w:t xml:space="preserve"> </w:t>
      </w:r>
      <w:r>
        <w:t xml:space="preserve">acolhido como juízo preliminar (Cenário 1). A conclusão definitiva, porém, depende da verificação do apontamento e de consulta ao credor.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Argumento mais forte da Administração:</w:t>
      </w:r>
      <w:r>
        <w:t xml:space="preserve"> </w:t>
      </w:r>
      <w:r>
        <w:t xml:space="preserve">o PAR, encerrado administrativamente, apontou dano mínimo igual à propina, conhecendo o acórdão do TRF4, que não declara inexistência de dano nem vincula a CGU.</w:t>
      </w:r>
      <w:r>
        <w:t xml:space="preserve"> </w:t>
      </w:r>
      <w:r>
        <w:rPr>
          <w:iCs/>
          <w:i/>
        </w:rPr>
        <w:t xml:space="preserve">Resposta:</w:t>
      </w:r>
      <w:r>
        <w:t xml:space="preserve"> </w:t>
      </w:r>
      <w:r>
        <w:t xml:space="preserve">contemplado no Cenário 2 e submetido à CONJUR.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 conclusão depende de fato não comprovado?</w:t>
      </w:r>
      <w:r>
        <w:t xml:space="preserve"> </w:t>
      </w:r>
      <w:r>
        <w:t xml:space="preserve">Sim. Por isso a Alternativa C.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Alguma obrigação confundida com a multa?</w:t>
      </w:r>
      <w:r>
        <w:t xml:space="preserve"> </w:t>
      </w:r>
      <w:r>
        <w:t xml:space="preserve">Não. Multa e depósito foram isolados (O1).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Prejuízo considerado sem nexo?</w:t>
      </w:r>
      <w:r>
        <w:t xml:space="preserve"> </w:t>
      </w:r>
      <w:r>
        <w:t xml:space="preserve">Não. O5 (vantagem auferida) foi excluído por falta de identidade com dano.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Prejuízo desconsiderado sem fundamento?</w:t>
      </w:r>
      <w:r>
        <w:t xml:space="preserve"> </w:t>
      </w:r>
      <w:r>
        <w:t xml:space="preserve">Não. O2 foi mantido como pendente, e não descartado.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Respeito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quando apontados</w:t>
      </w:r>
      <w:r>
        <w:rPr>
          <w:iCs/>
          <w:i/>
        </w:rPr>
        <w:t xml:space="preserve">”</w:t>
      </w:r>
      <w:r>
        <w:rPr>
          <w:iCs/>
          <w:i/>
        </w:rPr>
        <w:t xml:space="preserve">?</w:t>
      </w:r>
      <w:r>
        <w:t xml:space="preserve"> </w:t>
      </w:r>
      <w:r>
        <w:t xml:space="preserve">Sim (Seções 5.2, 6.3 e 9.1).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Risco de duplicidade?</w:t>
      </w:r>
      <w:r>
        <w:t xml:space="preserve"> </w:t>
      </w:r>
      <w:r>
        <w:t xml:space="preserve">Identificado (O4/D6).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Pagamento efetivo ou mero reconhecimento?</w:t>
      </w:r>
      <w:r>
        <w:t xml:space="preserve"> </w:t>
      </w:r>
      <w:r>
        <w:t xml:space="preserve">Não há pagamento de ressarcimento; o depósito é garantia da multa.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Competência e elementos?</w:t>
      </w:r>
      <w:r>
        <w:t xml:space="preserve"> </w:t>
      </w:r>
      <w:r>
        <w:t xml:space="preserve">Insuficientes sem a manifestação da Petrobras e da AGU.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Norma posterior que altere a conclusão?</w:t>
      </w:r>
      <w:r>
        <w:t xml:space="preserve"> </w:t>
      </w:r>
      <w:r>
        <w:t xml:space="preserve">A PNI 1/2025 (revogação da IN 2/2018) foi considerada. A PN 226/2025 não altera o inciso II.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Resistência a revisão rigorosa?</w:t>
      </w:r>
      <w:r>
        <w:t xml:space="preserve"> </w:t>
      </w:r>
      <w:r>
        <w:t xml:space="preserve">A conclusão não afirma mais do que os documentos permitem e indica como cada lacuna altera o resultado.</w:t>
      </w:r>
    </w:p>
    <w:p>
      <w:r>
        <w:pict>
          <v:rect style="width:0;height:1.5pt" o:hralign="center" o:hrstd="t" o:hr="t"/>
        </w:pict>
      </w:r>
    </w:p>
    <w:bookmarkEnd w:id="39"/>
    <w:bookmarkStart w:id="40" w:name="anexo-a-inventário-documental"/>
    <w:p>
      <w:pPr>
        <w:pStyle w:val="Heading1"/>
      </w:pPr>
      <w:r>
        <w:t xml:space="preserve">ANEXO A — INVENTÁRIO DOCUMENTAL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(repositório)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/ 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/ signatário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 que pretende comprovar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efetivamente comprovado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Relevância para o inciso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Nota_tecnica/inicio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vazio (1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Decisão_nº_9_CGU.pdf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2646749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09/02/2023 (publ. 10/02/2023)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Ministro da CGU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sancionadora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Sanções aplicadas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Inidoneidade, multa de R$ 3.905.734,97 e publicação; adoção</w:t>
            </w:r>
            <w:r>
              <w:t xml:space="preserve"> </w:t>
            </w:r>
            <w:r>
              <w:t xml:space="preserve">“</w:t>
            </w:r>
            <w:r>
              <w:t xml:space="preserve">em parte</w:t>
            </w:r>
            <w:r>
              <w:t xml:space="preserve">”</w:t>
            </w:r>
            <w:r>
              <w:t xml:space="preserve"> </w:t>
            </w:r>
            <w:r>
              <w:t xml:space="preserve">do Relatório Final e do Parecer 199/2021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quantifica dano nem fixa condições de reabilitação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Decisão_nº_347_CGU.pdf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2991463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Ministro da CGU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reconsideração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Manutenção das sanções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Indeferimento por ausência de fato novo; adoção do Parecer 273/2023/CONJUR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não juntado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Publicação_DOU_Decisão_n_347_CGU.pdf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DOU, Seção 2, nº 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Imprensa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Publicação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Publicação em 27/10/2023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(marco temporal)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(código não utilizado)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Doc._2___Sentenca.pdf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4250408 (segundo 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05/03/2018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13ª VF Curitiba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penal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Fixação inicial de indenização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mínima e confisco em favor da Petrobras; fiança de R$ 3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Devedor: pessoa física; reformada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Doc._2___Parecer_MPF_DANO.pdf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2 da petição de juntada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15/10/2018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PRR4 (L. F. H. Sanzi)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Inexistência de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prova de repasse do custo; confisco</w:t>
            </w:r>
            <w:r>
              <w:t xml:space="preserve"> </w:t>
            </w:r>
            <w:r>
              <w:t xml:space="preserve">“</w:t>
            </w:r>
            <w:r>
              <w:t xml:space="preserve">em favor da União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 opinativa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Doc._3___Acordao_TRF_4.pdf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4250409 (segundo a DECAL)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10/04/2019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TRF4, 8ª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Inexistência de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Afastamento da indenização mínima; confisco mantido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certidão de trânsito; alcance subjetivo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Doc._5___Acordao_TRF5.pdf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0809667-58.2024.4.05.0000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TRF5, 6ª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Aptidão do depósito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da multa para suspender a exigibilidade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(exclusão da multa)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PARECER_FORÇA_EXEC_AGU_...pdf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Ofício 81/2025 e PFE 11/2025/PRU5R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AGU/PRU5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de força executória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limitado ao depósito; natureza precária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Pedido_de_reabilitacao.pdf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4250406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Advogados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da reabilitação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Alegações (Seção 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 1, 4 e 7 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Peticao_de_juntada_DANO.pdf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Advogados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Ausência de 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Juntada do parecer do MPF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pedido_de_reconsideraA_A_o_efeito_suspensivo_DECAL.pdf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Advogados da DECAL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reconsideração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Desproporcionalidade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de que o acórdão do TRF4 foi invocado em 2023; trechos do Relatório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Transcrições indiretas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(não é fato 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(código não utilizado)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 DE NT_MARCELO_PONTES_SEI - 00190.110692_2025-70.pdf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676/2026/SIPRI, SEI 3980745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Secretário de Integridade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Precedente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análise do inciso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distinto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(método)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Demais arquivos de</w:t>
            </w:r>
            <w:r>
              <w:t xml:space="preserve"> </w:t>
            </w:r>
            <w:r>
              <w:rPr>
                <w:rStyle w:val="VerbatimChar"/>
              </w:rPr>
              <w:t xml:space="preserve">DECAL/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 e terceiros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Evidências do programa de integridade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Inciso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tratam de ressarcimento (as certidões referem-se a CNPJs de terceiros)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para o inciso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DECAL/Doc._8___DFs.pdf</w:t>
            </w:r>
            <w:r>
              <w:t xml:space="preserve"> </w:t>
            </w:r>
            <w:r>
              <w:t xml:space="preserve">(idêntico a</w:t>
            </w:r>
            <w:r>
              <w:t xml:space="preserve"> </w:t>
            </w:r>
            <w:r>
              <w:rPr>
                <w:rStyle w:val="VerbatimChar"/>
              </w:rPr>
              <w:t xml:space="preserve">DFs.pdf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8 do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 e auditor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Demonstrações contábeis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judicial de R$ 3.906 mil vinculado à multa; ausência de provisão de indenização; perdas possíveis de R$ 6.170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Contábil, não declaratório de inexistência de dívida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PORTARIA_1.214_2020.pdf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 de 09/06/2020, Seção 1, p. 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08/06/2020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Ministro da CGU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normativo (redação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do art. 2º, II e § 1º, e do art. 4º, §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as alterações da PN 54/2023 (transcritas em 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Portaria_Normativa_1_2025._CGU_AGU.pdf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 de 23/12/2025, Seção 1, p. 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CGU/AGU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Arts. 4º, VI e VII, 33, 34, 59, 60 e 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 leniência; aplicação analógica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(conceito)</w:t>
            </w:r>
          </w:p>
        </w:tc>
      </w:tr>
    </w:tbl>
    <w:p>
      <w:pPr>
        <w:pStyle w:val="BodyText"/>
      </w:pPr>
      <w:r>
        <w:rPr>
          <w:bCs/>
          <w:b/>
        </w:rPr>
        <w:t xml:space="preserve">Não disponíveis:</w:t>
      </w:r>
      <w:r>
        <w:t xml:space="preserve"> </w:t>
      </w:r>
      <w:r>
        <w:t xml:space="preserve">Docs. 1, 4 e 7 do pedido; Relatório Final (SEI 1843086); cálculo (SEI 1569432); Pareceres nº 00199/2021 e nº 00273/2023/CONJUR e despachos; petições SEI 4187435 e 4250362 e anexo SEI 4187438; certidão de trânsito em julgado; peças da ação anulatória.</w:t>
      </w:r>
    </w:p>
    <w:p>
      <w:r>
        <w:pict>
          <v:rect style="width:0;height:1.5pt" o:hralign="center" o:hrstd="t" o:hr="t"/>
        </w:pict>
      </w:r>
    </w:p>
    <w:bookmarkEnd w:id="40"/>
    <w:bookmarkStart w:id="41" w:name="anexo-b-linha-do-tempo-jurídica"/>
    <w:p>
      <w:pPr>
        <w:pStyle w:val="Heading1"/>
      </w:pPr>
      <w:r>
        <w:t xml:space="preserve">ANEXO B — LINHA DO TEMPO JURÍDICA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25/10/2006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nº 1002.00.27.258.00 DECAL/Petrobras (R$ 30.999.840,00)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15/01/2008 e 30/07/2009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Aditivos (vigência até 20/04/2012)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19/05/2011 a 02/2014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Oito transferências de propina (≈ USD 868.450,00)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D6; 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01/05/2012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contrato (≈ R$ 280.013.236,00, cinco 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11/02/2014 ou 21/02/2014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pagamento (divergência)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D6, §§ 187 e 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03/11/2016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Fiança de R$ 3.000.000,00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D6, § 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05/03/2018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Sentença (indenização mínima e confisco)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15/10/2018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do MPF/PRR4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10/04/2019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do TRF4 (afasta a indenização mínima)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17/02/2020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Trânsito em julgado da ação penal (afirmado, sem certidão)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D9; 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16/06/2020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Vigência da Portaria CGU nº 1.214/2020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D18, art. 8º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Instauração do 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D9; 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Parecer nº 00199/2021/CONJUR; Despachos nº 00651/2022 e 00890/2022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11/07/2022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nº 11.129/2022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09-10/02/2023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nº 9 (assinatura e publicação)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D2; 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Portaria Normativa CGU nº 54/2023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22/02/2023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reconsideração (invoca o TRF4)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e 27/10/2023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nº 347 (assinatura e publicação)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D3; 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04/12/2023 a 09/07/2024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1ª suspensão judicial das sanções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19/09/2024 a 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suspensão judicial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Acórdão do TRF5 (depósito da multa)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 judicial de R$ 3.906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 SE/CGU nº 226/2025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e 23/12/2025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PNI CGU/AGU nº 1/2025 (revoga a IN 2/2018)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23/02/2026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 nº 676/2026/SIPRI (precedente)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03/08/2026 e 21/09/2026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Petições da DECAL (SEI 4187435 e 4250362); pedido de reabilitação (SEI 4250406)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D11; 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Petição de juntada do parecer do MPF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final do prazo de dois anos segundo a DECAL (fora do objeto)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D11, § 54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53" w:name="anexo-c-limitações-de-acesso-e-fontes"/>
    <w:p>
      <w:pPr>
        <w:pStyle w:val="Heading1"/>
      </w:pPr>
      <w:r>
        <w:t xml:space="preserve">ANEXO C — LIMITAÇÕES DE ACESSO E FONTES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Fontes primárias inacessíveis neste ambiente.</w:t>
      </w:r>
      <w:r>
        <w:t xml:space="preserve"> </w:t>
      </w:r>
      <w:r>
        <w:t xml:space="preserve">As conexões a planalto.gov.br, in.gov.br, repositorio.cgu.gov.br, portal.stf.jus.br e lexml.gov.br foram recusadas pela política de rede. Em consequência: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5"/>
        </w:numPr>
        <w:pStyle w:val="Compact"/>
      </w:pPr>
      <w:r>
        <w:t xml:space="preserve">os textos de leis e códigos citados (Leis nº 8.666/1993, 12.846/2013, 9.784/1999, 14.133/2021; LINDB; CC; CPP; CPC; CP) foram transcritos a partir dos documentos dos autos, quando neles reproduzidos, ou de conhecimento consolidado, e</w:t>
      </w:r>
      <w:r>
        <w:t xml:space="preserve"> </w:t>
      </w:r>
      <w:r>
        <w:rPr>
          <w:bCs/>
          <w:b/>
        </w:rPr>
        <w:t xml:space="preserve">devem ser conferidos nas versões oficiais antes da assinatura</w:t>
      </w:r>
      <w:r>
        <w:t xml:space="preserve">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6"/>
        </w:numPr>
        <w:pStyle w:val="Compact"/>
      </w:pPr>
      <w:r>
        <w:t xml:space="preserve">o art. 37, § 2º, e o art. 26 do Decreto nº 11.129/2022, bem como as alterações da PN nº 54/2023, foram extraídos da transcrição oficial constante da NT nº 676/2026/SIPRI [D15];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7"/>
        </w:numPr>
        <w:pStyle w:val="Compact"/>
      </w:pPr>
      <w:r>
        <w:t xml:space="preserve">o conteúdo da PN SE/CGU nº 226/2025 foi verificado apenas em fontes secundárias e na transcrição da DECAL;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8"/>
        </w:numPr>
        <w:pStyle w:val="Compact"/>
      </w:pPr>
      <w:r>
        <w:t xml:space="preserve">quanto ao RMS nº 33.526/DF, foram verificados por fonte secundária apenas a existência do agravo regimental da União, desprovido por unanimidade pela 2ª Turma em sessão virtual de 22 a 28/09/2017 (DJe de 09/10/2017), e os temas gerais da ementa. O trecho da decisão monocrática é o transcrito pela DECAL. (A versão 1 desta Nota indicava, de forma imprecisa, julgamento em 29/09/2017.)</w:t>
      </w:r>
    </w:p>
    <w:p>
      <w:pPr>
        <w:numPr>
          <w:ilvl w:val="0"/>
          <w:numId w:val="1003"/>
        </w:numPr>
        <w:pStyle w:val="Compact"/>
      </w:pPr>
      <w:r>
        <w:t xml:space="preserve">Notas técnicas de reabilitação da CGU localizadas no repositório institucional (casos IESA e Mendes Júnior) e o Parecer nº 00241/2023/CONJUR-CGU/CGU/AGU</w:t>
      </w:r>
      <w:r>
        <w:t xml:space="preserve"> </w:t>
      </w:r>
      <w:r>
        <w:rPr>
          <w:bCs/>
          <w:b/>
        </w:rPr>
        <w:t xml:space="preserve">não puderam ser lidos</w:t>
      </w:r>
      <w:r>
        <w:t xml:space="preserve">. Do parecer utilizou-se apenas a síntese secundária indicada no item 9.1, como reforço, não como fundamento.</w:t>
      </w:r>
    </w:p>
    <w:p>
      <w:pPr>
        <w:numPr>
          <w:ilvl w:val="0"/>
          <w:numId w:val="1003"/>
        </w:numPr>
        <w:pStyle w:val="Compact"/>
      </w:pPr>
      <w:r>
        <w:t xml:space="preserve">Fontes secundárias consultadas por busca:</w:t>
      </w:r>
    </w:p>
    <w:p>
      <w:pPr>
        <w:numPr>
          <w:ilvl w:val="1"/>
          <w:numId w:val="1009"/>
        </w:numPr>
        <w:pStyle w:val="Compact"/>
      </w:pPr>
      <w:hyperlink r:id="rId42">
        <w:r>
          <w:rPr>
            <w:rStyle w:val="Hyperlink"/>
          </w:rPr>
          <w:t xml:space="preserve">Demarest — Boletim de investigações corporativas, set./2025</w:t>
        </w:r>
      </w:hyperlink>
    </w:p>
    <w:p>
      <w:pPr>
        <w:numPr>
          <w:ilvl w:val="1"/>
          <w:numId w:val="1009"/>
        </w:numPr>
        <w:pStyle w:val="Compact"/>
      </w:pPr>
      <w:hyperlink r:id="rId43">
        <w:r>
          <w:rPr>
            <w:rStyle w:val="Hyperlink"/>
          </w:rPr>
          <w:t xml:space="preserve">Schiefler Advocacia — Portaria CGU 226/2025</w:t>
        </w:r>
      </w:hyperlink>
    </w:p>
    <w:p>
      <w:pPr>
        <w:numPr>
          <w:ilvl w:val="1"/>
          <w:numId w:val="1009"/>
        </w:numPr>
        <w:pStyle w:val="Compact"/>
      </w:pPr>
      <w:hyperlink r:id="rId44">
        <w:r>
          <w:rPr>
            <w:rStyle w:val="Hyperlink"/>
          </w:rPr>
          <w:t xml:space="preserve">Migalhas — A portaria CGU 226/25</w:t>
        </w:r>
      </w:hyperlink>
    </w:p>
    <w:p>
      <w:pPr>
        <w:numPr>
          <w:ilvl w:val="1"/>
          <w:numId w:val="1009"/>
        </w:numPr>
        <w:pStyle w:val="Compact"/>
      </w:pPr>
      <w:hyperlink r:id="rId45">
        <w:r>
          <w:rPr>
            <w:rStyle w:val="Hyperlink"/>
          </w:rPr>
          <w:t xml:space="preserve">ANA — texto da PN SE/CGU 226/2025</w:t>
        </w:r>
      </w:hyperlink>
    </w:p>
    <w:p>
      <w:pPr>
        <w:numPr>
          <w:ilvl w:val="1"/>
          <w:numId w:val="1009"/>
        </w:numPr>
        <w:pStyle w:val="Compact"/>
      </w:pPr>
      <w:hyperlink r:id="rId46">
        <w:r>
          <w:rPr>
            <w:rStyle w:val="Hyperlink"/>
          </w:rPr>
          <w:t xml:space="preserve">Lex — PN CGU 54/2023</w:t>
        </w:r>
      </w:hyperlink>
    </w:p>
    <w:p>
      <w:pPr>
        <w:numPr>
          <w:ilvl w:val="1"/>
          <w:numId w:val="1009"/>
        </w:numPr>
        <w:pStyle w:val="Compact"/>
      </w:pPr>
      <w:hyperlink r:id="rId47">
        <w:r>
          <w:rPr>
            <w:rStyle w:val="Hyperlink"/>
          </w:rPr>
          <w:t xml:space="preserve">Jusbrasil — AgR RMS 33.526</w:t>
        </w:r>
      </w:hyperlink>
    </w:p>
    <w:p>
      <w:pPr>
        <w:numPr>
          <w:ilvl w:val="1"/>
          <w:numId w:val="1009"/>
        </w:numPr>
        <w:pStyle w:val="Compact"/>
      </w:pPr>
      <w:hyperlink r:id="rId48">
        <w:r>
          <w:rPr>
            <w:rStyle w:val="Hyperlink"/>
          </w:rPr>
          <w:t xml:space="preserve">Repositório CGU — PN 54/2023 (retificada)</w:t>
        </w:r>
      </w:hyperlink>
    </w:p>
    <w:p>
      <w:pPr>
        <w:numPr>
          <w:ilvl w:val="1"/>
          <w:numId w:val="1009"/>
        </w:numPr>
        <w:pStyle w:val="Compact"/>
      </w:pPr>
      <w:hyperlink r:id="rId49">
        <w:r>
          <w:rPr>
            <w:rStyle w:val="Hyperlink"/>
          </w:rPr>
          <w:t xml:space="preserve">ANTTlegis — Portaria 1.214/2020 consolidada</w:t>
        </w:r>
      </w:hyperlink>
    </w:p>
    <w:p>
      <w:pPr>
        <w:numPr>
          <w:ilvl w:val="1"/>
          <w:numId w:val="1009"/>
        </w:numPr>
        <w:pStyle w:val="Compact"/>
      </w:pPr>
      <w:hyperlink r:id="rId50">
        <w:r>
          <w:rPr>
            <w:rStyle w:val="Hyperlink"/>
          </w:rPr>
          <w:t xml:space="preserve">Base de Conhecimento CGU — NT 676/2026/SIPRI (publicação oficial do precedente D15)</w:t>
        </w:r>
      </w:hyperlink>
    </w:p>
    <w:p>
      <w:pPr>
        <w:numPr>
          <w:ilvl w:val="1"/>
          <w:numId w:val="1009"/>
        </w:numPr>
        <w:pStyle w:val="Compact"/>
      </w:pPr>
      <w:hyperlink r:id="rId51">
        <w:r>
          <w:rPr>
            <w:rStyle w:val="Hyperlink"/>
          </w:rPr>
          <w:t xml:space="preserve">Repositório CGU — Parecer 00241/2023/CONJUR (Mendes Júnior)</w:t>
        </w:r>
      </w:hyperlink>
    </w:p>
    <w:p>
      <w:pPr>
        <w:numPr>
          <w:ilvl w:val="1"/>
          <w:numId w:val="1009"/>
        </w:numPr>
        <w:pStyle w:val="Compact"/>
      </w:pPr>
      <w:hyperlink r:id="rId52">
        <w:r>
          <w:rPr>
            <w:rStyle w:val="Hyperlink"/>
          </w:rPr>
          <w:t xml:space="preserve">Juruá — Lei 14.133, art. 163</w:t>
        </w:r>
      </w:hyperlink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532">
    <w:nsid w:val="A99532"/>
    <w:multiLevelType w:val="multilevel"/>
    <w:lvl w:ilvl="0">
      <w:start w:val="2"/>
      <w:numFmt w:val="lowerRoman"/>
      <w:lvlText w:val="(%1)"/>
      <w:lvlJc w:val="left"/>
      <w:pPr>
        <w:ind w:left="720" w:hanging="480"/>
      </w:pPr>
    </w:lvl>
    <w:lvl w:ilvl="1">
      <w:start w:val="2"/>
      <w:numFmt w:val="lowerRoman"/>
      <w:lvlText w:val="(%2)"/>
      <w:lvlJc w:val="left"/>
      <w:pPr>
        <w:ind w:left="1440" w:hanging="480"/>
      </w:pPr>
    </w:lvl>
    <w:lvl w:ilvl="2">
      <w:start w:val="2"/>
      <w:numFmt w:val="lowerRoman"/>
      <w:lvlText w:val="(%3)"/>
      <w:lvlJc w:val="left"/>
      <w:pPr>
        <w:ind w:left="2160" w:hanging="480"/>
      </w:pPr>
    </w:lvl>
    <w:lvl w:ilvl="3">
      <w:start w:val="2"/>
      <w:numFmt w:val="lowerRoman"/>
      <w:lvlText w:val="(%4)"/>
      <w:lvlJc w:val="left"/>
      <w:pPr>
        <w:ind w:left="2880" w:hanging="480"/>
      </w:pPr>
    </w:lvl>
    <w:lvl w:ilvl="4">
      <w:start w:val="2"/>
      <w:numFmt w:val="lowerRoman"/>
      <w:lvlText w:val="(%5)"/>
      <w:lvlJc w:val="left"/>
      <w:pPr>
        <w:ind w:left="3600" w:hanging="480"/>
      </w:pPr>
    </w:lvl>
    <w:lvl w:ilvl="5">
      <w:start w:val="2"/>
      <w:numFmt w:val="lowerRoman"/>
      <w:lvlText w:val="(%6)"/>
      <w:lvlJc w:val="left"/>
      <w:pPr>
        <w:ind w:left="4320" w:hanging="480"/>
      </w:pPr>
    </w:lvl>
    <w:lvl w:ilvl="6">
      <w:start w:val="2"/>
      <w:numFmt w:val="lowerRoman"/>
      <w:lvlText w:val="(%7)"/>
      <w:lvlJc w:val="left"/>
      <w:pPr>
        <w:ind w:left="5040" w:hanging="480"/>
      </w:pPr>
    </w:lvl>
    <w:lvl w:ilvl="7">
      <w:start w:val="2"/>
      <w:numFmt w:val="lowerRoman"/>
      <w:lvlText w:val="(%8)"/>
      <w:lvlJc w:val="left"/>
      <w:pPr>
        <w:ind w:left="5760" w:hanging="480"/>
      </w:pPr>
    </w:lvl>
    <w:lvl w:ilvl="8">
      <w:start w:val="2"/>
      <w:numFmt w:val="lowerRoman"/>
      <w:lvlText w:val="(%9)"/>
      <w:lvlJc w:val="left"/>
      <w:pPr>
        <w:ind w:left="6480" w:hanging="480"/>
      </w:pPr>
    </w:lvl>
  </w:abstractNum>
  <w:abstractNum w:abstractNumId="99533">
    <w:nsid w:val="A99533"/>
    <w:multiLevelType w:val="multilevel"/>
    <w:lvl w:ilvl="0">
      <w:start w:val="3"/>
      <w:numFmt w:val="lowerRoman"/>
      <w:lvlText w:val="(%1)"/>
      <w:lvlJc w:val="left"/>
      <w:pPr>
        <w:ind w:left="720" w:hanging="480"/>
      </w:pPr>
    </w:lvl>
    <w:lvl w:ilvl="1">
      <w:start w:val="3"/>
      <w:numFmt w:val="lowerRoman"/>
      <w:lvlText w:val="(%2)"/>
      <w:lvlJc w:val="left"/>
      <w:pPr>
        <w:ind w:left="1440" w:hanging="480"/>
      </w:pPr>
    </w:lvl>
    <w:lvl w:ilvl="2">
      <w:start w:val="3"/>
      <w:numFmt w:val="lowerRoman"/>
      <w:lvlText w:val="(%3)"/>
      <w:lvlJc w:val="left"/>
      <w:pPr>
        <w:ind w:left="2160" w:hanging="480"/>
      </w:pPr>
    </w:lvl>
    <w:lvl w:ilvl="3">
      <w:start w:val="3"/>
      <w:numFmt w:val="lowerRoman"/>
      <w:lvlText w:val="(%4)"/>
      <w:lvlJc w:val="left"/>
      <w:pPr>
        <w:ind w:left="2880" w:hanging="480"/>
      </w:pPr>
    </w:lvl>
    <w:lvl w:ilvl="4">
      <w:start w:val="3"/>
      <w:numFmt w:val="lowerRoman"/>
      <w:lvlText w:val="(%5)"/>
      <w:lvlJc w:val="left"/>
      <w:pPr>
        <w:ind w:left="3600" w:hanging="480"/>
      </w:pPr>
    </w:lvl>
    <w:lvl w:ilvl="5">
      <w:start w:val="3"/>
      <w:numFmt w:val="lowerRoman"/>
      <w:lvlText w:val="(%6)"/>
      <w:lvlJc w:val="left"/>
      <w:pPr>
        <w:ind w:left="4320" w:hanging="480"/>
      </w:pPr>
    </w:lvl>
    <w:lvl w:ilvl="6">
      <w:start w:val="3"/>
      <w:numFmt w:val="lowerRoman"/>
      <w:lvlText w:val="(%7)"/>
      <w:lvlJc w:val="left"/>
      <w:pPr>
        <w:ind w:left="5040" w:hanging="480"/>
      </w:pPr>
    </w:lvl>
    <w:lvl w:ilvl="7">
      <w:start w:val="3"/>
      <w:numFmt w:val="lowerRoman"/>
      <w:lvlText w:val="(%8)"/>
      <w:lvlJc w:val="left"/>
      <w:pPr>
        <w:ind w:left="5760" w:hanging="480"/>
      </w:pPr>
    </w:lvl>
    <w:lvl w:ilvl="8">
      <w:start w:val="3"/>
      <w:numFmt w:val="lowerRoman"/>
      <w:lvlText w:val="(%9)"/>
      <w:lvlJc w:val="left"/>
      <w:pPr>
        <w:ind w:left="6480" w:hanging="480"/>
      </w:pPr>
    </w:lvl>
  </w:abstractNum>
  <w:abstractNum w:abstractNumId="99534">
    <w:nsid w:val="A99534"/>
    <w:multiLevelType w:val="multilevel"/>
    <w:lvl w:ilvl="0">
      <w:start w:val="4"/>
      <w:numFmt w:val="lowerRoman"/>
      <w:lvlText w:val="(%1)"/>
      <w:lvlJc w:val="left"/>
      <w:pPr>
        <w:ind w:left="720" w:hanging="480"/>
      </w:pPr>
    </w:lvl>
    <w:lvl w:ilvl="1">
      <w:start w:val="4"/>
      <w:numFmt w:val="lowerRoman"/>
      <w:lvlText w:val="(%2)"/>
      <w:lvlJc w:val="left"/>
      <w:pPr>
        <w:ind w:left="1440" w:hanging="480"/>
      </w:pPr>
    </w:lvl>
    <w:lvl w:ilvl="2">
      <w:start w:val="4"/>
      <w:numFmt w:val="lowerRoman"/>
      <w:lvlText w:val="(%3)"/>
      <w:lvlJc w:val="left"/>
      <w:pPr>
        <w:ind w:left="2160" w:hanging="480"/>
      </w:pPr>
    </w:lvl>
    <w:lvl w:ilvl="3">
      <w:start w:val="4"/>
      <w:numFmt w:val="lowerRoman"/>
      <w:lvlText w:val="(%4)"/>
      <w:lvlJc w:val="left"/>
      <w:pPr>
        <w:ind w:left="2880" w:hanging="480"/>
      </w:pPr>
    </w:lvl>
    <w:lvl w:ilvl="4">
      <w:start w:val="4"/>
      <w:numFmt w:val="lowerRoman"/>
      <w:lvlText w:val="(%5)"/>
      <w:lvlJc w:val="left"/>
      <w:pPr>
        <w:ind w:left="3600" w:hanging="480"/>
      </w:pPr>
    </w:lvl>
    <w:lvl w:ilvl="5">
      <w:start w:val="4"/>
      <w:numFmt w:val="lowerRoman"/>
      <w:lvlText w:val="(%6)"/>
      <w:lvlJc w:val="left"/>
      <w:pPr>
        <w:ind w:left="4320" w:hanging="480"/>
      </w:pPr>
    </w:lvl>
    <w:lvl w:ilvl="6">
      <w:start w:val="4"/>
      <w:numFmt w:val="lowerRoman"/>
      <w:lvlText w:val="(%7)"/>
      <w:lvlJc w:val="left"/>
      <w:pPr>
        <w:ind w:left="5040" w:hanging="480"/>
      </w:pPr>
    </w:lvl>
    <w:lvl w:ilvl="7">
      <w:start w:val="4"/>
      <w:numFmt w:val="lowerRoman"/>
      <w:lvlText w:val="(%8)"/>
      <w:lvlJc w:val="left"/>
      <w:pPr>
        <w:ind w:left="5760" w:hanging="480"/>
      </w:pPr>
    </w:lvl>
    <w:lvl w:ilvl="8">
      <w:start w:val="4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5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anttlegis.antt.gov.br/action/ActionDatalegis.php?acao=detalharAto&amp;tipo=POR&amp;numeroAto=00001214&amp;seqAto=000&amp;valorAno=2020&amp;orgao=CGU&amp;nomeTitulo=codigos&amp;desItem=&amp;desItemFim=&amp;cod_modulo=420&amp;cod_menu=7145" TargetMode="External" /><Relationship Type="http://schemas.openxmlformats.org/officeDocument/2006/relationships/hyperlink" Id="rId50" Target="https://basedeconhecimento.cgu.gov.br/server/api/core/bitstreams/26462021-d091-49f5-b175-37a098d65a25/content" TargetMode="External" /><Relationship Type="http://schemas.openxmlformats.org/officeDocument/2006/relationships/hyperlink" Id="rId51" Target="https://repositorio.cgu.gov.br/bitstream/1/77076/2/Parecer_002412023_CONJUR_CGU_AGU_Mendes_Junior.pdf" TargetMode="External" /><Relationship Type="http://schemas.openxmlformats.org/officeDocument/2006/relationships/hyperlink" Id="rId48" Target="https://repositorio.cgu.gov.br/handle/1/69865" TargetMode="External" /><Relationship Type="http://schemas.openxmlformats.org/officeDocument/2006/relationships/hyperlink" Id="rId43" Target="https://schiefler.adv.br/entenda-a-portaria-cgu-no-226-2025-que-estabelece-a-metodologia-para-avaliacao-de-programas-de-integridade-compliance/" TargetMode="External" /><Relationship Type="http://schemas.openxmlformats.org/officeDocument/2006/relationships/hyperlink" Id="rId42" Target="https://www.demarest.com.br/boletim-de-investigacoes-corporativas-setembro-2025/" TargetMode="External" /><Relationship Type="http://schemas.openxmlformats.org/officeDocument/2006/relationships/hyperlink" Id="rId45" Target="https://www.gov.br/ana/pt-br/acesso-a-informacao/integridade/normativos/arquivos/portaria-normativa-se_cgu-no-226-de-9-de-setembro-de-2025.pdf" TargetMode="External" /><Relationship Type="http://schemas.openxmlformats.org/officeDocument/2006/relationships/hyperlink" Id="rId52" Target="https://www.juruadocs.com/legislacao/art/lei_00141332021-163" TargetMode="External" /><Relationship Type="http://schemas.openxmlformats.org/officeDocument/2006/relationships/hyperlink" Id="rId47" Target="https://www.jusbrasil.com.br/jurisprudencia/stf/770050340/inteiro-teor-770050350" TargetMode="External" /><Relationship Type="http://schemas.openxmlformats.org/officeDocument/2006/relationships/hyperlink" Id="rId46" Target="https://www.lex.com.br/portaria-normativa-cgu-no-54-de-14-de-fevereiro-de-2023/" TargetMode="External" /><Relationship Type="http://schemas.openxmlformats.org/officeDocument/2006/relationships/hyperlink" Id="rId44" Target="https://www.migalhas.com.br/depeso/440120/a-portaria-cgu-226-25-e-a-integridade-nas-contratacoes-public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anttlegis.antt.gov.br/action/ActionDatalegis.php?acao=detalharAto&amp;tipo=POR&amp;numeroAto=00001214&amp;seqAto=000&amp;valorAno=2020&amp;orgao=CGU&amp;nomeTitulo=codigos&amp;desItem=&amp;desItemFim=&amp;cod_modulo=420&amp;cod_menu=7145" TargetMode="External" /><Relationship Type="http://schemas.openxmlformats.org/officeDocument/2006/relationships/hyperlink" Id="rId50" Target="https://basedeconhecimento.cgu.gov.br/server/api/core/bitstreams/26462021-d091-49f5-b175-37a098d65a25/content" TargetMode="External" /><Relationship Type="http://schemas.openxmlformats.org/officeDocument/2006/relationships/hyperlink" Id="rId51" Target="https://repositorio.cgu.gov.br/bitstream/1/77076/2/Parecer_002412023_CONJUR_CGU_AGU_Mendes_Junior.pdf" TargetMode="External" /><Relationship Type="http://schemas.openxmlformats.org/officeDocument/2006/relationships/hyperlink" Id="rId48" Target="https://repositorio.cgu.gov.br/handle/1/69865" TargetMode="External" /><Relationship Type="http://schemas.openxmlformats.org/officeDocument/2006/relationships/hyperlink" Id="rId43" Target="https://schiefler.adv.br/entenda-a-portaria-cgu-no-226-2025-que-estabelece-a-metodologia-para-avaliacao-de-programas-de-integridade-compliance/" TargetMode="External" /><Relationship Type="http://schemas.openxmlformats.org/officeDocument/2006/relationships/hyperlink" Id="rId42" Target="https://www.demarest.com.br/boletim-de-investigacoes-corporativas-setembro-2025/" TargetMode="External" /><Relationship Type="http://schemas.openxmlformats.org/officeDocument/2006/relationships/hyperlink" Id="rId45" Target="https://www.gov.br/ana/pt-br/acesso-a-informacao/integridade/normativos/arquivos/portaria-normativa-se_cgu-no-226-de-9-de-setembro-de-2025.pdf" TargetMode="External" /><Relationship Type="http://schemas.openxmlformats.org/officeDocument/2006/relationships/hyperlink" Id="rId52" Target="https://www.juruadocs.com/legislacao/art/lei_00141332021-163" TargetMode="External" /><Relationship Type="http://schemas.openxmlformats.org/officeDocument/2006/relationships/hyperlink" Id="rId47" Target="https://www.jusbrasil.com.br/jurisprudencia/stf/770050340/inteiro-teor-770050350" TargetMode="External" /><Relationship Type="http://schemas.openxmlformats.org/officeDocument/2006/relationships/hyperlink" Id="rId46" Target="https://www.lex.com.br/portaria-normativa-cgu-no-54-de-14-de-fevereiro-de-2023/" TargetMode="External" /><Relationship Type="http://schemas.openxmlformats.org/officeDocument/2006/relationships/hyperlink" Id="rId44" Target="https://www.migalhas.com.br/depeso/440120/a-portaria-cgu-226-25-e-a-integridade-nas-contratacoes-public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2026-10-16T20:24:18Z</dcterms:created>
  <dcterms:modified xsi:type="dcterms:W3CDTF">2026-10-16T20:24:18Z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