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a82772565dd64d67981274fec5ed6b2950382f1"/>
    <w:p>
      <w:pPr>
        <w:pStyle w:val="Heading1"/>
      </w:pPr>
      <w:r>
        <w:t xml:space="preserve">RELATÓRIO DE REVISÃO JURÍDICA INDEPENDENTE</w:t>
      </w:r>
    </w:p>
    <w:p>
      <w:pPr>
        <w:pStyle w:val="FirstParagraph"/>
      </w:pPr>
      <w:r>
        <w:rPr>
          <w:bCs/>
          <w:b/>
        </w:rPr>
        <w:t xml:space="preserve">Objeto:</w:t>
      </w:r>
      <w:r>
        <w:t xml:space="preserve"> </w:t>
      </w:r>
      <w:r>
        <w:t xml:space="preserve">Nota Técnica sobre o requisito do art. 2º, II, da Portaria CGU nº 1.214/2020 — pedido de reabilitação da DECAL BRASIL LTDA. (versão 1, de 16/10/2026)</w:t>
      </w:r>
    </w:p>
    <w:p>
      <w:pPr>
        <w:pStyle w:val="BodyText"/>
      </w:pPr>
      <w:r>
        <w:rPr>
          <w:bCs/>
          <w:b/>
        </w:rPr>
        <w:t xml:space="preserve">Escopo da revisão:</w:t>
      </w:r>
      <w:r>
        <w:t xml:space="preserve"> </w:t>
      </w:r>
      <w:r>
        <w:t xml:space="preserve">legalidade, suficiência da instrução e consistência da conclusão. Não foram revistos os incisos I e III.</w:t>
      </w:r>
    </w:p>
    <w:p>
      <w:pPr>
        <w:pStyle w:val="BodyText"/>
      </w:pPr>
      <w:r>
        <w:rPr>
          <w:bCs/>
          <w:b/>
        </w:rPr>
        <w:t xml:space="preserve">Método:</w:t>
      </w:r>
      <w:r>
        <w:t xml:space="preserve"> </w:t>
      </w:r>
      <w:r>
        <w:t xml:space="preserve">- Cada afirmação factual relevante da versão 1 foi confrontada de novo com os documentos-fonte (D2 a D19).</w:t>
      </w:r>
      <w:r>
        <w:t xml:space="preserve"> </w:t>
      </w:r>
      <w:r>
        <w:t xml:space="preserve">- Cada fundamento jurídico foi checado quanto à fonte da conferência.</w:t>
      </w:r>
      <w:r>
        <w:t xml:space="preserve"> </w:t>
      </w:r>
      <w:r>
        <w:t xml:space="preserve">- Foram testadas as premissas da conclusão e procuradas as omissões.</w:t>
      </w:r>
      <w:r>
        <w:t xml:space="preserve"> </w:t>
      </w:r>
      <w:r>
        <w:t xml:space="preserve">- Pontos corretos foram mantidos. Falhas não foram criadas para alongar a revisão.</w:t>
      </w:r>
    </w:p>
    <w:p>
      <w:pPr>
        <w:pStyle w:val="BodyText"/>
      </w:pPr>
      <w:r>
        <w:rPr>
          <w:bCs/>
          <w:b/>
        </w:rPr>
        <w:t xml:space="preserve">Resultado:</w:t>
      </w:r>
      <w:r>
        <w:t xml:space="preserve"> </w:t>
      </w:r>
      <w:r>
        <w:t xml:space="preserve">a versão 1 tinha</w:t>
      </w:r>
      <w:r>
        <w:t xml:space="preserve"> </w:t>
      </w:r>
      <w:r>
        <w:rPr>
          <w:bCs/>
          <w:b/>
        </w:rPr>
        <w:t xml:space="preserve">quatro deficiências relevantes</w:t>
      </w:r>
      <w:r>
        <w:t xml:space="preserve">, que foram corrigidas, e</w:t>
      </w:r>
      <w:r>
        <w:t xml:space="preserve"> </w:t>
      </w:r>
      <w:r>
        <w:rPr>
          <w:bCs/>
          <w:b/>
        </w:rPr>
        <w:t xml:space="preserve">dez imprecisões ou lacunas menores</w:t>
      </w:r>
      <w:r>
        <w:t xml:space="preserve">, também corrigidas:</w:t>
      </w:r>
      <w:r>
        <w:t xml:space="preserve"> </w:t>
      </w:r>
      <w:r>
        <w:t xml:space="preserve">- R4 e R5: a análise dos dois fundamentos que podem inverter o resultado estava incompleta;</w:t>
      </w:r>
      <w:r>
        <w:t xml:space="preserve"> </w:t>
      </w:r>
      <w:r>
        <w:t xml:space="preserve">- R6: uma dedução financeira não tinha fundamento jurídico demonstrado;</w:t>
      </w:r>
      <w:r>
        <w:t xml:space="preserve"> </w:t>
      </w:r>
      <w:r>
        <w:t xml:space="preserve">- R10: faltava assegurar o contraditório antes de eventual conclusão desfavorável.</w:t>
      </w:r>
    </w:p>
    <w:p>
      <w:pPr>
        <w:pStyle w:val="BodyText"/>
      </w:pPr>
      <w:r>
        <w:t xml:space="preserve">A conclusão (Alternativa C)</w:t>
      </w:r>
      <w:r>
        <w:t xml:space="preserve"> </w:t>
      </w:r>
      <w:r>
        <w:rPr>
          <w:bCs/>
          <w:b/>
        </w:rPr>
        <w:t xml:space="preserve">foi mantida</w:t>
      </w:r>
      <w:r>
        <w:t xml:space="preserve">, com fundamentação reforçada e cenários reformulados. A versão revisada integral está em</w:t>
      </w:r>
      <w:r>
        <w:t xml:space="preserve"> </w:t>
      </w:r>
      <w:r>
        <w:rPr>
          <w:rStyle w:val="VerbatimChar"/>
        </w:rPr>
        <w:t xml:space="preserve">NT_DECAL_Ressarcimento_art2_II_Portaria_1214.md</w:t>
      </w:r>
      <w:r>
        <w:t xml:space="preserve"> </w:t>
      </w:r>
      <w:r>
        <w:t xml:space="preserve">(versão 2) e no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correspondente.</w:t>
      </w:r>
    </w:p>
    <w:p>
      <w:r>
        <w:pict>
          <v:rect style="width:0;height:1.5pt" o:hralign="center" o:hrstd="t" o:hr="t"/>
        </w:pict>
      </w:r>
    </w:p>
    <w:bookmarkStart w:id="20" w:name="tabela-de-achados"/>
    <w:p>
      <w:pPr>
        <w:pStyle w:val="Heading2"/>
      </w:pPr>
      <w:r>
        <w:t xml:space="preserve">1. TABELA DE ACHADOS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Trecho ou conclusão questionada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 identificado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Fundamento documental ou jurídico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 para a decisão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Correção recomendada (e aplicada)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6.1: a redação do art. 87, IV,</w:t>
            </w:r>
            <w:r>
              <w:t xml:space="preserve"> </w:t>
            </w:r>
            <w:r>
              <w:t xml:space="preserve">“</w:t>
            </w:r>
            <w:r>
              <w:t xml:space="preserve">vigorava na data […] do pedido (2026)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 factual-normativo.</w:t>
            </w:r>
            <w:r>
              <w:t xml:space="preserve"> </w:t>
            </w:r>
            <w:r>
              <w:t xml:space="preserve">Em 2026 a Lei nº 8.666/1993 já estava revogada. Sua aplicação decorre de ultratividade, e não de vigência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nº 14.133/2021, art. 193, II (revogação efetivada ao fim de 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Médio: fragiliza a análise intertemporal e pode ser explorado pela defesa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Reescrito: vigência na data dos fatos e da sanção; ultratividade na data do pedido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6.2: a PN 54/2023</w:t>
            </w:r>
            <w:r>
              <w:t xml:space="preserve"> </w:t>
            </w:r>
            <w:r>
              <w:t xml:space="preserve">“</w:t>
            </w:r>
            <w:r>
              <w:t xml:space="preserve">alterou os arts. 1º e 3º a 6º […] e manteve a redação […] do § 2º do art. 4º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Imprecisão e mistura de dados conferidos e não conferidos.</w:t>
            </w:r>
            <w:r>
              <w:t xml:space="preserve"> </w:t>
            </w:r>
            <w:r>
              <w:t xml:space="preserve">O § 2º foi alterado (DIREP→DPI). A alteração do art. 1º e do inciso III só é conhecida por fonte secundária. A manutenção do inciso II e do § 1º apoia-se apenas na transcrição da NT 676/2026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D15, itens 4.2-4.3; D18; fontes secundárias (Repositório CGU; ANTTlegis)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 para o inciso II (a transcrição oficial de 2026 é idêntica à original); médio para a credibilidade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Distinguidos os dados conferidos em transcrição oficial dos dados apenas secundários; registro de pendência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 da NT (Seções II, V, VI, IX): leis e códigos citados como se conferidos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Fundamentos não conferidos em fonte oficial</w:t>
            </w:r>
            <w:r>
              <w:t xml:space="preserve"> </w:t>
            </w:r>
            <w:r>
              <w:t xml:space="preserve">apresentados sem ressalva no corpo; a limitação constava só do Anexo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 do ambiente bloqueou planalto.gov.br, in.gov.br, STF e repositório CGU (Anexo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Médio: o requisito de conferência da versão aplicável não foi cumprido para parte das normas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Criado o</w:t>
            </w:r>
            <w:r>
              <w:t xml:space="preserve"> </w:t>
            </w:r>
            <w:r>
              <w:rPr>
                <w:bCs/>
                <w:b/>
              </w:rPr>
              <w:t xml:space="preserve">quadro de conferência normativa (item 6.5-A)</w:t>
            </w:r>
            <w:r>
              <w:t xml:space="preserve">, dispositivo a dispositivo, com o status conferido / transcrição oficial / pendente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6.3:</w:t>
            </w:r>
            <w:r>
              <w:t xml:space="preserve"> </w:t>
            </w:r>
            <w:r>
              <w:t xml:space="preserve">“</w:t>
            </w:r>
            <w:r>
              <w:t xml:space="preserve">solução intertemporal</w:t>
            </w:r>
            <w:r>
              <w:t xml:space="preserve">”</w:t>
            </w:r>
            <w:r>
              <w:t xml:space="preserve"> </w:t>
            </w:r>
            <w:r>
              <w:t xml:space="preserve">do § 1º (aplicar a PNI 1/2025) e afirmação de que a IN 2/2018</w:t>
            </w:r>
            <w:r>
              <w:t xml:space="preserve"> </w:t>
            </w:r>
            <w:r>
              <w:t xml:space="preserve">“</w:t>
            </w:r>
            <w:r>
              <w:t xml:space="preserve">valia como metodologia de negociação de acordos de leniência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Interpretação controvertida apresentada como quase assente.</w:t>
            </w:r>
            <w:r>
              <w:t xml:space="preserve"> </w:t>
            </w:r>
            <w:r>
              <w:t xml:space="preserve">A tese contrária não foi exposta: ultratividade da IN 2/2018, vigente no Relatório Final e na sanção, que inclui o</w:t>
            </w:r>
            <w:r>
              <w:t xml:space="preserve"> </w:t>
            </w:r>
            <w:r>
              <w:t xml:space="preserve">“</w:t>
            </w:r>
            <w:r>
              <w:t xml:space="preserve">somatório de todas as propinas pagas</w:t>
            </w:r>
            <w:r>
              <w:t xml:space="preserve">”</w:t>
            </w:r>
            <w:r>
              <w:t xml:space="preserve"> </w:t>
            </w:r>
            <w:r>
              <w:t xml:space="preserve">no ressarcimento e conduziria à Alternativa B. A afirmação sobre a IN era argumentativa, pois o § 1º a importa expressamente para a reabilitação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Portaria 1.214, art. 2º, § 1º [D18]; IN 2/2018 [D15, item 4.12]; PNI 1/2025, art. 60, I [D19]; regra 18 do roteiro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Alto:</w:t>
            </w:r>
            <w:r>
              <w:t xml:space="preserve"> </w:t>
            </w:r>
            <w:r>
              <w:t xml:space="preserve">é o fundamento com maior potencial de inverter a conclusão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Expostas as duas interpretações; escolha justificada (precedente D15, natureza instrumental da remissão, vedação do art. 2º, p.ú., XIII, da Lei 9.784/99); demonstrada a convergência para a mesma questão de fato (repasse do custo); escolha submetida à CONJUR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Cenário 2 (itens 1.6 e 11.4): adotado o dano pela Decisão nº 9,</w:t>
            </w:r>
            <w:r>
              <w:t xml:space="preserve"> </w:t>
            </w:r>
            <w:r>
              <w:t xml:space="preserve">“</w:t>
            </w:r>
            <w:r>
              <w:t xml:space="preserve">o requisito não estará atendido enquanto não houver pagamento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Premissa jurídica não demonstrada.</w:t>
            </w:r>
            <w:r>
              <w:t xml:space="preserve"> </w:t>
            </w:r>
            <w:r>
              <w:t xml:space="preserve">Supunha-se que um apontamento em PAR sancionador, se adotado, constitui crédito exigível. Ficaram sem exame: (i) o processo específico de reparação do art. 13 da Lei 12.846/13; (ii) o padrão do precedente (</w:t>
            </w:r>
            <w:r>
              <w:t xml:space="preserve">“</w:t>
            </w:r>
            <w:r>
              <w:t xml:space="preserve">decisão […] definitiva que tenha identificado e quantificado o dano, bem como estabelecido o nexo</w:t>
            </w:r>
            <w:r>
              <w:t xml:space="preserve">”</w:t>
            </w:r>
            <w:r>
              <w:t xml:space="preserve">); (iii) a natureza de</w:t>
            </w:r>
            <w:r>
              <w:t xml:space="preserve"> </w:t>
            </w:r>
            <w:r>
              <w:rPr>
                <w:iCs/>
                <w:i/>
              </w:rPr>
              <w:t xml:space="preserve">proxy</w:t>
            </w:r>
            <w:r>
              <w:t xml:space="preserve"> </w:t>
            </w:r>
            <w:r>
              <w:t xml:space="preserve">mínima do valor. A NT também não separava</w:t>
            </w:r>
            <w:r>
              <w:t xml:space="preserve"> </w:t>
            </w:r>
            <w:r>
              <w:t xml:space="preserve">“</w:t>
            </w:r>
            <w:r>
              <w:t xml:space="preserve">apontado</w:t>
            </w:r>
            <w:r>
              <w:t xml:space="preserve">”</w:t>
            </w:r>
            <w:r>
              <w:t xml:space="preserve"> </w:t>
            </w:r>
            <w:r>
              <w:t xml:space="preserve">(literal) de</w:t>
            </w:r>
            <w:r>
              <w:t xml:space="preserve"> </w:t>
            </w:r>
            <w:r>
              <w:t xml:space="preserve">“</w:t>
            </w:r>
            <w:r>
              <w:t xml:space="preserve">exigível/incontroverso</w:t>
            </w:r>
            <w:r>
              <w:t xml:space="preserve">”</w:t>
            </w:r>
            <w:r>
              <w:t xml:space="preserve"> </w:t>
            </w:r>
            <w:r>
              <w:t xml:space="preserve">(metodológico)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12.846/13, art. 13; D15, item 4.48; Decreto 11.129/22, art. 37, § 2º; RMS 33.526 (dívida não líquida)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Alto:</w:t>
            </w:r>
            <w:r>
              <w:t xml:space="preserve"> </w:t>
            </w:r>
            <w:r>
              <w:t xml:space="preserve">risco de exigir pagamento sem título de crédito constituído, ou de indeferir sem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Criado o item 5.2-A (duas camadas); incluída no item 9.4 a</w:t>
            </w:r>
            <w:r>
              <w:t xml:space="preserve"> </w:t>
            </w:r>
            <w:r>
              <w:t xml:space="preserve">“</w:t>
            </w:r>
            <w:r>
              <w:t xml:space="preserve">questão prévia</w:t>
            </w:r>
            <w:r>
              <w:t xml:space="preserve">”</w:t>
            </w:r>
            <w:r>
              <w:t xml:space="preserve">; Cenários 1 e 2 reformulados; questão encaminhada à CONJUR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Cenário 2:</w:t>
            </w:r>
            <w:r>
              <w:t xml:space="preserve"> </w:t>
            </w:r>
            <w:r>
              <w:t xml:space="preserve">“</w:t>
            </w:r>
            <w:r>
              <w:t xml:space="preserve">descontado o montante que a Petrobras comprovadamente já tiver recebido por meio do confisco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Dedução tratada como certa sem fundamento.</w:t>
            </w:r>
            <w:r>
              <w:t xml:space="preserve"> </w:t>
            </w:r>
            <w:r>
              <w:t xml:space="preserve">O confisco (CP, art. 91, II,</w:t>
            </w:r>
            <w:r>
              <w:t xml:space="preserve"> </w:t>
            </w:r>
            <w:r>
              <w:t xml:space="preserve">“</w:t>
            </w:r>
            <w:r>
              <w:t xml:space="preserve">b</w:t>
            </w:r>
            <w:r>
              <w:t xml:space="preserve">”</w:t>
            </w:r>
            <w:r>
              <w:t xml:space="preserve">) é efeito penal imposto a pessoa diversa,</w:t>
            </w:r>
            <w:r>
              <w:t xml:space="preserve"> </w:t>
            </w:r>
            <w:r>
              <w:t xml:space="preserve">“</w:t>
            </w:r>
            <w:r>
              <w:t xml:space="preserve">ressalvado o direito do lesado</w:t>
            </w:r>
            <w:r>
              <w:t xml:space="preserve">”</w:t>
            </w:r>
            <w:r>
              <w:t xml:space="preserve">, e não pagamento de indenização. A imputação ao débito da DECAL depende de juízo jurídico (corresponsabilidade, enriquecimento sem causa)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D6, §§ 222-226; D7; D8, item 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Médio: risco de subcobrança ou de duplicidade sem motivação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8.6 ganhou ressalva jurídica; a dedução passou a depender de juízo da CONJUR; o risco de duplicidade continua sinalizado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9.3(iii):</w:t>
            </w:r>
            <w:r>
              <w:t xml:space="preserve"> </w:t>
            </w:r>
            <w:r>
              <w:t xml:space="preserve">“</w:t>
            </w:r>
            <w:r>
              <w:t xml:space="preserve">A Petrobras participou como assistente da acusação e apelante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Afirmação factual sem suporte exato.</w:t>
            </w:r>
            <w:r>
              <w:t xml:space="preserve"> </w:t>
            </w:r>
            <w:r>
              <w:t xml:space="preserve">D8 mostra a Petrobras como</w:t>
            </w:r>
            <w:r>
              <w:t xml:space="preserve"> </w:t>
            </w:r>
            <w:r>
              <w:t xml:space="preserve">“</w:t>
            </w:r>
            <w:r>
              <w:t xml:space="preserve">APELANTE (AUTOR)</w:t>
            </w:r>
            <w:r>
              <w:t xml:space="preserve">”</w:t>
            </w:r>
            <w:r>
              <w:t xml:space="preserve"> </w:t>
            </w:r>
            <w:r>
              <w:t xml:space="preserve">que</w:t>
            </w:r>
            <w:r>
              <w:t xml:space="preserve"> </w:t>
            </w:r>
            <w:r>
              <w:t xml:space="preserve">“</w:t>
            </w:r>
            <w:r>
              <w:t xml:space="preserve">ratificou as razões</w:t>
            </w:r>
            <w:r>
              <w:t xml:space="preserve">”</w:t>
            </w:r>
            <w:r>
              <w:t xml:space="preserve"> </w:t>
            </w:r>
            <w:r>
              <w:t xml:space="preserve">do MPF sobre a dosimetria.</w:t>
            </w:r>
            <w:r>
              <w:t xml:space="preserve"> </w:t>
            </w:r>
            <w:r>
              <w:t xml:space="preserve">“</w:t>
            </w:r>
            <w:r>
              <w:t xml:space="preserve">Assistente</w:t>
            </w:r>
            <w:r>
              <w:t xml:space="preserve">”</w:t>
            </w:r>
            <w:r>
              <w:t xml:space="preserve"> </w:t>
            </w:r>
            <w:r>
              <w:t xml:space="preserve">é inferência. Não consta impugnação da Petrobras ao afastamento da indenização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D8, cabeçalho e relatório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Baixo-médio: superestima a participação do ente lesado na questão do dano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Reescrito com a qualificação [INFERÊNCIA]; acrescentada referência ao art. 63, p.ú., do 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4.2:</w:t>
            </w:r>
            <w:r>
              <w:t xml:space="preserve"> </w:t>
            </w:r>
            <w:r>
              <w:t xml:space="preserve">“</w:t>
            </w:r>
            <w:r>
              <w:t xml:space="preserve">A divergência parcial do Des. Victor Laus restringiu-se à lavagem de dinheiro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Imprecisão.</w:t>
            </w:r>
            <w:r>
              <w:t xml:space="preserve"> </w:t>
            </w:r>
            <w:r>
              <w:t xml:space="preserve">O voto-vista também divergiu na extensão do provimento dos apelos e fez ressalvas. O correto é que não tratou da reparação. Faltava registrar que o Revisor acompanhou</w:t>
            </w:r>
            <w:r>
              <w:t xml:space="preserve"> </w:t>
            </w:r>
            <w:r>
              <w:t xml:space="preserve">“</w:t>
            </w:r>
            <w:r>
              <w:t xml:space="preserve">inclusive no que toca à reparação de danos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D8, voto do Des. Paulsen, item 7; voto-vista, itens 3.3-5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9.1 e tabela 9.9: RMS 33.526</w:t>
            </w:r>
            <w:r>
              <w:t xml:space="preserve"> </w:t>
            </w:r>
            <w:r>
              <w:t xml:space="preserve">“</w:t>
            </w:r>
            <w:r>
              <w:t xml:space="preserve">desprovido […] em 29/09/2017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Citação imprecisa.</w:t>
            </w:r>
            <w:r>
              <w:t xml:space="preserve"> </w:t>
            </w:r>
            <w:r>
              <w:t xml:space="preserve">Segundo fonte secundária: sessão virtual de 22 a 28/09/2017, DJe de 09/10/2017, por unanimidade. A ementa abrange a temporariedade da pena e a prescritibilidade da pretensão de ressarcimento. Não foi registrado que a DECAL omite o agravo regimental ao qualificar o julgado como</w:t>
            </w:r>
            <w:r>
              <w:t xml:space="preserve"> </w:t>
            </w:r>
            <w:r>
              <w:t xml:space="preserve">“</w:t>
            </w:r>
            <w:r>
              <w:t xml:space="preserve">decisão monocrática transitada em julgado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 em Jusbrasil e outras fontes secundárias (inteiro teor não acessado)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Médio: citação inexata de precedente em peça oficial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Corrigidas data e qualificação; registrada a omissão da DECAL; mantida a ressalva de não conferência; acrescentada, como reforço, a síntese secundária do Parecer 00241/2023/CONJUR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Encaminhamento (XII) e diligências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Omissão de contraditório.</w:t>
            </w:r>
            <w:r>
              <w:t xml:space="preserve"> </w:t>
            </w:r>
            <w:r>
              <w:t xml:space="preserve">Se as diligências trouxerem elementos desfavoráveis, a conclusão sem vista ao interessado violaria o contraditório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CF, art. 5º, LV; Lei 9.784/99, arts. 3º, III, 38 e 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Alto (legalidade):</w:t>
            </w:r>
            <w:r>
              <w:t xml:space="preserve"> </w:t>
            </w:r>
            <w:r>
              <w:t xml:space="preserve">nulidade da decisão desfavorável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Criada a diligência D8 (vista); incluída no encaminhamento 12.1(d) e nos cenários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Diligência D3 (só AGU)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Diligência faltante.</w:t>
            </w:r>
            <w:r>
              <w:t xml:space="preserve"> </w:t>
            </w:r>
            <w:r>
              <w:t xml:space="preserve">O MPF também é legitimado para ações de improbidade e da Lei 12.846/13 (art. 19). Sem consultá-lo, o universo de prejuízos judicialmente apurados fica incompleto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12.846/13, art. 19; prática do precedente (circularização ampla) [D15, itens 4.20-4.24]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Criada a D3-A (MPF)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Diligência D2 e relatório (item 4.3)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Elemento documental não explorado.</w:t>
            </w:r>
            <w:r>
              <w:t xml:space="preserve"> </w:t>
            </w:r>
            <w:r>
              <w:t xml:space="preserve">Segundo a narrativa da DECAL reproduzida no TRF5, o PAR teria sido deflagrado pela Petrobras em 2020 e avocado pela CGU. Eventual procedimento originário da estatal pode conter apuração de dano. Também não se notou o anacronismo da narrativa (invoca o Decreto 11.129/2022 para ato de 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D9 (relatório do voto, transcrevendo o agravo)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Registrado no item 4.3 como [ALEGAÇÃO]; D2 ampliada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4.3:</w:t>
            </w:r>
            <w:r>
              <w:t xml:space="preserve"> </w:t>
            </w:r>
            <w:r>
              <w:t xml:space="preserve">“</w:t>
            </w:r>
            <w:r>
              <w:t xml:space="preserve">publicada em 10/02/2023</w:t>
            </w:r>
            <w:r>
              <w:t xml:space="preserve">”</w:t>
            </w:r>
            <w:r>
              <w:t xml:space="preserve"> </w:t>
            </w:r>
            <w:r>
              <w:t xml:space="preserve">atribuída a D2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Fonte trocada.</w:t>
            </w:r>
            <w:r>
              <w:t xml:space="preserve"> </w:t>
            </w:r>
            <w:r>
              <w:t xml:space="preserve">D2 contém a assinatura (09/02/2023), não a publicação. A data de publicação vem da requerente (D11)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D2; D11, §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Corrigida a atribuição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Referências 2.3 e 2.4; item 9.7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Dispositivos citados sem uso ou impertinentes.</w:t>
            </w:r>
            <w:r>
              <w:t xml:space="preserve"> </w:t>
            </w:r>
            <w:r>
              <w:t xml:space="preserve">O art. 16, § 3º, e o art. 21, p.ú., da Lei 12.846/13 estavam listados sem uso. O art. 2º, p.ú., IX, da Lei 9.784/99 (formas simples) foi invocado para celeridade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9.784/99, art. 2º; Lei 12.846/13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16, § 3º, usado no item 5.3(b); referências ajustadas; IX substituído por art. 2º, caput, e art. 49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b29891c46a849a04e5a739109d09ed21b336a4f"/>
    <w:p>
      <w:pPr>
        <w:pStyle w:val="Heading2"/>
      </w:pPr>
      <w:r>
        <w:t xml:space="preserve">2. PONTOS VERIFICADOS E MANTIDOS (sem alteração de mérito)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Base documental dos fatos centrais.</w:t>
      </w:r>
      <w:r>
        <w:t xml:space="preserve"> </w:t>
      </w:r>
      <w:r>
        <w:t xml:space="preserve">Conferidos de novo em D2, D3, D4, D6, D7, D8, D9, D10, D11, D12, D13 e D17:</w:t>
      </w:r>
    </w:p>
    <w:p>
      <w:pPr>
        <w:numPr>
          <w:ilvl w:val="1"/>
          <w:numId w:val="1002"/>
        </w:numPr>
        <w:pStyle w:val="Compact"/>
      </w:pPr>
      <w:r>
        <w:t xml:space="preserve">os valores (multa R$ 3.905.734,97; USD 868.450,00; fiança R$ 3.000.000,00; depósito R$ 3.906 mil);</w:t>
      </w:r>
    </w:p>
    <w:p>
      <w:pPr>
        <w:numPr>
          <w:ilvl w:val="1"/>
          <w:numId w:val="1002"/>
        </w:numPr>
        <w:pStyle w:val="Compact"/>
      </w:pPr>
      <w:r>
        <w:t xml:space="preserve">as datas (05/03/2018; 15/10/2018; 10/04/2019; 09/02/2023; 24 e 27/10/2023; 05/02/2025);</w:t>
      </w:r>
    </w:p>
    <w:p>
      <w:pPr>
        <w:numPr>
          <w:ilvl w:val="1"/>
          <w:numId w:val="1002"/>
        </w:numPr>
        <w:pStyle w:val="Compact"/>
      </w:pPr>
      <w:r>
        <w:t xml:space="preserve">as divergências internas da sentença (USD 868.450,00 x 868.400,00; 11/02 x 21/02/2014).</w:t>
      </w:r>
    </w:p>
    <w:p>
      <w:pPr>
        <w:numPr>
          <w:ilvl w:val="0"/>
          <w:numId w:val="1000"/>
        </w:numPr>
        <w:pStyle w:val="Compact"/>
      </w:pPr>
      <w:r>
        <w:t xml:space="preserve">O cálculo R$ 2.171.125,00 (USD 868.450,00 × 2,50) está correto e identificado como cálculo aritmético da análise.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Distinção entre multa, ressarcimento, indenização, confisco, acordo, parcelamento e quitação</w:t>
      </w:r>
      <w:r>
        <w:t xml:space="preserve"> </w:t>
      </w:r>
      <w:r>
        <w:t xml:space="preserve">(item 5.3; Produto 3). Correta. A multa e seu depósito foram isolados (O1). O depósito foi tratado como garantia, e não como pagamento, com apoio na nota 2.6 das DFs. Não há acordo, parcelamento nem quitação nos autos, e isso está registrado.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Delimitação do universo de prejuízos.</w:t>
      </w:r>
      <w:r>
        <w:t xml:space="preserve"> </w:t>
      </w:r>
      <w:r>
        <w:t xml:space="preserve">Não houve ampliação indevida: a vantagem auferida (O5) foi excluída por não haver identidade com dano (PNI 1/2025, art. 33, § 1º), e o</w:t>
      </w:r>
      <w:r>
        <w:t xml:space="preserve"> </w:t>
      </w:r>
      <w:r>
        <w:t xml:space="preserve">“</w:t>
      </w:r>
      <w:r>
        <w:t xml:space="preserve">dano concorrencial</w:t>
      </w:r>
      <w:r>
        <w:t xml:space="preserve">”</w:t>
      </w:r>
      <w:r>
        <w:t xml:space="preserve"> </w:t>
      </w:r>
      <w:r>
        <w:t xml:space="preserve">mencionado no TRF5 não foi convertido em obrigação, por não estar quantificado. Também não houve restrição indevida: o apontamento da CPAR (O2) foi mantido como pendente, e não descartado. As lacunas (O6, O7) foram declaradas.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Enfrentamento individual das alegações</w:t>
      </w:r>
      <w:r>
        <w:t xml:space="preserve"> </w:t>
      </w:r>
      <w:r>
        <w:t xml:space="preserve">(E1 a E9; itens 9.1 a 9.8). Completo. As hipóteses do roteiro não alegadas estão registradas como tais.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Análise do art. 935 do CC e dos arts. 63, 66 e 387, IV, do CPP.</w:t>
      </w:r>
      <w:r>
        <w:t xml:space="preserve"> </w:t>
      </w:r>
      <w:r>
        <w:t xml:space="preserve">Juridicamente correta. A conclusão de que a tese da DECAL não procede como regra de vinculação, mas procede como prova relevante, decorre do teor do acórdão (ementa, item 13) e do alcance do dispositivo.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Pertinência da PN SE/CGU 226/2025.</w:t>
      </w:r>
      <w:r>
        <w:t xml:space="preserve"> </w:t>
      </w:r>
      <w:r>
        <w:t xml:space="preserve">Examinada e corretamente tida como sem repercussão no inciso II. A pendência é só de conferência do texto oficial.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Competência.</w:t>
      </w:r>
      <w:r>
        <w:t xml:space="preserve"> </w:t>
      </w:r>
      <w:r>
        <w:t xml:space="preserve">Está correto que a CGU não pode declarar a inexistência ou a quitação de crédito da Petrobras sem ouvir a titular, e que a decisão cabe ao Ministro após parecer da CONJUR (art. 6º).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Distinção entre descumprimento e insuficiência de instrução.</w:t>
      </w:r>
      <w:r>
        <w:t xml:space="preserve"> </w:t>
      </w:r>
      <w:r>
        <w:t xml:space="preserve">A versão 1 já a fazia (item 10.1). Foi mantida e reforçada pela classificação das diligências (item 10.3).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Precedente NT 676/2026/SIPRI.</w:t>
      </w:r>
      <w:r>
        <w:t xml:space="preserve"> </w:t>
      </w:r>
      <w:r>
        <w:t xml:space="preserve">Citado com fidelidade e com as distinções pertinentes. Sua publicação oficial na Base de Conhecimento da CGU foi localizada.</w:t>
      </w:r>
    </w:p>
    <w:p>
      <w:r>
        <w:pict>
          <v:rect style="width:0;height:1.5pt" o:hralign="center" o:hrstd="t" o:hr="t"/>
        </w:pict>
      </w:r>
    </w:p>
    <w:bookmarkEnd w:id="21"/>
    <w:bookmarkStart w:id="22" w:name="respostas-aos-14-quesitos"/>
    <w:p>
      <w:pPr>
        <w:pStyle w:val="Heading2"/>
      </w:pPr>
      <w:r>
        <w:t xml:space="preserve">3. RESPOSTAS AOS 14 QUESITOS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Afirmações factuais apoiadas em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após corrigir R7, R8, R12 e R13. Afirmações sem documento próprio estão marcadas como [ALEGAÇÃO] ou [INFERÊNCIA]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Fundamentos conferidos em fonte oficial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Parcialmente.</w:t>
            </w:r>
            <w:r>
              <w:t xml:space="preserve"> </w:t>
            </w:r>
            <w:r>
              <w:t xml:space="preserve">Conferidos em DOU: Portaria 1.214 original e PNI 1/2025. Conferidos em transcrição oficial da CGU: Portaria 1.214 pós-PN 54 (arts. 2º, II, e 3º a 6º) e Decreto 11.129, arts. 26 e 37, § 2º.</w:t>
            </w:r>
            <w:r>
              <w:t xml:space="preserve"> </w:t>
            </w:r>
            <w:r>
              <w:rPr>
                <w:bCs/>
                <w:b/>
              </w:rPr>
              <w:t xml:space="preserve">Pendentes:</w:t>
            </w:r>
            <w:r>
              <w:t xml:space="preserve"> </w:t>
            </w:r>
            <w:r>
              <w:t xml:space="preserve">leis e códigos, PN 226/2025, redação consolidada pós-PN 54 e inteiro teor do RMS 33.526 (quadro 6.5-A)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Alterações normativas e PN 226/2025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Examinadas. Corrigida a precisão sobre a PN 54/2023 (R2). A PN 226/2025 não repercute no inciso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Confusão entre categorias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havia, salvo a dedução do confisco, tratada como certa (R6, corrigido)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5-6. Universo dos prejuízos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Delimitado sem ampliação nem restrição indevidas; ampliadas as fontes de verificação (R11, R12)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Conciliação de valores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Correta, sem duplicidade nem omissão de valores constantes dos autos; risco de duplicidade (confisco) sinalizado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Justificativas enfrentadas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individualmente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Conclusão x premissas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conclusão C decorre das provas. Os</w:t>
            </w:r>
            <w:r>
              <w:t xml:space="preserve"> </w:t>
            </w:r>
            <w:r>
              <w:rPr>
                <w:bCs/>
                <w:b/>
              </w:rPr>
              <w:t xml:space="preserve">cenários</w:t>
            </w:r>
            <w:r>
              <w:t xml:space="preserve"> </w:t>
            </w:r>
            <w:r>
              <w:t xml:space="preserve">dependiam de premissas não demonstradas (R5, R6), agora corrigidas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Ampliação ou restrição das obrigações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houve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 Competência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Petrobras (titular do crédito), AGU, MPF, TCU, SFC e CONJUR — esta para três questões jurídicas expressamente destacadas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 Diligências faltantes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MPF (R11), procedimento originário da Petrobras (R12), certidões de distribuição cível (D7) e vista ao interessado (R10) — incluídas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 Jurisprudência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 33.526 citado de forma imprecisa (R9, corrigido). Os demais julgados são decisões do próprio caso, usadas no seu contexto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 Descumprimento x insuficiência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Distinção adequada e mantida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íntese-final"/>
    <w:p>
      <w:pPr>
        <w:pStyle w:val="Heading2"/>
      </w:pPr>
      <w:r>
        <w:t xml:space="preserve">4. SÍNTESE FINAL</w:t>
      </w:r>
    </w:p>
    <w:p>
      <w:pPr>
        <w:pStyle w:val="FirstParagraph"/>
      </w:pPr>
      <w:r>
        <w:rPr>
          <w:bCs/>
          <w:b/>
        </w:rPr>
        <w:t xml:space="preserve">Efetivamente verificado nesta revisão:</w:t>
      </w:r>
      <w:r>
        <w:t xml:space="preserve"> </w:t>
      </w:r>
      <w:r>
        <w:t xml:space="preserve">- todos os fatos e valores centrais nos documentos-fonte;</w:t>
      </w:r>
      <w:r>
        <w:t xml:space="preserve"> </w:t>
      </w:r>
      <w:r>
        <w:t xml:space="preserve">- os textos oficiais da Portaria 1.214/2020 (original) e da PNI CGU/AGU 1/2025;</w:t>
      </w:r>
      <w:r>
        <w:t xml:space="preserve"> </w:t>
      </w:r>
      <w:r>
        <w:t xml:space="preserve">- as transcrições oficiais, na NT 676/2026, da PN 54/2023 (arts. 3º a 6º) e do Decreto 11.129/2022 (arts. 26 e 37, § 2º);</w:t>
      </w:r>
      <w:r>
        <w:t xml:space="preserve"> </w:t>
      </w:r>
      <w:r>
        <w:t xml:space="preserve">- os dados de julgamento do AgR no RMS 33.526, em fonte secundária;</w:t>
      </w:r>
      <w:r>
        <w:t xml:space="preserve"> </w:t>
      </w:r>
      <w:r>
        <w:t xml:space="preserve">- a coerência interna da NT após as correções.</w:t>
      </w:r>
    </w:p>
    <w:p>
      <w:pPr>
        <w:pStyle w:val="BodyText"/>
      </w:pPr>
      <w:r>
        <w:rPr>
          <w:bCs/>
          <w:b/>
        </w:rPr>
        <w:t xml:space="preserve">Permanece pendente:</w:t>
      </w:r>
      <w:r>
        <w:t xml:space="preserve"> </w:t>
      </w:r>
      <w:r>
        <w:t xml:space="preserve">- (a) conferência, em fonte oficial, das leis e códigos citados, da redação consolidada da Portaria 1.214 após a PN 54/2023, da PN 226/2025 e do inteiro teor do RMS 33.526. O acesso esteve bloqueado neste ambiente;</w:t>
      </w:r>
      <w:r>
        <w:t xml:space="preserve"> </w:t>
      </w:r>
      <w:r>
        <w:t xml:space="preserve">- (b) as diligências D1 a D8, sobretudo D1 (Relatório Final e pareceres da CONJUR), D2 (Petrobras) e D8 (vista);</w:t>
      </w:r>
      <w:r>
        <w:t xml:space="preserve"> </w:t>
      </w:r>
      <w:r>
        <w:t xml:space="preserve">- (c) as três questões jurídicas dirigidas à CONJUR (itens 6.3, 8.6 e 9.4).</w:t>
      </w:r>
    </w:p>
    <w:p>
      <w:pPr>
        <w:pStyle w:val="BodyText"/>
      </w:pPr>
      <w:r>
        <w:rPr>
          <w:bCs/>
          <w:b/>
        </w:rPr>
        <w:t xml:space="preserve">Suficiência para subsidiar decisão:</w:t>
      </w:r>
      <w:r>
        <w:t xml:space="preserve"> </w:t>
      </w:r>
      <w:r>
        <w:t xml:space="preserve">a Nota Técnica revisada está</w:t>
      </w:r>
      <w:r>
        <w:t xml:space="preserve"> </w:t>
      </w:r>
      <w:r>
        <w:rPr>
          <w:bCs/>
          <w:b/>
        </w:rPr>
        <w:t xml:space="preserve">suficientemente fundamentada para subsidiar a decisão de instrução</w:t>
      </w:r>
      <w:r>
        <w:t xml:space="preserve">: determinar as diligências e submeter as questões jurídicas à CONJUR.</w:t>
      </w:r>
      <w:r>
        <w:t xml:space="preserve"> </w:t>
      </w:r>
      <w:r>
        <w:rPr>
          <w:bCs/>
          <w:b/>
        </w:rPr>
        <w:t xml:space="preserve">Não está, nem pretende estar, apta a subsidiar desde já a decisão de mérito</w:t>
      </w:r>
      <w:r>
        <w:t xml:space="preserve"> </w:t>
      </w:r>
      <w:r>
        <w:t xml:space="preserve">(deferimento ou indeferimento quanto ao inciso II). O motivo é que o documento que conteria o próprio</w:t>
      </w:r>
      <w:r>
        <w:t xml:space="preserve"> </w:t>
      </w:r>
      <w:r>
        <w:t xml:space="preserve">“</w:t>
      </w:r>
      <w:r>
        <w:t xml:space="preserve">apontamento</w:t>
      </w:r>
      <w:r>
        <w:t xml:space="preserve">”</w:t>
      </w:r>
      <w:r>
        <w:t xml:space="preserve"> </w:t>
      </w:r>
      <w:r>
        <w:t xml:space="preserve">de prejuízo e a manifestação do credor ainda não foram examinados. Essa limitação é da instrução, não da fundamentação. A competência decisória do Ministro de Estado e a função opinativa da CONJUR ficam ressalvadas (art. 6º da Portaria nº 1.214/2020).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2026-10-16T20:24:18Z</dcterms:created>
  <dcterms:modified xsi:type="dcterms:W3CDTF">2026-10-16T20:24:18Z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