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7" w:rsidRDefault="00F25DC5">
      <w:r w:rsidRPr="00F25DC5">
        <w:rPr>
          <w:b/>
        </w:rPr>
        <w:t>MEP</w:t>
      </w:r>
      <w:r>
        <w:t xml:space="preserve"> – Metodologia Científica</w:t>
      </w:r>
      <w:r>
        <w:tab/>
        <w:t>Adelaide Maria Bogo</w:t>
      </w:r>
    </w:p>
    <w:p w:rsidR="00F25DC5" w:rsidRDefault="00F25DC5">
      <w:r>
        <w:t>Victor Eduardo Requia</w:t>
      </w:r>
      <w:r>
        <w:tab/>
        <w:t>- Ciências da computação</w:t>
      </w:r>
    </w:p>
    <w:p w:rsidR="00F25DC5" w:rsidRDefault="00F25DC5"/>
    <w:p w:rsidR="00F25DC5" w:rsidRDefault="00F25DC5" w:rsidP="00F25DC5">
      <w:pPr>
        <w:jc w:val="center"/>
        <w:rPr>
          <w:b/>
          <w:sz w:val="36"/>
          <w:szCs w:val="36"/>
        </w:rPr>
      </w:pPr>
      <w:r w:rsidRPr="00F25DC5">
        <w:rPr>
          <w:b/>
          <w:sz w:val="36"/>
          <w:szCs w:val="36"/>
        </w:rPr>
        <w:t>ATIVIDADE 1</w:t>
      </w:r>
    </w:p>
    <w:p w:rsidR="00F25DC5" w:rsidRDefault="00F25DC5" w:rsidP="00F25DC5">
      <w:pPr>
        <w:jc w:val="center"/>
        <w:rPr>
          <w:b/>
          <w:sz w:val="36"/>
          <w:szCs w:val="36"/>
        </w:rPr>
      </w:pPr>
    </w:p>
    <w:p w:rsidR="00F25DC5" w:rsidRPr="00756A05" w:rsidRDefault="00816E1F" w:rsidP="00816E1F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56A05">
        <w:rPr>
          <w:rFonts w:ascii="Arial" w:hAnsi="Arial" w:cs="Arial"/>
          <w:b/>
          <w:color w:val="000000" w:themeColor="text1"/>
          <w:sz w:val="24"/>
          <w:szCs w:val="24"/>
        </w:rPr>
        <w:t>Paráfrase</w:t>
      </w:r>
    </w:p>
    <w:p w:rsidR="001903A3" w:rsidRPr="0081368B" w:rsidRDefault="001903A3" w:rsidP="00816E1F">
      <w:pPr>
        <w:pStyle w:val="PargrafodaLista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903A3" w:rsidRPr="0081368B" w:rsidRDefault="001903A3" w:rsidP="001903A3">
      <w:pPr>
        <w:pStyle w:val="PargrafodaLista"/>
        <w:ind w:left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1</w:t>
      </w:r>
      <w:r w:rsidR="0019546B" w:rsidRPr="0081368B">
        <w:rPr>
          <w:rFonts w:ascii="Arial" w:hAnsi="Arial" w:cs="Arial"/>
          <w:bCs/>
          <w:color w:val="000000" w:themeColor="text1"/>
          <w:sz w:val="24"/>
          <w:szCs w:val="24"/>
        </w:rPr>
        <w:t>°:</w:t>
      </w:r>
    </w:p>
    <w:p w:rsidR="00816E1F" w:rsidRPr="0081368B" w:rsidRDefault="00816E1F" w:rsidP="00816E1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Destacam-se estudos como o de Werneck e Cruz (2009), que, em sua pesquisa, falam sobre o uso do Youtube como instrumento de promoção utilizado por empresas, o qual permite que a marca seja visualizada na Web, facilitando assim, a visualização de informações sobre os produtos e serviços da empresa, de forma a auxiliar o cliente em potencial em suas pesquisas para a decisão de compra.</w:t>
      </w:r>
    </w:p>
    <w:p w:rsidR="00FE5DDB" w:rsidRDefault="00302A37" w:rsidP="00FE5DDB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GOULART, Rafaella Dutra et al. O uso do WhatsApp como ferramenta mercadológica no segmento de supermercados.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Navus - Revista de Gestão e Tecnologia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[S.L.], v. 9, n. 3, p.41-54, 1 jul. 2019. Serviço Nacional de Aprendizagem Comercial / SENAC SC</w:t>
      </w:r>
    </w:p>
    <w:p w:rsidR="00CC3D0E" w:rsidRPr="00CC3D0E" w:rsidRDefault="00CC3D0E" w:rsidP="00FE5DDB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FE5DDB" w:rsidRPr="0081368B" w:rsidRDefault="0019546B" w:rsidP="00FE5DDB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2°:</w:t>
      </w:r>
    </w:p>
    <w:p w:rsidR="00FE5DDB" w:rsidRPr="0081368B" w:rsidRDefault="00FE5DDB" w:rsidP="00FE5DDB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Ainda diante esse aspecto, Soares e Monteiro (2015) relatam sobre a popularização do Facebook entre as empresas, também como instrumento de promoção, permitindo um maior engajamento do usuário, exposição da marca e interação entre os consumidores</w:t>
      </w:r>
    </w:p>
    <w:p w:rsidR="00FE5DDB" w:rsidRPr="0081368B" w:rsidRDefault="00FE5DDB" w:rsidP="00FE5DDB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GOULART, Rafaella Dutra et al. O uso do WhatsApp como ferramenta mercadológica no segmento de supermercados.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Navus - Revista de Gestão e Tecnologia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[S.L.], v. 9, n. 3, p.41-54, 1 jul. 2019. Serviço Nacional de Aprendizagem Comercial / SENAC SC</w:t>
      </w:r>
    </w:p>
    <w:p w:rsidR="00FE5DDB" w:rsidRPr="0081368B" w:rsidRDefault="00FE5DDB" w:rsidP="00FE5DDB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FE5DDB" w:rsidRPr="0081368B" w:rsidRDefault="00FE5DDB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1903A3" w:rsidRPr="0081368B" w:rsidRDefault="001903A3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FE5DDB" w:rsidRPr="0081368B" w:rsidRDefault="00FE5DDB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:rsidR="00FE5DDB" w:rsidRPr="0081368B" w:rsidRDefault="0056643F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3</w:t>
      </w:r>
      <w:r w:rsidR="0019546B"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°:</w:t>
      </w:r>
    </w:p>
    <w:p w:rsidR="001903A3" w:rsidRPr="0081368B" w:rsidRDefault="001903A3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Anderson (2001) foi autor de um dos primeiros trabalhos a mostrar como a teoria econômica interage com o tema da segurança da informação. No trabalho, o autor defende que as externalidades de rede, as barreiras à entrada, o fato de as grandes empresas adotarem suas estratégias baseadas no valor, em vez de no custo, e as enormes vantagens de primeiro movimento em sistemas econômicos com fortes feedbacks são algumas das razões pelas quais os softwares de mercado, como o Windows, possuem tantas falhas.</w:t>
      </w:r>
    </w:p>
    <w:p w:rsidR="00532C65" w:rsidRPr="0081368B" w:rsidRDefault="00532C65" w:rsidP="00816E1F">
      <w:p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CORTEZ, Igor Siqueira; KUBOTA,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Luis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Claudio. Contramedidas de segurança da informação e vulnerabilidade cibernética: evidência empírica de empresas brasileiras. </w:t>
      </w:r>
      <w:proofErr w:type="spellStart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Revista</w:t>
      </w:r>
      <w:proofErr w:type="spellEnd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Administração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, [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s.l.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], v. 48, n. 4, p.757-769, 19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dez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. 2013. Business Department, School of Economics, Business &amp; Accounting USP</w:t>
      </w:r>
    </w:p>
    <w:p w:rsidR="00F16623" w:rsidRPr="0081368B" w:rsidRDefault="00F16623" w:rsidP="00816E1F">
      <w:p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</w:p>
    <w:p w:rsidR="00F16623" w:rsidRPr="0081368B" w:rsidRDefault="0056643F" w:rsidP="00816E1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4</w:t>
      </w:r>
      <w:r w:rsidR="0019546B" w:rsidRPr="0081368B">
        <w:rPr>
          <w:rFonts w:ascii="Arial" w:hAnsi="Arial" w:cs="Arial"/>
          <w:bCs/>
          <w:color w:val="000000" w:themeColor="text1"/>
          <w:sz w:val="24"/>
          <w:szCs w:val="24"/>
        </w:rPr>
        <w:t>°:</w:t>
      </w:r>
    </w:p>
    <w:p w:rsidR="00F16623" w:rsidRPr="0081368B" w:rsidRDefault="009045B2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Adotando uma abordagem diferente, de teoria dos jogos, Garcia e Horowitz (2006) analisam as motivações econômicas para o investimento em segurança e levantam a possibilidade de uma falha de mercado, possível sob a forma de subinvestimento em seguranç</w:t>
      </w:r>
      <w:r w:rsidR="000A0F57"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</w:t>
      </w:r>
    </w:p>
    <w:p w:rsidR="00132C91" w:rsidRPr="0081368B" w:rsidRDefault="00532C65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CORTEZ, Igor Siqueira; KUBOTA,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Luis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Claudio. Contramedidas de segurança da informação e vulnerabilidade cibernética: evidência empírica de empresas brasileiras. </w:t>
      </w:r>
      <w:proofErr w:type="spellStart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Revista</w:t>
      </w:r>
      <w:proofErr w:type="spellEnd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:lang w:val="en-US"/>
        </w:rPr>
        <w:t>Administração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, [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s.l.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], v. 48, n. 4, p.757-769, 19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dez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  <w:t>. 2013. Business Department, School of Economics, Business &amp; Accounting USP</w:t>
      </w:r>
    </w:p>
    <w:p w:rsidR="00CC3D0E" w:rsidRDefault="00CC3D0E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C9758F" w:rsidRPr="00A84DA8" w:rsidRDefault="00132C91" w:rsidP="00816E1F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2)</w:t>
      </w:r>
      <w:r w:rsidRPr="00A84D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</w:t>
      </w:r>
      <w:r w:rsidR="00756A05"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</w:t>
      </w:r>
      <w:r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tação direta curta</w:t>
      </w:r>
    </w:p>
    <w:p w:rsidR="00E24AD6" w:rsidRPr="00A84DA8" w:rsidRDefault="00E24AD6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A84D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1°:</w:t>
      </w:r>
      <w:bookmarkStart w:id="0" w:name="_GoBack"/>
      <w:bookmarkEnd w:id="0"/>
    </w:p>
    <w:p w:rsidR="00C27B01" w:rsidRPr="0081368B" w:rsidRDefault="00C27B01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"convém que as regras de controle de acesso e direitos para cada usuário ou grupos de usuários sejam expressas claramente na política de controle de acesso" (ASSOCIAÇÃO BRASILEIRA DE NORMAS TÉCNICAS, 2005, p. 56).</w:t>
      </w:r>
    </w:p>
    <w:p w:rsidR="00C27B01" w:rsidRPr="0081368B" w:rsidRDefault="00C27B01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SFREDDO, Josiane Ayres; FLORES, Daniel. Segurança da informação arquivística: o controle de acesso em arquivos públicos estaduais.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Perspectivas em Ciência da Informação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s.l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.], v. 17, n. 2, p.158-178, jun. 2012.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FapUNIFESP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SciELO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CC3D0E" w:rsidRDefault="00CC3D0E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CC3D0E" w:rsidRDefault="00CC3D0E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CC3D0E" w:rsidRDefault="00CC3D0E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16DFC" w:rsidRPr="0081368B" w:rsidRDefault="00E16DFC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2°:</w:t>
      </w:r>
    </w:p>
    <w:p w:rsidR="00E16DFC" w:rsidRPr="0081368B" w:rsidRDefault="00E16DFC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Segundo 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begin"/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vertAlign w:val="superscript"/>
        </w:rPr>
        <w:instrText xml:space="preserve"> HYPERLINK "http://www.scielo.br/scielo.php?script=sci_arttext&amp;pid=S1516-73132017000200455&amp;lng=en&amp;tlng=en" \l "B7" </w:instrTex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separate"/>
      </w:r>
      <w:r w:rsidRPr="0081368B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  <w:vertAlign w:val="superscript"/>
        </w:rPr>
        <w:t>Fioreze</w:t>
      </w:r>
      <w:proofErr w:type="spellEnd"/>
      <w:r w:rsidRPr="0081368B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FFFFF"/>
          <w:vertAlign w:val="superscript"/>
        </w:rPr>
        <w:t xml:space="preserve"> et al. (2013, p. 268)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vertAlign w:val="superscript"/>
        </w:rPr>
        <w:fldChar w:fldCharType="end"/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: "O uso dos recursos digitais para a aprendizagem dos conceitos de Matemática abre um leque de possibilidades para o planejamento das atividades do professor"</w:t>
      </w:r>
    </w:p>
    <w:p w:rsidR="0063614C" w:rsidRPr="0081368B" w:rsidRDefault="0063614C" w:rsidP="00C27B0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MORAIS,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Anuar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Daian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de; BASSO, Marcus Vinicius de Azevedo; FAGUNDES, Léa da Cruz. Educação Matemática &amp; Ciência da Computação na escola: aprender a programar fomenta a aprendizagem de </w:t>
      </w:r>
      <w:proofErr w:type="gram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matemática?.</w:t>
      </w:r>
      <w:proofErr w:type="gram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Ciência &amp; Educação (</w:t>
      </w:r>
      <w:proofErr w:type="spellStart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bauru</w:t>
      </w:r>
      <w:proofErr w:type="spellEnd"/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s.l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.], v. 23, n. 2, p.455-473, jun. 2017.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FapUNIFESP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SciELO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641C4D" w:rsidRPr="0081368B" w:rsidRDefault="00641C4D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C27B01" w:rsidRPr="00A84DA8" w:rsidRDefault="00641C4D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3)</w:t>
      </w:r>
      <w:r w:rsidRPr="00A84D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4DA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Citação direta longa</w:t>
      </w:r>
    </w:p>
    <w:p w:rsidR="003858E3" w:rsidRPr="00A84DA8" w:rsidRDefault="003858E3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A84DA8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1°:</w:t>
      </w:r>
    </w:p>
    <w:p w:rsidR="00C27B01" w:rsidRPr="0081368B" w:rsidRDefault="00C27B01" w:rsidP="00C27B01">
      <w:pPr>
        <w:pStyle w:val="NormalWeb"/>
        <w:shd w:val="clear" w:color="auto" w:fill="FFFFFF"/>
        <w:rPr>
          <w:rFonts w:ascii="Arial" w:hAnsi="Arial" w:cs="Arial"/>
          <w:bCs/>
          <w:color w:val="000000" w:themeColor="text1"/>
        </w:rPr>
      </w:pPr>
      <w:r w:rsidRPr="0081368B">
        <w:rPr>
          <w:rFonts w:ascii="Arial" w:hAnsi="Arial" w:cs="Arial"/>
          <w:bCs/>
          <w:color w:val="000000" w:themeColor="text1"/>
        </w:rPr>
        <w:t xml:space="preserve">Esta norma é a versão atual da Norma NBR ISO/IEC 17799, elaborada em 2005, que foi atualizada, em julho de 2007, para a numeração NBR ISO/IEC 27002. </w:t>
      </w:r>
      <w:proofErr w:type="spellStart"/>
      <w:r w:rsidRPr="0081368B">
        <w:rPr>
          <w:rFonts w:ascii="Arial" w:hAnsi="Arial" w:cs="Arial"/>
          <w:bCs/>
          <w:color w:val="000000" w:themeColor="text1"/>
        </w:rPr>
        <w:t>Baldissera</w:t>
      </w:r>
      <w:proofErr w:type="spellEnd"/>
      <w:r w:rsidRPr="0081368B">
        <w:rPr>
          <w:rFonts w:ascii="Arial" w:hAnsi="Arial" w:cs="Arial"/>
          <w:bCs/>
          <w:color w:val="000000" w:themeColor="text1"/>
        </w:rPr>
        <w:t xml:space="preserve"> (2007, p. 40) define que a origem da NBR ISO/IEC 17799:</w:t>
      </w:r>
    </w:p>
    <w:p w:rsidR="00C27B01" w:rsidRPr="0081368B" w:rsidRDefault="00C27B01" w:rsidP="00C27B01">
      <w:pPr>
        <w:pStyle w:val="NormalWeb"/>
        <w:shd w:val="clear" w:color="auto" w:fill="FFFFFF"/>
        <w:rPr>
          <w:rFonts w:ascii="Arial" w:hAnsi="Arial" w:cs="Arial"/>
          <w:bCs/>
          <w:color w:val="000000" w:themeColor="text1"/>
        </w:rPr>
      </w:pPr>
      <w:r w:rsidRPr="0081368B">
        <w:rPr>
          <w:rFonts w:ascii="Arial" w:hAnsi="Arial" w:cs="Arial"/>
          <w:bCs/>
          <w:color w:val="000000" w:themeColor="text1"/>
        </w:rPr>
        <w:t>Remonta de 1987, quando o departamento de comércio e Indústria do Reino Unido (</w:t>
      </w:r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UK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Depertament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of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Trade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and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Industry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– DTI)</w:t>
      </w:r>
      <w:r w:rsidRPr="0081368B">
        <w:rPr>
          <w:rFonts w:ascii="Arial" w:hAnsi="Arial" w:cs="Arial"/>
          <w:bCs/>
          <w:color w:val="000000" w:themeColor="text1"/>
        </w:rPr>
        <w:t>, com a necessidade de criar um plano para proteção das informações do Reino Unido, criou o Centro de Segurança de Computação Comercial </w:t>
      </w:r>
      <w:r w:rsidRPr="0081368B">
        <w:rPr>
          <w:rFonts w:ascii="Arial" w:hAnsi="Arial" w:cs="Arial"/>
          <w:bCs/>
          <w:i/>
          <w:iCs/>
          <w:color w:val="000000" w:themeColor="text1"/>
        </w:rPr>
        <w:t>(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Commercial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Computer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Secury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Center – CCSC)</w:t>
      </w:r>
      <w:r w:rsidRPr="0081368B">
        <w:rPr>
          <w:rFonts w:ascii="Arial" w:hAnsi="Arial" w:cs="Arial"/>
          <w:bCs/>
          <w:color w:val="000000" w:themeColor="text1"/>
        </w:rPr>
        <w:t>. Este centro tinha como uma de suas finalidades, a criação de uma norma de segurança das informações para empresas britânicas. Em 1989 o CCSC criou um guia de segurança para usuários, o PD0003 - um Código de Práticas para Gerenciamento de Segurança da Informação </w:t>
      </w:r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(a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Code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of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Practice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for </w:t>
      </w:r>
      <w:proofErr w:type="spellStart"/>
      <w:r w:rsidRPr="0081368B">
        <w:rPr>
          <w:rFonts w:ascii="Arial" w:hAnsi="Arial" w:cs="Arial"/>
          <w:bCs/>
          <w:i/>
          <w:iCs/>
          <w:color w:val="000000" w:themeColor="text1"/>
        </w:rPr>
        <w:t>Information</w:t>
      </w:r>
      <w:proofErr w:type="spellEnd"/>
      <w:r w:rsidRPr="0081368B">
        <w:rPr>
          <w:rFonts w:ascii="Arial" w:hAnsi="Arial" w:cs="Arial"/>
          <w:bCs/>
          <w:i/>
          <w:iCs/>
          <w:color w:val="000000" w:themeColor="text1"/>
        </w:rPr>
        <w:t xml:space="preserve"> Security Management)</w:t>
      </w:r>
      <w:r w:rsidRPr="0081368B">
        <w:rPr>
          <w:rFonts w:ascii="Arial" w:hAnsi="Arial" w:cs="Arial"/>
          <w:bCs/>
          <w:color w:val="000000" w:themeColor="text1"/>
        </w:rPr>
        <w:t>. Após ter sido disponibilizado para consulta pública, foi desenvolvido pelo Padrão Britânico </w:t>
      </w:r>
      <w:r w:rsidRPr="0081368B">
        <w:rPr>
          <w:rFonts w:ascii="Arial" w:hAnsi="Arial" w:cs="Arial"/>
          <w:bCs/>
          <w:i/>
          <w:iCs/>
          <w:color w:val="000000" w:themeColor="text1"/>
        </w:rPr>
        <w:t>(British Standard)</w:t>
      </w:r>
      <w:r w:rsidRPr="0081368B">
        <w:rPr>
          <w:rFonts w:ascii="Arial" w:hAnsi="Arial" w:cs="Arial"/>
          <w:bCs/>
          <w:color w:val="000000" w:themeColor="text1"/>
        </w:rPr>
        <w:t> em 1995, uma versão final deste documento, a BS 7799:1995.</w:t>
      </w:r>
    </w:p>
    <w:p w:rsidR="000B0BE1" w:rsidRPr="0081368B" w:rsidRDefault="00C27B01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SFREDDO, Josiane Ayres; FLORES, Daniel. Segurança da informação arquivística: o controle de acesso em arquivos públicos estaduais.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Perspectivas em Ciência da Informação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s.l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.], v. 17, n. 2, p.158-178, jun. 2012.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FapUNIFESP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SciELO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7F2B07" w:rsidRPr="0081368B" w:rsidRDefault="003858E3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2°:</w:t>
      </w:r>
    </w:p>
    <w:p w:rsidR="007F2B07" w:rsidRPr="0081368B" w:rsidRDefault="007F2B07" w:rsidP="00816E1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Dada a dificuldade de definição, haja vista comportar tantas possibilidades de uso como também o emprego de diversas tecnologias, opta-se pela conceituação do NIST (RUSCHEL, et al., 2010, p. 4): Computação em nuvem é um modelo que possibilita acesso, de modo conveniente e sob demanda, a um conjunto de recursos computacionais configuráveis (p. ex., redes, servidores, armazenamento, aplicações e serviços) que podem ser rapidamente adquiridos e liberados com mínimo esforço gerencial ou interação com o provedor de serviços.</w:t>
      </w:r>
    </w:p>
    <w:p w:rsidR="00FA1BB4" w:rsidRPr="0081368B" w:rsidRDefault="00FA1BB4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>JESUS JUNIOR, Airton A. de; MORENO, Edward David. SEGURANÇA EM INFRAESTRUTURA PARA INTERNET DAS COISAS.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Gestão.org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: Revista Eletrônica de Gestão Organizacional, Universidade Federal de Pernambuco, v. 13, p.370-380, 09 maio 2016</w:t>
      </w:r>
    </w:p>
    <w:p w:rsidR="00FA1BB4" w:rsidRPr="0081368B" w:rsidRDefault="00FA1BB4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C9758F" w:rsidRPr="00A84DA8" w:rsidRDefault="00FA1BB4" w:rsidP="00C9758F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4) </w:t>
      </w:r>
      <w:r w:rsidRPr="00C9758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Citação de citação</w:t>
      </w:r>
      <w:r w:rsidR="00083817"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br/>
      </w:r>
    </w:p>
    <w:p w:rsidR="00FA1BB4" w:rsidRPr="00C9758F" w:rsidRDefault="0019546B" w:rsidP="00816E1F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Boyd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 xml:space="preserve"> e Ellison (2008  apud EID; JABRI,2016) abordam, em seu artigo, que a importância do desenvolvimento das aplicações Web é o uso veemente das redes sociais,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Myspace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 xml:space="preserve">, Facebook, LinkedIn, Twitter,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Fl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icker</w:t>
      </w:r>
      <w:proofErr w:type="spellEnd"/>
      <w:r w:rsidRPr="0081368B">
        <w:rPr>
          <w:rFonts w:ascii="Arial" w:hAnsi="Arial" w:cs="Arial"/>
          <w:bCs/>
          <w:color w:val="000000" w:themeColor="text1"/>
          <w:sz w:val="24"/>
          <w:szCs w:val="24"/>
        </w:rPr>
        <w:t>, Instagram e WhatsApp , as quais promovem interações e permitem aos usuários a comunicação de informações e experiências profissionais, possibilitam que as pessoas criem perfis, conectem-se e interajam, além de facilitar a vida de seus usuários.</w:t>
      </w:r>
    </w:p>
    <w:p w:rsidR="0019546B" w:rsidRPr="0081368B" w:rsidRDefault="0019546B" w:rsidP="0019546B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GOULART, Rafaella Dutra et al. O uso do WhatsApp como ferramenta mercadológica no segmento de supermercados. </w:t>
      </w:r>
      <w:r w:rsidRPr="0081368B">
        <w:rPr>
          <w:rStyle w:val="Forte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Navus - Revista de Gestão e Tecnologia</w:t>
      </w:r>
      <w:r w:rsidRPr="0081368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[S.L.], v. 9, n. 3, p.41-54, 1 jul. 2019. Serviço Nacional de Aprendizagem Comercial / SENAC SC</w:t>
      </w:r>
    </w:p>
    <w:p w:rsidR="0019546B" w:rsidRPr="0081368B" w:rsidRDefault="0019546B" w:rsidP="00816E1F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0B0BE1" w:rsidRDefault="000B0BE1" w:rsidP="00816E1F">
      <w:pPr>
        <w:rPr>
          <w:rFonts w:ascii="Helvetica" w:hAnsi="Helvetica" w:cs="Helvetica"/>
          <w:color w:val="222222"/>
          <w:shd w:val="clear" w:color="auto" w:fill="FFFFFF"/>
        </w:rPr>
      </w:pPr>
    </w:p>
    <w:p w:rsidR="00C27B01" w:rsidRDefault="00C27B01" w:rsidP="00816E1F">
      <w:pPr>
        <w:rPr>
          <w:rFonts w:ascii="Helvetica" w:hAnsi="Helvetica" w:cs="Helvetica"/>
          <w:color w:val="222222"/>
          <w:shd w:val="clear" w:color="auto" w:fill="FFFFFF"/>
        </w:rPr>
      </w:pPr>
    </w:p>
    <w:p w:rsidR="00C27B01" w:rsidRPr="00C27B01" w:rsidRDefault="00C27B01" w:rsidP="00816E1F">
      <w:pPr>
        <w:rPr>
          <w:rFonts w:ascii="Helvetica" w:hAnsi="Helvetica" w:cs="Helvetica"/>
          <w:color w:val="222222"/>
          <w:shd w:val="clear" w:color="auto" w:fill="FFFFFF"/>
        </w:rPr>
      </w:pPr>
    </w:p>
    <w:p w:rsidR="00C27B01" w:rsidRPr="00C27B01" w:rsidRDefault="00C27B01" w:rsidP="00816E1F">
      <w:pPr>
        <w:rPr>
          <w:rFonts w:ascii="Helvetica" w:hAnsi="Helvetica" w:cs="Helvetica"/>
          <w:color w:val="222222"/>
          <w:shd w:val="clear" w:color="auto" w:fill="FFFFFF"/>
        </w:rPr>
      </w:pPr>
    </w:p>
    <w:p w:rsidR="00EB19D2" w:rsidRPr="00EB19D2" w:rsidRDefault="00EB19D2" w:rsidP="00816E1F">
      <w:pPr>
        <w:rPr>
          <w:b/>
          <w:sz w:val="24"/>
          <w:szCs w:val="24"/>
        </w:rPr>
      </w:pPr>
    </w:p>
    <w:sectPr w:rsidR="00EB19D2" w:rsidRPr="00EB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0DB"/>
    <w:multiLevelType w:val="hybridMultilevel"/>
    <w:tmpl w:val="FC6670DE"/>
    <w:lvl w:ilvl="0" w:tplc="78028914">
      <w:start w:val="1"/>
      <w:numFmt w:val="decimalZero"/>
      <w:lvlText w:val="%1)"/>
      <w:lvlJc w:val="left"/>
      <w:pPr>
        <w:ind w:left="502" w:hanging="360"/>
      </w:pPr>
      <w:rPr>
        <w:rFonts w:ascii="Arial" w:hAnsi="Arial" w:cs="Arial" w:hint="default"/>
        <w:b/>
        <w:bCs w:val="0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093434F"/>
    <w:multiLevelType w:val="hybridMultilevel"/>
    <w:tmpl w:val="B2E8F30A"/>
    <w:lvl w:ilvl="0" w:tplc="BE7E96F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DC5"/>
    <w:rsid w:val="00083817"/>
    <w:rsid w:val="000A0F57"/>
    <w:rsid w:val="000B0BE1"/>
    <w:rsid w:val="000B7232"/>
    <w:rsid w:val="00132C91"/>
    <w:rsid w:val="00147917"/>
    <w:rsid w:val="0015613E"/>
    <w:rsid w:val="001903A3"/>
    <w:rsid w:val="0019546B"/>
    <w:rsid w:val="0022352B"/>
    <w:rsid w:val="00302A37"/>
    <w:rsid w:val="003858E3"/>
    <w:rsid w:val="00532C65"/>
    <w:rsid w:val="0056643F"/>
    <w:rsid w:val="005959A3"/>
    <w:rsid w:val="0063614C"/>
    <w:rsid w:val="00641C4D"/>
    <w:rsid w:val="00756A05"/>
    <w:rsid w:val="007C1971"/>
    <w:rsid w:val="007F2B07"/>
    <w:rsid w:val="0081368B"/>
    <w:rsid w:val="00816E1F"/>
    <w:rsid w:val="008A0099"/>
    <w:rsid w:val="009045B2"/>
    <w:rsid w:val="009A2255"/>
    <w:rsid w:val="009A560E"/>
    <w:rsid w:val="00A84DA8"/>
    <w:rsid w:val="00C27B01"/>
    <w:rsid w:val="00C9758F"/>
    <w:rsid w:val="00CC3D0E"/>
    <w:rsid w:val="00E16DFC"/>
    <w:rsid w:val="00E24AD6"/>
    <w:rsid w:val="00EB19D2"/>
    <w:rsid w:val="00F16623"/>
    <w:rsid w:val="00F25DC5"/>
    <w:rsid w:val="00FA1BB4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1E80"/>
  <w15:docId w15:val="{5BE40F37-C3A5-496F-BB56-A76DD02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E1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2A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6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94F8-34B1-4412-997A-3DE354BF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Sky Full Flames</cp:lastModifiedBy>
  <cp:revision>25</cp:revision>
  <dcterms:created xsi:type="dcterms:W3CDTF">2019-08-08T14:15:00Z</dcterms:created>
  <dcterms:modified xsi:type="dcterms:W3CDTF">2019-08-13T07:51:00Z</dcterms:modified>
</cp:coreProperties>
</file>