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4E5F"/>
          <w:sz w:val="56"/>
          <w:szCs w:val="56"/>
        </w:rPr>
        <w:t xml:space="preserve">BankFlow</w:t>
      </w:r>
    </w:p>
    <w:p>
      <w:pPr>
        <w:spacing w:after="100"/>
        <w:jc w:val="center"/>
      </w:pPr>
      <w:r>
        <w:rPr>
          <w:color w:val="2E7D6E"/>
          <w:sz w:val="30"/>
          <w:szCs w:val="30"/>
        </w:rPr>
        <w:t xml:space="preserve">Documento de Engenharia de Software</w:t>
      </w:r>
    </w:p>
    <w:p>
      <w:pPr>
        <w:spacing w:after="100"/>
        <w:jc w:val="center"/>
      </w:pPr>
      <w:r>
        <w:rPr>
          <w:i/>
          <w:iCs/>
          <w:color w:val="666666"/>
          <w:sz w:val="22"/>
          <w:szCs w:val="22"/>
        </w:rPr>
        <w:t xml:space="preserve">Sistema de Gerenciamento Financeiro Pessoal</w:t>
      </w:r>
    </w:p>
    <w:p>
      <w:pPr>
        <w:jc w:val="center"/>
      </w:pPr>
      <w:r>
        <w:rPr>
          <w:color w:val="666666"/>
          <w:sz w:val="20"/>
          <w:szCs w:val="20"/>
        </w:rPr>
        <w:t xml:space="preserve">Prazo do MVP: 31 de julho de 2026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Visão Geral do Projeto</w:t>
      </w:r>
    </w:p>
    <w:p>
      <w:pPr>
        <w:spacing w:after="160"/>
        <w:jc w:val="both"/>
      </w:pPr>
      <w:r>
        <w:t xml:space="preserve">O BankFlow é um sistema de gerenciamento financeiro pessoal desenvolvido em Java, com foco no aprendizado aplicado de Programação Orientada a Objetos. O projeto é conduzido em paralelo aos estudos da Maratona Java (DevDojo), utilizando o BankFlow como ambiente prático para consolidar os conceitos estudados.</w:t>
      </w:r>
    </w:p>
    <w:p>
      <w:pPr>
        <w:spacing w:after="160"/>
        <w:jc w:val="both"/>
      </w:pPr>
      <w:r>
        <w:t xml:space="preserve">O objetivo principal não é apenas entregar um sistema funcional, mas construir domínio suficiente sobre cada decisão de design para que ela possa ser explicada e justificada em uma entrevista técnica de estágio.</w:t>
      </w:r>
    </w:p>
    <w:p>
      <w:pPr>
        <w:pStyle w:val="Heading2"/>
        <w:spacing w:after="160" w:before="320"/>
      </w:pPr>
      <w:r>
        <w:t xml:space="preserve">1.1 Escopo do MVP</w:t>
      </w:r>
    </w:p>
    <w:p>
      <w:pPr>
        <w:spacing w:after="160"/>
        <w:jc w:val="both"/>
      </w:pPr>
      <w:r>
        <w:t xml:space="preserve">As funcionalidades abaixo compõem o escopo mínimo viável, priorizando qualidade e profundidade de entendimento sobre quantidade de funcionalidades: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Cadastro de usuário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Cadastro de receitas (entradas)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Cadastro de despesas (saídas), fixas ou variáveis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Categorização de movimentações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Cálculo de saldo atualizado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Histórico de movimentações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Consulta por categoria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Relatório mensal simples</w:t>
      </w:r>
    </w:p>
    <w:p>
      <w:pPr>
        <w:pStyle w:val="Heading2"/>
        <w:spacing w:after="160" w:before="320"/>
      </w:pPr>
      <w:r>
        <w:t xml:space="preserve">1.2 Fora do escopo do MVP (decisão consciente)</w:t>
      </w:r>
    </w:p>
    <w:p>
      <w:pPr>
        <w:spacing w:after="160"/>
        <w:jc w:val="both"/>
      </w:pPr>
      <w:r>
        <w:t xml:space="preserve">A entidade MetaFinanceira (definição de metas de gasto por categoria) foi conscientemente removida do escopo do MVP. A decisão foi tomada para preservar o foco em qualidade e profundidade de entendimento dentro do prazo estabelecido, evitando ampliar o escopo com uma funcionalidade que envolveria lógica de acompanhamento adicional. Fica reservada como melhoria futura, junto de persistência em banco de dados, API REST com Spring Boot e dashboard.</w:t>
      </w:r>
    </w:p>
    <w:p>
      <w:pPr>
        <w:pStyle w:val="Heading1"/>
        <w:spacing w:after="160" w:before="320"/>
      </w:pPr>
      <w:r>
        <w:t xml:space="preserve">2. Ator e Casos de Uso</w:t>
      </w:r>
    </w:p>
    <w:p>
      <w:pPr>
        <w:spacing w:after="160"/>
        <w:jc w:val="both"/>
      </w:pPr>
      <w:r>
        <w:t xml:space="preserve">O sistema possui um único ator externo: o Usuário. Não há atores de sistema (integrações externas) previstos para o MVP.</w:t>
      </w:r>
    </w:p>
    <w:p>
      <w:pPr>
        <w:spacing w:after="160"/>
        <w:jc w:val="both"/>
      </w:pPr>
      <w:r>
        <w:t xml:space="preserve">A notação utilizada segue o padrão UML de Diagrama de Casos de Uso, com as relações: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&lt;&lt;include&gt;&gt;: representa uma dependência obrigatória entre casos de uso.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&lt;&lt;extends&gt;&gt;: representa uma variação opcional de um caso de uso principal.</w:t>
      </w:r>
    </w:p>
    <w:p>
      <w:pPr>
        <w:spacing w:after="100" w:before="200"/>
        <w:jc w:val="center"/>
      </w:pPr>
      <w:r>
        <w:drawing>
          <wp:inline distT="0" distB="0" distL="0" distR="0">
            <wp:extent cx="3619500" cy="4876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66666"/>
          <w:sz w:val="18"/>
          <w:szCs w:val="18"/>
        </w:rPr>
        <w:t xml:space="preserve">Figura 1 — Diagrama de Casos de Uso do BankFlow</w:t>
      </w:r>
    </w:p>
    <w:p>
      <w:pPr>
        <w:pStyle w:val="Heading2"/>
        <w:spacing w:after="160" w:before="320"/>
      </w:pPr>
      <w:r>
        <w:t xml:space="preserve">2.1 Descrição dos Casos de Uso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Realizar cadastro — criação de um novo Usuário no sistema.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Realizar login — autenticação do usuário por email e senha.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Cadastrar despesa — registro de uma Movimentacao do tipo saída (fixa ou variável), associada a uma Categoria.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Cadastrar entrada — registro de uma Movimentacao do tipo entrada (ex.: salário, vendas), associada a uma Categoria.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Consultar saldo — cálculo e exibição do saldo atual da Carteira, derivado das movimentações.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Consultar movimentações — listagem do histórico de movimentações, com variação opcional (&lt;&lt;extends&gt;&gt;) de filtro por categoria.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Gerar relatórios — geração de relatório mensal simples, com variação opcional (&lt;&lt;extends&gt;&gt;) de relatório por categoria.</w:t>
      </w:r>
    </w:p>
    <w:p>
      <w:pPr>
        <w:spacing w:after="160"/>
        <w:jc w:val="both"/>
      </w:pPr>
      <w:r>
        <w:t xml:space="preserve">Observação de design: o caso de uso "Atualizar saldo" foi deliberadamente descartado do diagrama. Como o saldo da Carteira é calculado sob demanda a partir da lista de movimentações (e não armazenado como atributo fixo), não existe uma ação de sistema equivalente a "atualizar" — o saldo simplesmente reflete o estado atual das movimentações sempre que é consultado.</w:t>
      </w:r>
    </w:p>
    <w:p>
      <w:pPr>
        <w:pStyle w:val="Heading1"/>
        <w:spacing w:after="160" w:before="320"/>
      </w:pPr>
      <w:r>
        <w:t xml:space="preserve">3. Entidades de Domínio</w:t>
      </w:r>
    </w:p>
    <w:p>
      <w:pPr>
        <w:spacing w:after="160"/>
        <w:jc w:val="both"/>
      </w:pPr>
      <w:r>
        <w:t xml:space="preserve">As quatro entidades a seguir compõem o modelo de domínio do MVP. Cada uma foi definida a partir de sua responsabilidade única dentro do sistema, evitando entidades anêmicas (sem comportamento) sempre que possível.</w:t>
      </w:r>
    </w:p>
    <w:p>
      <w:pPr>
        <w:pStyle w:val="Heading2"/>
        <w:spacing w:after="160" w:before="320"/>
      </w:pPr>
      <w:r>
        <w:t xml:space="preserve">3.1 Usuario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00"/>
      </w:tblGrid>
      <w:tr>
        <w:tc>
          <w:tcPr>
            <w:tcW w:type="dxa" w:w="2600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200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200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Identificador único da entidade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nome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Primeiro nome do usuário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sobrenome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Sobrenome, separado do nome para flexibilidade de exibição/ordenação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Utilizado como identificador de login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senha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Dívida técnica: armazenada em texto puro no MVP (ver seção 6)</w:t>
            </w:r>
          </w:p>
        </w:tc>
      </w:tr>
    </w:tbl>
    <w:p>
      <w:pPr>
        <w:pStyle w:val="Heading2"/>
        <w:spacing w:after="160" w:before="320"/>
      </w:pPr>
      <w:r>
        <w:t xml:space="preserve">3.2 Carteira</w:t>
      </w:r>
    </w:p>
    <w:p>
      <w:pPr>
        <w:spacing w:after="160"/>
        <w:jc w:val="both"/>
      </w:pPr>
      <w:r>
        <w:t xml:space="preserve">A Carteira não armazena um atributo de saldo fixo. Em vez disso, expõe um comportamento calcularSaldo(), responsável por percorrer a lista de movimentações associadas e retornar o resultado da soma de entradas menos saídas. Essa decisão evita inconsistência entre um saldo salvo e a soma real das movimentações.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00"/>
      </w:tblGrid>
      <w:tr>
        <w:tc>
          <w:tcPr>
            <w:tcW w:type="dxa" w:w="2600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200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200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Identificador único da entidade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movimentações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Lista de Movimentacao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Associação a implementar na Fase 2 (Collections)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usuário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Usuario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Associação 1:1 — referência ao dono da carteira</w:t>
            </w:r>
          </w:p>
        </w:tc>
      </w:tr>
    </w:tbl>
    <w:p>
      <w:pPr>
        <w:pStyle w:val="Heading2"/>
        <w:spacing w:after="160" w:before="320"/>
      </w:pPr>
      <w:r>
        <w:t xml:space="preserve">3.3 Movimentacao</w:t>
      </w:r>
    </w:p>
    <w:p>
      <w:pPr>
        <w:spacing w:after="160"/>
        <w:jc w:val="both"/>
      </w:pPr>
      <w:r>
        <w:t xml:space="preserve">Representa um evento financeiro pontual (uma entrada ou uma saída). Não possui responsabilidade de cálculo de saldo — essa responsabilidade pertence exclusivamente à Carteira.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00"/>
      </w:tblGrid>
      <w:tr>
        <w:tc>
          <w:tcPr>
            <w:tcW w:type="dxa" w:w="2600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200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200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Identificador único da entidade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Dívida técnica: valor livre no MVP, migrar para enum (ENTRADA/SAIDA) futuramente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valor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double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Dívida técnica: possível imprecisão de ponto flutuante, considerar BigDecimal futuramente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LocalDate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Uso da API java.time para permitir comparação e filtro por mês/ano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Atributo opcional, complementar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categoria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Categoria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Associação N:1 a implementar na Fase 2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carteira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Carteira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Associação N:1 a implementar na Fase 2</w:t>
            </w:r>
          </w:p>
        </w:tc>
      </w:tr>
    </w:tbl>
    <w:p>
      <w:pPr>
        <w:pStyle w:val="Heading2"/>
        <w:spacing w:after="160" w:before="320"/>
      </w:pPr>
      <w:r>
        <w:t xml:space="preserve">3.4 Categoria</w:t>
      </w:r>
    </w:p>
    <w:p>
      <w:pPr>
        <w:spacing w:after="160"/>
        <w:jc w:val="both"/>
      </w:pPr>
      <w:r>
        <w:t xml:space="preserve">Entidade simples, sem conhecimento sobre quais movimentações a referenciam, evitando dependência circular entre Categoria e Movimentacao.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00"/>
      </w:tblGrid>
      <w:tr>
        <w:tc>
          <w:tcPr>
            <w:tcW w:type="dxa" w:w="2600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200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200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Identificador único da entidade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nome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Ex.: Mercado, Saúde, Assinaturas, Lazer</w:t>
            </w:r>
          </w:p>
        </w:tc>
      </w:tr>
    </w:tbl>
    <w:p>
      <w:pPr>
        <w:pStyle w:val="Heading1"/>
        <w:spacing w:after="160" w:before="320"/>
      </w:pPr>
      <w:r>
        <w:t xml:space="preserve">4. Relacionamentos entre Entidades</w:t>
      </w:r>
    </w:p>
    <w:p>
      <w:pPr>
        <w:spacing w:after="160"/>
        <w:jc w:val="both"/>
      </w:pPr>
      <w:r>
        <w:t xml:space="preserve">As cardinalidades abaixo foram definidas para o escopo do MVP e servem de base para o Diagrama de Classes a ser produzido na etapa de documentação técnica.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600"/>
      </w:tblGrid>
      <w:tr>
        <w:tc>
          <w:tcPr>
            <w:tcW w:type="dxa" w:w="3200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Entidades</w:t>
            </w:r>
          </w:p>
        </w:tc>
        <w:tc>
          <w:tcPr>
            <w:tcW w:type="dxa" w:w="2200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Cardinalidade</w:t>
            </w:r>
          </w:p>
        </w:tc>
        <w:tc>
          <w:tcPr>
            <w:tcW w:type="dxa" w:w="3600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Usuario ↔ Carteira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: 1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Um usuário possui exatamente uma carteira, e vice-versa.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Carteira ↔ Movimentacao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: N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Uma carteira possui várias movimentações; cada movimentação pertence a uma única carteira.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Movimentacao ↔ Categoria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 : 1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Várias movimentações podem referenciar a mesma categoria; cada movimentação possui apenas uma categoria.</w:t>
            </w:r>
          </w:p>
        </w:tc>
      </w:tr>
    </w:tbl>
    <w:p>
      <w:pPr>
        <w:pStyle w:val="Heading1"/>
        <w:spacing w:after="160" w:before="320"/>
      </w:pPr>
      <w:r>
        <w:t xml:space="preserve">5. Decisões Técnicas e Dívidas Técnicas Documentadas</w:t>
      </w:r>
    </w:p>
    <w:p>
      <w:pPr>
        <w:spacing w:after="160"/>
        <w:jc w:val="both"/>
      </w:pPr>
      <w:r>
        <w:t xml:space="preserve">Durante a modelagem, algumas simplificações conscientes foram adotadas para respeitar o nível de conhecimento atual do desenvolvedor (Fase 1 do plano de estudos) sem comprometer a qualidade conceitual do projeto. Cada uma está documentada abaixo, junto da melhoria planejada para versões futuras.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000"/>
      </w:tblGrid>
      <w:tr>
        <w:tc>
          <w:tcPr>
            <w:tcW w:type="dxa" w:w="2600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Decisão / Simplificação</w:t>
            </w:r>
          </w:p>
        </w:tc>
        <w:tc>
          <w:tcPr>
            <w:tcW w:type="dxa" w:w="3400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Justificativa no MVP</w:t>
            </w:r>
          </w:p>
        </w:tc>
        <w:tc>
          <w:tcPr>
            <w:tcW w:type="dxa" w:w="3000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Melhoria futura planejada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Tipo de Movimentacao como String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Ainda não estudado o conceito de enum no curso; usar String evita adiantar conteúdo fora de ordem.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Migrar para enum (ENTRADA, SAIDA) ao estudar o conceito, eliminando valores inválidos.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Valor monetário como double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Simplicidade na Fase 1/2; sistema ainda não lida com grandes volumes de transações.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Avaliar migração para BigDecimal para evitar erros de arredondamento em ponto flutuante.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Senha armazenada em texto puro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MVP não possui banco de dados; dado mantido em memória durante a execução.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Implementar hashing (ex.: BCrypt) antes de qualquer persistência real dos dados.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Saldo calculado sob demanda (não armazenado)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Evita inconsistência entre saldo salvo e a soma real das movimentações.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Caso a performance se torne relevante em escala, avaliar cache do valor calculado.</w:t>
            </w:r>
          </w:p>
        </w:tc>
      </w:tr>
    </w:tbl>
    <w:p>
      <w:pPr>
        <w:pStyle w:val="Heading1"/>
        <w:spacing w:after="160" w:before="320"/>
      </w:pPr>
      <w:r>
        <w:t xml:space="preserve">6. Próximos Passos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Fase 1 (implementação): criação das classes Usuario, Carteira, Movimentacao e Categoria com atributos básicos, sem construtores ou encapsulamento.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Fase 2: aplicação de encapsulamento, construtores, sobrecarga e implementação das associações entre entidades.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Elaboração do Diagrama de Classes formal, com base nas cardinalidades definidas neste documento.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Início do versionamento em Git/GitHub, com commits seguindo Conventional Commits.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b/>
      <w:bCs/>
      <w:color w:val="1F4E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b/>
      <w:bCs/>
      <w:color w:val="2E7D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226b60824c67ea92a8468302e82d773529b368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2026-07-11T14:51:27.486Z</dcterms:created>
  <dcterms:modified xsi:type="dcterms:W3CDTF">2026-07-11T14:51:27.504Z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